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394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6"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54" w:lineRule="exact"/>
        <w:rPr>
          <w:sz w:val="24"/>
          <w:szCs w:val="24"/>
          <w:color w:val="auto"/>
        </w:rPr>
      </w:pPr>
    </w:p>
    <w:p>
      <w:pPr>
        <w:ind w:left="720" w:right="200" w:hanging="685"/>
        <w:spacing w:after="0" w:line="262" w:lineRule="auto"/>
        <w:tabs>
          <w:tab w:leader="none" w:pos="7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55"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For the quarterly period ended June 30, 2017</w:t>
      </w:r>
    </w:p>
    <w:p>
      <w:pPr>
        <w:spacing w:after="0" w:line="85" w:lineRule="exact"/>
        <w:rPr>
          <w:sz w:val="24"/>
          <w:szCs w:val="24"/>
          <w:color w:val="auto"/>
        </w:rPr>
      </w:pPr>
    </w:p>
    <w:p>
      <w:pPr>
        <w:ind w:left="5560"/>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152" w:lineRule="exact"/>
        <w:rPr>
          <w:sz w:val="24"/>
          <w:szCs w:val="24"/>
          <w:color w:val="auto"/>
        </w:rPr>
      </w:pPr>
    </w:p>
    <w:p>
      <w:pPr>
        <w:ind w:left="720" w:right="180" w:hanging="685"/>
        <w:spacing w:after="0" w:line="262" w:lineRule="auto"/>
        <w:tabs>
          <w:tab w:leader="none" w:pos="7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63" w:right="239" w:bottom="1440" w:gutter="0" w:footer="0" w:header="0"/>
        </w:sectPr>
      </w:pPr>
    </w:p>
    <w:p>
      <w:pPr>
        <w:spacing w:after="0" w:line="55"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21"/>
          <w:szCs w:val="21"/>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to</w:t>
      </w:r>
    </w:p>
    <w:p>
      <w:pPr>
        <w:spacing w:after="0" w:line="96" w:lineRule="exact"/>
        <w:rPr>
          <w:sz w:val="24"/>
          <w:szCs w:val="24"/>
          <w:color w:val="auto"/>
        </w:rPr>
      </w:pPr>
    </w:p>
    <w:p>
      <w:pPr>
        <w:sectPr>
          <w:pgSz w:w="11900" w:h="16838" w:orient="portrait"/>
          <w:cols w:equalWidth="0" w:num="2">
            <w:col w:w="3240" w:space="640"/>
            <w:col w:w="7540"/>
          </w:cols>
          <w:pgMar w:left="240" w:top="263"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Commission File Number: 0-21044</w:t>
      </w:r>
    </w:p>
    <w:p>
      <w:pPr>
        <w:spacing w:after="0" w:line="71"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7"/>
          <w:szCs w:val="17"/>
          <w:color w:val="auto"/>
        </w:rPr>
        <w:t>_______________________________________</w:t>
      </w:r>
    </w:p>
    <w:p>
      <w:pPr>
        <w:sectPr>
          <w:pgSz w:w="11900" w:h="16838" w:orient="portrait"/>
          <w:cols w:equalWidth="0" w:num="1">
            <w:col w:w="11420"/>
          </w:cols>
          <w:pgMar w:left="240" w:top="263" w:right="239" w:bottom="1440" w:gutter="0" w:footer="0" w:header="0"/>
          <w:type w:val="continuous"/>
        </w:sectPr>
      </w:pP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UNIVERSAL ELECTRONICS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36" w:lineRule="exact"/>
        <w:rPr>
          <w:sz w:val="24"/>
          <w:szCs w:val="24"/>
          <w:color w:val="auto"/>
        </w:rPr>
      </w:pPr>
    </w:p>
    <w:tbl>
      <w:tblPr>
        <w:tblLayout w:type="fixed"/>
        <w:tblInd w:w="1360" w:type="dxa"/>
        <w:tblCellMar>
          <w:top w:w="0" w:type="dxa"/>
          <w:left w:w="0" w:type="dxa"/>
          <w:bottom w:w="0" w:type="dxa"/>
          <w:right w:w="0" w:type="dxa"/>
        </w:tblCellMar>
      </w:tblPr>
      <w:tr>
        <w:trPr>
          <w:trHeight w:val="238"/>
        </w:trPr>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10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33-0204817</w:t>
            </w:r>
          </w:p>
        </w:tc>
      </w:tr>
      <w:tr>
        <w:trPr>
          <w:trHeight w:val="178"/>
        </w:trPr>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100" w:type="dxa"/>
            <w:vAlign w:val="bottom"/>
          </w:tcPr>
          <w:p>
            <w:pPr>
              <w:jc w:val="center"/>
              <w:ind w:left="3899"/>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100" w:type="dxa"/>
            <w:vAlign w:val="bottom"/>
          </w:tcPr>
          <w:p>
            <w:pPr>
              <w:jc w:val="center"/>
              <w:ind w:left="389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52"/>
        </w:trPr>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201 E. Sandpointe Avenue, 8</w:t>
            </w:r>
            <w:r>
              <w:rPr>
                <w:rFonts w:ascii="Times New Roman" w:cs="Times New Roman" w:eastAsia="Times New Roman" w:hAnsi="Times New Roman"/>
                <w:sz w:val="25"/>
                <w:szCs w:val="25"/>
                <w:b w:val="1"/>
                <w:bCs w:val="1"/>
                <w:color w:val="auto"/>
                <w:w w:val="98"/>
                <w:vertAlign w:val="superscript"/>
              </w:rPr>
              <w:t>th</w:t>
            </w:r>
            <w:r>
              <w:rPr>
                <w:rFonts w:ascii="Times New Roman" w:cs="Times New Roman" w:eastAsia="Times New Roman" w:hAnsi="Times New Roman"/>
                <w:sz w:val="18"/>
                <w:szCs w:val="18"/>
                <w:b w:val="1"/>
                <w:bCs w:val="1"/>
                <w:color w:val="auto"/>
                <w:w w:val="98"/>
              </w:rPr>
              <w:t xml:space="preserve"> Floor</w:t>
            </w:r>
          </w:p>
        </w:tc>
        <w:tc>
          <w:tcPr>
            <w:tcW w:w="5100" w:type="dxa"/>
            <w:vAlign w:val="bottom"/>
          </w:tcPr>
          <w:p>
            <w:pPr>
              <w:spacing w:after="0"/>
              <w:rPr>
                <w:sz w:val="24"/>
                <w:szCs w:val="24"/>
                <w:color w:val="auto"/>
              </w:rPr>
            </w:pPr>
          </w:p>
        </w:tc>
      </w:tr>
      <w:tr>
        <w:trPr>
          <w:trHeight w:val="238"/>
        </w:trPr>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Santa Ana, California</w:t>
            </w:r>
          </w:p>
        </w:tc>
        <w:tc>
          <w:tcPr>
            <w:tcW w:w="5100" w:type="dxa"/>
            <w:vAlign w:val="bottom"/>
          </w:tcPr>
          <w:p>
            <w:pPr>
              <w:jc w:val="right"/>
              <w:ind w:right="239"/>
              <w:spacing w:after="0"/>
              <w:rPr>
                <w:sz w:val="20"/>
                <w:szCs w:val="20"/>
                <w:color w:val="auto"/>
              </w:rPr>
            </w:pPr>
            <w:r>
              <w:rPr>
                <w:rFonts w:ascii="Times New Roman" w:cs="Times New Roman" w:eastAsia="Times New Roman" w:hAnsi="Times New Roman"/>
                <w:sz w:val="18"/>
                <w:szCs w:val="18"/>
                <w:b w:val="1"/>
                <w:bCs w:val="1"/>
                <w:color w:val="auto"/>
              </w:rPr>
              <w:t>92707</w:t>
            </w:r>
          </w:p>
        </w:tc>
      </w:tr>
      <w:tr>
        <w:trPr>
          <w:trHeight w:val="220"/>
        </w:trPr>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100" w:type="dxa"/>
            <w:vAlign w:val="bottom"/>
          </w:tcPr>
          <w:p>
            <w:pPr>
              <w:jc w:val="center"/>
              <w:ind w:left="391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53"/>
        </w:trPr>
        <w:tc>
          <w:tcPr>
            <w:tcW w:w="7880" w:type="dxa"/>
            <w:vAlign w:val="bottom"/>
            <w:gridSpan w:val="2"/>
          </w:tcPr>
          <w:p>
            <w:pPr>
              <w:jc w:val="center"/>
              <w:ind w:left="73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(714) 918-9500</w:t>
            </w:r>
          </w:p>
        </w:tc>
      </w:tr>
      <w:tr>
        <w:trPr>
          <w:trHeight w:val="243"/>
        </w:trPr>
        <w:tc>
          <w:tcPr>
            <w:tcW w:w="2780" w:type="dxa"/>
            <w:vAlign w:val="bottom"/>
          </w:tcPr>
          <w:p>
            <w:pPr>
              <w:spacing w:after="0"/>
              <w:rPr>
                <w:sz w:val="21"/>
                <w:szCs w:val="21"/>
                <w:color w:val="auto"/>
              </w:rPr>
            </w:pPr>
          </w:p>
        </w:tc>
        <w:tc>
          <w:tcPr>
            <w:tcW w:w="5100" w:type="dxa"/>
            <w:vAlign w:val="bottom"/>
          </w:tcPr>
          <w:p>
            <w:pPr>
              <w:jc w:val="right"/>
              <w:ind w:right="1939"/>
              <w:spacing w:after="0"/>
              <w:rPr>
                <w:sz w:val="20"/>
                <w:szCs w:val="20"/>
                <w:color w:val="auto"/>
              </w:rPr>
            </w:pPr>
            <w:r>
              <w:rPr>
                <w:rFonts w:ascii="Times New Roman" w:cs="Times New Roman" w:eastAsia="Times New Roman" w:hAnsi="Times New Roman"/>
                <w:sz w:val="18"/>
                <w:szCs w:val="18"/>
                <w:color w:val="auto"/>
                <w:w w:val="99"/>
              </w:rPr>
              <w:t>__________________________________</w:t>
            </w:r>
          </w:p>
        </w:tc>
      </w:tr>
    </w:tbl>
    <w:p>
      <w:pPr>
        <w:spacing w:after="0" w:line="9"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any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7"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6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Accelerated filer</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680" w:type="dxa"/>
            <w:vAlign w:val="bottom"/>
          </w:tcPr>
          <w:p>
            <w:pPr>
              <w:ind w:left="3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4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9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4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Emerging growth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 w:lineRule="exact"/>
        <w:rPr>
          <w:sz w:val="24"/>
          <w:szCs w:val="24"/>
          <w:color w:val="auto"/>
        </w:rPr>
      </w:pPr>
    </w:p>
    <w:p>
      <w:pPr>
        <w:ind w:left="40" w:right="6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0"/>
        <w:spacing w:after="0" w:line="207" w:lineRule="exact"/>
        <w:tabs>
          <w:tab w:leader="none" w:pos="7620" w:val="left"/>
          <w:tab w:leader="none" w:pos="830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40"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14,401,295 shares of Common Stock, par value $0.01 per share, of the registrant were outstanding on August 4, 2017.</w:t>
      </w:r>
    </w:p>
    <w:p>
      <w:pPr>
        <w:sectPr>
          <w:pgSz w:w="11900" w:h="16838" w:orient="portrait"/>
          <w:cols w:equalWidth="0" w:num="1">
            <w:col w:w="11420"/>
          </w:cols>
          <w:pgMar w:left="240" w:top="26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80" w:type="dxa"/>
            <w:vAlign w:val="bottom"/>
            <w:gridSpan w:val="3"/>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rPr>
              <w:t>UNIVERSAL ELECTRONICS INC.</w:t>
            </w: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940" w:type="dxa"/>
            <w:vAlign w:val="bottom"/>
            <w:gridSpan w:val="2"/>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5"/>
        </w:trPr>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60"/>
        </w:trPr>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20" w:type="dxa"/>
            <w:vAlign w:val="bottom"/>
            <w:tcBorders>
              <w:bottom w:val="single" w:sz="8" w:color="auto"/>
            </w:tcBorders>
            <w:gridSpan w:val="3"/>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r>
      <w:tr>
        <w:trPr>
          <w:trHeight w:val="223"/>
        </w:trPr>
        <w:tc>
          <w:tcPr>
            <w:tcW w:w="8840" w:type="dxa"/>
            <w:vAlign w:val="bottom"/>
            <w:gridSpan w:val="18"/>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 FINANCIAL INFORMATION</w:t>
              </w:r>
            </w:hyperlink>
          </w:p>
        </w:tc>
        <w:tc>
          <w:tcPr>
            <w:tcW w:w="2260" w:type="dxa"/>
            <w:vAlign w:val="bottom"/>
            <w:gridSpan w:val="4"/>
          </w:tcPr>
          <w:p>
            <w:pPr>
              <w:jc w:val="right"/>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20"/>
        </w:trPr>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8840" w:type="dxa"/>
            <w:vAlign w:val="bottom"/>
            <w:gridSpan w:val="18"/>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 Consolidated Financial Statements (Unaudited)</w:t>
              </w:r>
            </w:hyperlink>
          </w:p>
        </w:tc>
        <w:tc>
          <w:tcPr>
            <w:tcW w:w="2260" w:type="dxa"/>
            <w:vAlign w:val="bottom"/>
            <w:gridSpan w:val="4"/>
          </w:tcPr>
          <w:p>
            <w:pPr>
              <w:jc w:val="right"/>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250"/>
        </w:trPr>
        <w:tc>
          <w:tcPr>
            <w:tcW w:w="240" w:type="dxa"/>
            <w:vAlign w:val="bottom"/>
            <w:tcBorders>
              <w:top w:val="single" w:sz="8" w:color="0000EE"/>
            </w:tcBorders>
          </w:tcPr>
          <w:p>
            <w:pPr>
              <w:spacing w:after="0"/>
              <w:rPr>
                <w:sz w:val="21"/>
                <w:szCs w:val="21"/>
                <w:color w:val="auto"/>
              </w:rPr>
            </w:pPr>
          </w:p>
        </w:tc>
        <w:tc>
          <w:tcPr>
            <w:tcW w:w="210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Consolidated Balance Sheets</w:t>
              </w:r>
            </w:hyperlink>
          </w:p>
        </w:tc>
        <w:tc>
          <w:tcPr>
            <w:tcW w:w="1620" w:type="dxa"/>
            <w:vAlign w:val="bottom"/>
            <w:tcBorders>
              <w:top w:val="single" w:sz="8" w:color="0000EE"/>
            </w:tcBorders>
            <w:gridSpan w:val="7"/>
          </w:tcPr>
          <w:p>
            <w:pPr>
              <w:spacing w:after="0"/>
              <w:rPr>
                <w:sz w:val="21"/>
                <w:szCs w:val="21"/>
                <w:color w:val="auto"/>
              </w:rPr>
            </w:pPr>
          </w:p>
        </w:tc>
        <w:tc>
          <w:tcPr>
            <w:tcW w:w="4880" w:type="dxa"/>
            <w:vAlign w:val="bottom"/>
            <w:gridSpan w:val="3"/>
          </w:tcPr>
          <w:p>
            <w:pPr>
              <w:spacing w:after="0"/>
              <w:rPr>
                <w:sz w:val="21"/>
                <w:szCs w:val="21"/>
                <w:color w:val="auto"/>
              </w:rPr>
            </w:pPr>
          </w:p>
        </w:tc>
        <w:tc>
          <w:tcPr>
            <w:tcW w:w="2160" w:type="dxa"/>
            <w:vAlign w:val="bottom"/>
            <w:gridSpan w:val="3"/>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3</w:t>
              </w:r>
            </w:hyperlink>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Income Statements</w:t>
              </w:r>
            </w:hyperlink>
          </w:p>
        </w:tc>
        <w:tc>
          <w:tcPr>
            <w:tcW w:w="2260" w:type="dxa"/>
            <w:vAlign w:val="bottom"/>
            <w:gridSpan w:val="4"/>
          </w:tcPr>
          <w:p>
            <w:pPr>
              <w:jc w:val="right"/>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4</w:t>
              </w:r>
            </w:hyperlink>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Comprehensive Income Statements</w:t>
              </w:r>
            </w:hyperlink>
          </w:p>
        </w:tc>
        <w:tc>
          <w:tcPr>
            <w:tcW w:w="2260" w:type="dxa"/>
            <w:vAlign w:val="bottom"/>
            <w:gridSpan w:val="4"/>
          </w:tcPr>
          <w:p>
            <w:pPr>
              <w:jc w:val="right"/>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5</w:t>
              </w:r>
            </w:hyperlink>
          </w:p>
        </w:tc>
      </w:tr>
      <w:tr>
        <w:trPr>
          <w:trHeight w:val="250"/>
        </w:trPr>
        <w:tc>
          <w:tcPr>
            <w:tcW w:w="240" w:type="dxa"/>
            <w:vAlign w:val="bottom"/>
          </w:tcPr>
          <w:p>
            <w:pPr>
              <w:spacing w:after="0"/>
              <w:rPr>
                <w:sz w:val="21"/>
                <w:szCs w:val="21"/>
                <w:color w:val="auto"/>
              </w:rPr>
            </w:pPr>
          </w:p>
        </w:tc>
        <w:tc>
          <w:tcPr>
            <w:tcW w:w="3540" w:type="dxa"/>
            <w:vAlign w:val="bottom"/>
            <w:tcBorders>
              <w:top w:val="single" w:sz="8" w:color="0000EE"/>
            </w:tcBorders>
            <w:gridSpan w:val="13"/>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Consolidated Statements of Cash Flows</w:t>
              </w:r>
            </w:hyperlink>
          </w:p>
        </w:tc>
        <w:tc>
          <w:tcPr>
            <w:tcW w:w="5060" w:type="dxa"/>
            <w:vAlign w:val="bottom"/>
            <w:gridSpan w:val="4"/>
          </w:tcPr>
          <w:p>
            <w:pPr>
              <w:spacing w:after="0"/>
              <w:rPr>
                <w:sz w:val="21"/>
                <w:szCs w:val="21"/>
                <w:color w:val="auto"/>
              </w:rPr>
            </w:pPr>
          </w:p>
        </w:tc>
        <w:tc>
          <w:tcPr>
            <w:tcW w:w="2160" w:type="dxa"/>
            <w:vAlign w:val="bottom"/>
            <w:gridSpan w:val="3"/>
          </w:tcPr>
          <w:p>
            <w:pPr>
              <w:spacing w:after="0"/>
              <w:rPr>
                <w:sz w:val="21"/>
                <w:szCs w:val="21"/>
                <w:color w:val="auto"/>
              </w:rPr>
            </w:pPr>
          </w:p>
        </w:tc>
        <w:tc>
          <w:tcPr>
            <w:tcW w:w="100" w:type="dxa"/>
            <w:vAlign w:val="bottom"/>
            <w:tcBorders>
              <w:top w:val="single" w:sz="8" w:color="0000EE"/>
            </w:tcBorders>
          </w:tcPr>
          <w:p>
            <w:pPr>
              <w:jc w:val="right"/>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6</w:t>
              </w:r>
            </w:hyperlink>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Consolidated Financial Statements</w:t>
              </w:r>
            </w:hyperlink>
          </w:p>
        </w:tc>
        <w:tc>
          <w:tcPr>
            <w:tcW w:w="2260" w:type="dxa"/>
            <w:vAlign w:val="bottom"/>
            <w:gridSpan w:val="4"/>
          </w:tcPr>
          <w:p>
            <w:pPr>
              <w:jc w:val="right"/>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7</w:t>
              </w:r>
            </w:hyperlink>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7000" w:type="dxa"/>
            <w:vAlign w:val="bottom"/>
            <w:gridSpan w:val="17"/>
          </w:tcPr>
          <w:p>
            <w:pPr>
              <w:spacing w:after="0"/>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Item 2. Management's Discussion and Analysis of Financial Condition and Results of Operations</w:t>
              </w:r>
            </w:hyperlink>
          </w:p>
        </w:tc>
        <w:tc>
          <w:tcPr>
            <w:tcW w:w="1840" w:type="dxa"/>
            <w:vAlign w:val="bottom"/>
          </w:tcPr>
          <w:p>
            <w:pPr>
              <w:spacing w:after="0"/>
              <w:rPr>
                <w:sz w:val="21"/>
                <w:szCs w:val="21"/>
                <w:color w:val="auto"/>
              </w:rPr>
            </w:pPr>
          </w:p>
        </w:tc>
        <w:tc>
          <w:tcPr>
            <w:tcW w:w="2260" w:type="dxa"/>
            <w:vAlign w:val="bottom"/>
            <w:gridSpan w:val="4"/>
          </w:tcPr>
          <w:p>
            <w:pPr>
              <w:jc w:val="right"/>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25</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Times New Roman" w:cs="Times New Roman" w:eastAsia="Times New Roman" w:hAnsi="Times New Roman"/>
                <w:sz w:val="18"/>
                <w:szCs w:val="18"/>
                <w:color w:val="0000EE"/>
                <w:w w:val="98"/>
              </w:rPr>
            </w:pPr>
            <w:hyperlink w:anchor="page32">
              <w:r>
                <w:rPr>
                  <w:rFonts w:ascii="Times New Roman" w:cs="Times New Roman" w:eastAsia="Times New Roman" w:hAnsi="Times New Roman"/>
                  <w:sz w:val="18"/>
                  <w:szCs w:val="18"/>
                  <w:color w:val="0000EE"/>
                  <w:w w:val="98"/>
                </w:rPr>
                <w:t>Item 3. Quantitative and Qualitative Disclosures About Market Risk</w:t>
              </w:r>
            </w:hyperlink>
          </w:p>
        </w:tc>
        <w:tc>
          <w:tcPr>
            <w:tcW w:w="2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260" w:type="dxa"/>
            <w:vAlign w:val="bottom"/>
            <w:gridSpan w:val="4"/>
          </w:tcPr>
          <w:p>
            <w:pPr>
              <w:jc w:val="right"/>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32</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3940" w:type="dxa"/>
            <w:vAlign w:val="bottom"/>
            <w:tcBorders>
              <w:left w:val="single" w:sz="8" w:color="0000EE"/>
            </w:tcBorders>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320" w:type="dxa"/>
            <w:vAlign w:val="bottom"/>
            <w:gridSpan w:val="7"/>
          </w:tcPr>
          <w:p>
            <w:pPr>
              <w:spacing w:after="0"/>
              <w:rPr>
                <w:rFonts w:ascii="Times New Roman" w:cs="Times New Roman" w:eastAsia="Times New Roman" w:hAnsi="Times New Roman"/>
                <w:sz w:val="18"/>
                <w:szCs w:val="18"/>
                <w:color w:val="0000EE"/>
                <w:w w:val="98"/>
              </w:rPr>
            </w:pPr>
            <w:hyperlink w:anchor="page33">
              <w:r>
                <w:rPr>
                  <w:rFonts w:ascii="Times New Roman" w:cs="Times New Roman" w:eastAsia="Times New Roman" w:hAnsi="Times New Roman"/>
                  <w:sz w:val="18"/>
                  <w:szCs w:val="18"/>
                  <w:color w:val="0000EE"/>
                  <w:w w:val="98"/>
                </w:rPr>
                <w:t>Item 4. Controls and Procedures</w:t>
              </w:r>
            </w:hyperlink>
          </w:p>
        </w:tc>
        <w:tc>
          <w:tcPr>
            <w:tcW w:w="2580" w:type="dxa"/>
            <w:vAlign w:val="bottom"/>
            <w:gridSpan w:val="9"/>
          </w:tcPr>
          <w:p>
            <w:pPr>
              <w:spacing w:after="0"/>
              <w:rPr>
                <w:sz w:val="21"/>
                <w:szCs w:val="21"/>
                <w:color w:val="auto"/>
              </w:rPr>
            </w:pPr>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33</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840" w:type="dxa"/>
            <w:vAlign w:val="bottom"/>
            <w:gridSpan w:val="18"/>
          </w:tcPr>
          <w:p>
            <w:pPr>
              <w:spacing w:after="0"/>
              <w:rPr>
                <w:rFonts w:ascii="Times New Roman" w:cs="Times New Roman" w:eastAsia="Times New Roman" w:hAnsi="Times New Roman"/>
                <w:sz w:val="18"/>
                <w:szCs w:val="18"/>
                <w:b w:val="1"/>
                <w:bCs w:val="1"/>
                <w:color w:val="0000EE"/>
              </w:rPr>
            </w:pPr>
            <w:hyperlink w:anchor="page34">
              <w:r>
                <w:rPr>
                  <w:rFonts w:ascii="Times New Roman" w:cs="Times New Roman" w:eastAsia="Times New Roman" w:hAnsi="Times New Roman"/>
                  <w:sz w:val="18"/>
                  <w:szCs w:val="18"/>
                  <w:b w:val="1"/>
                  <w:bCs w:val="1"/>
                  <w:color w:val="0000EE"/>
                </w:rPr>
                <w:t>PART II. OTHER INFORMATION</w:t>
              </w:r>
            </w:hyperlink>
          </w:p>
        </w:tc>
        <w:tc>
          <w:tcPr>
            <w:tcW w:w="2260" w:type="dxa"/>
            <w:vAlign w:val="bottom"/>
            <w:gridSpan w:val="4"/>
          </w:tcPr>
          <w:p>
            <w:pPr>
              <w:jc w:val="right"/>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34</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760" w:type="dxa"/>
            <w:vAlign w:val="bottom"/>
            <w:gridSpan w:val="10"/>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1. Legal Proceedings</w:t>
              </w:r>
            </w:hyperlink>
          </w:p>
        </w:tc>
        <w:tc>
          <w:tcPr>
            <w:tcW w:w="6080" w:type="dxa"/>
            <w:vAlign w:val="bottom"/>
            <w:gridSpan w:val="8"/>
          </w:tcPr>
          <w:p>
            <w:pPr>
              <w:spacing w:after="0"/>
              <w:rPr>
                <w:sz w:val="21"/>
                <w:szCs w:val="21"/>
                <w:color w:val="auto"/>
              </w:rPr>
            </w:pPr>
          </w:p>
        </w:tc>
        <w:tc>
          <w:tcPr>
            <w:tcW w:w="2260" w:type="dxa"/>
            <w:vAlign w:val="bottom"/>
            <w:gridSpan w:val="4"/>
          </w:tcPr>
          <w:p>
            <w:pPr>
              <w:jc w:val="right"/>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34</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20" w:type="dxa"/>
            <w:vAlign w:val="bottom"/>
            <w:gridSpan w:val="10"/>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880" w:type="dxa"/>
            <w:vAlign w:val="bottom"/>
            <w:gridSpan w:val="6"/>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1A. Risk Factors</w:t>
              </w:r>
            </w:hyperlink>
          </w:p>
        </w:tc>
        <w:tc>
          <w:tcPr>
            <w:tcW w:w="6960" w:type="dxa"/>
            <w:vAlign w:val="bottom"/>
            <w:gridSpan w:val="12"/>
          </w:tcPr>
          <w:p>
            <w:pPr>
              <w:spacing w:after="0"/>
              <w:rPr>
                <w:sz w:val="21"/>
                <w:szCs w:val="21"/>
                <w:color w:val="auto"/>
              </w:rPr>
            </w:pPr>
          </w:p>
        </w:tc>
        <w:tc>
          <w:tcPr>
            <w:tcW w:w="2260" w:type="dxa"/>
            <w:vAlign w:val="bottom"/>
            <w:gridSpan w:val="4"/>
          </w:tcPr>
          <w:p>
            <w:pPr>
              <w:jc w:val="right"/>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34</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20" w:type="dxa"/>
            <w:vAlign w:val="bottom"/>
            <w:gridSpan w:val="11"/>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Item 2. Unregistered Sales of Equity Securities and Use of Proceeds</w:t>
              </w:r>
            </w:hyperlink>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34</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760" w:type="dxa"/>
            <w:vAlign w:val="bottom"/>
            <w:gridSpan w:val="12"/>
            <w:shd w:val="clear" w:color="auto" w:fill="0000EE"/>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Item 6. Exhibits</w:t>
              </w:r>
            </w:hyperlink>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35</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700" w:type="dxa"/>
            <w:vAlign w:val="bottom"/>
            <w:gridSpan w:val="14"/>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60" w:type="dxa"/>
            <w:vAlign w:val="bottom"/>
            <w:gridSpan w:val="2"/>
          </w:tcPr>
          <w:p>
            <w:pPr>
              <w:spacing w:after="0"/>
              <w:rPr>
                <w:rFonts w:ascii="Times New Roman" w:cs="Times New Roman" w:eastAsia="Times New Roman" w:hAnsi="Times New Roman"/>
                <w:sz w:val="18"/>
                <w:szCs w:val="18"/>
                <w:color w:val="0000EE"/>
                <w:w w:val="97"/>
              </w:rPr>
            </w:pPr>
            <w:hyperlink w:anchor="page36">
              <w:r>
                <w:rPr>
                  <w:rFonts w:ascii="Times New Roman" w:cs="Times New Roman" w:eastAsia="Times New Roman" w:hAnsi="Times New Roman"/>
                  <w:sz w:val="18"/>
                  <w:szCs w:val="18"/>
                  <w:color w:val="0000EE"/>
                  <w:w w:val="97"/>
                </w:rPr>
                <w:t>Signatures</w:t>
              </w:r>
            </w:hyperlink>
          </w:p>
        </w:tc>
        <w:tc>
          <w:tcPr>
            <w:tcW w:w="380" w:type="dxa"/>
            <w:vAlign w:val="bottom"/>
            <w:gridSpan w:val="2"/>
          </w:tcPr>
          <w:p>
            <w:pPr>
              <w:spacing w:after="0"/>
              <w:rPr>
                <w:sz w:val="21"/>
                <w:szCs w:val="21"/>
                <w:color w:val="auto"/>
              </w:rPr>
            </w:pPr>
          </w:p>
        </w:tc>
        <w:tc>
          <w:tcPr>
            <w:tcW w:w="7700" w:type="dxa"/>
            <w:vAlign w:val="bottom"/>
            <w:gridSpan w:val="14"/>
          </w:tcPr>
          <w:p>
            <w:pPr>
              <w:spacing w:after="0"/>
              <w:rPr>
                <w:sz w:val="21"/>
                <w:szCs w:val="21"/>
                <w:color w:val="auto"/>
              </w:rPr>
            </w:pPr>
          </w:p>
        </w:tc>
        <w:tc>
          <w:tcPr>
            <w:tcW w:w="2260" w:type="dxa"/>
            <w:vAlign w:val="bottom"/>
            <w:gridSpan w:val="4"/>
          </w:tcPr>
          <w:p>
            <w:pPr>
              <w:jc w:val="right"/>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36</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60" w:type="dxa"/>
            <w:vAlign w:val="bottom"/>
            <w:gridSpan w:val="15"/>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80" w:type="dxa"/>
            <w:vAlign w:val="bottom"/>
            <w:gridSpan w:val="3"/>
          </w:tcPr>
          <w:p>
            <w:pPr>
              <w:spacing w:after="0"/>
              <w:rPr>
                <w:rFonts w:ascii="Times New Roman" w:cs="Times New Roman" w:eastAsia="Times New Roman" w:hAnsi="Times New Roman"/>
                <w:sz w:val="18"/>
                <w:szCs w:val="18"/>
                <w:color w:val="0000EE"/>
                <w:w w:val="97"/>
              </w:rPr>
            </w:pPr>
            <w:hyperlink w:anchor="page37">
              <w:r>
                <w:rPr>
                  <w:rFonts w:ascii="Times New Roman" w:cs="Times New Roman" w:eastAsia="Times New Roman" w:hAnsi="Times New Roman"/>
                  <w:sz w:val="18"/>
                  <w:szCs w:val="18"/>
                  <w:color w:val="0000EE"/>
                  <w:w w:val="97"/>
                </w:rPr>
                <w:t>Exhibit Index</w:t>
              </w:r>
            </w:hyperlink>
          </w:p>
        </w:tc>
        <w:tc>
          <w:tcPr>
            <w:tcW w:w="7860" w:type="dxa"/>
            <w:vAlign w:val="bottom"/>
            <w:gridSpan w:val="15"/>
          </w:tcPr>
          <w:p>
            <w:pPr>
              <w:spacing w:after="0"/>
              <w:rPr>
                <w:sz w:val="21"/>
                <w:szCs w:val="21"/>
                <w:color w:val="auto"/>
              </w:rPr>
            </w:pPr>
          </w:p>
        </w:tc>
        <w:tc>
          <w:tcPr>
            <w:tcW w:w="2260" w:type="dxa"/>
            <w:vAlign w:val="bottom"/>
            <w:gridSpan w:val="4"/>
          </w:tcPr>
          <w:p>
            <w:pPr>
              <w:jc w:val="right"/>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37</w:t>
              </w:r>
            </w:hyperlink>
          </w:p>
        </w:tc>
      </w:tr>
      <w:tr>
        <w:trPr>
          <w:trHeight w:val="20"/>
        </w:trPr>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100"/>
          </w:cols>
          <w:pgMar w:left="280" w:top="360" w:right="519" w:bottom="1440" w:gutter="0" w:footer="0" w:header="0"/>
        </w:sectPr>
      </w:pPr>
    </w:p>
    <w:bookmarkStart w:id="2" w:name="page3"/>
    <w:bookmarkEnd w:id="2"/>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 (Unaudited)</w:t>
      </w:r>
    </w:p>
    <w:p>
      <w:pPr>
        <w:spacing w:after="0" w:line="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UNIVERSAL ELECTRONICS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(In thousands, except share-related data)</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8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249"/>
        </w:trPr>
        <w:tc>
          <w:tcPr>
            <w:tcW w:w="7860" w:type="dxa"/>
            <w:vAlign w:val="bottom"/>
            <w:tcBorders>
              <w:top w:val="single" w:sz="8" w:color="CCEEFF"/>
              <w:bottom w:val="single" w:sz="8" w:color="CCEEFF"/>
            </w:tcBorders>
            <w:shd w:val="clear" w:color="auto" w:fill="CCEEFF"/>
          </w:tcPr>
          <w:p>
            <w:pPr>
              <w:ind w:left="36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49,695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50,611</w:t>
            </w: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Restricted cash</w:t>
            </w:r>
          </w:p>
        </w:tc>
        <w:tc>
          <w:tcPr>
            <w:tcW w:w="28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4,623</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147,738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124,592</w:t>
            </w: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Inventories, net</w:t>
            </w:r>
          </w:p>
        </w:tc>
        <w:tc>
          <w:tcPr>
            <w:tcW w:w="280" w:type="dxa"/>
            <w:vAlign w:val="bottom"/>
          </w:tcPr>
          <w:p>
            <w:pPr>
              <w:spacing w:after="0"/>
              <w:rPr>
                <w:sz w:val="20"/>
                <w:szCs w:val="20"/>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143,417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129,879</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7,593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7,439</w:t>
            </w: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Income tax receivable</w:t>
            </w:r>
          </w:p>
        </w:tc>
        <w:tc>
          <w:tcPr>
            <w:tcW w:w="280" w:type="dxa"/>
            <w:vAlign w:val="bottom"/>
          </w:tcPr>
          <w:p>
            <w:pPr>
              <w:spacing w:after="0"/>
              <w:rPr>
                <w:sz w:val="20"/>
                <w:szCs w:val="20"/>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4,133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1,054</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5,960</w:t>
            </w:r>
          </w:p>
        </w:tc>
        <w:tc>
          <w:tcPr>
            <w:tcW w:w="0" w:type="dxa"/>
            <w:vAlign w:val="bottom"/>
          </w:tcPr>
          <w:p>
            <w:pPr>
              <w:spacing w:after="0"/>
              <w:rPr>
                <w:sz w:val="1"/>
                <w:szCs w:val="1"/>
                <w:color w:val="auto"/>
              </w:rPr>
            </w:pPr>
          </w:p>
        </w:tc>
      </w:tr>
      <w:tr>
        <w:trPr>
          <w:trHeight w:val="217"/>
        </w:trPr>
        <w:tc>
          <w:tcPr>
            <w:tcW w:w="78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352,576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324,158</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112,276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105,351</w:t>
            </w: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20"/>
                <w:szCs w:val="20"/>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48,372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43,052</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31,619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28,549</w:t>
            </w: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Pr>
          <w:p>
            <w:pPr>
              <w:spacing w:after="0"/>
              <w:rPr>
                <w:sz w:val="20"/>
                <w:szCs w:val="20"/>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18,270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10,430</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restricted cash</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4,716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4,600</w:t>
            </w: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Pr>
          <w:p>
            <w:pPr>
              <w:spacing w:after="0"/>
              <w:rPr>
                <w:sz w:val="20"/>
                <w:szCs w:val="20"/>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4,997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4,896</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572,826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521,036</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218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110,050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97,157</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Line of credit</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92,000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49,987</w:t>
            </w: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compensation</w:t>
            </w:r>
          </w:p>
        </w:tc>
        <w:tc>
          <w:tcPr>
            <w:tcW w:w="280" w:type="dxa"/>
            <w:vAlign w:val="bottom"/>
          </w:tcPr>
          <w:p>
            <w:pPr>
              <w:spacing w:after="0"/>
              <w:rPr>
                <w:sz w:val="20"/>
                <w:szCs w:val="20"/>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33,520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35,580</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Accrued sales discounts, rebates and royalties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7,153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8,358</w:t>
            </w: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income taxes</w:t>
            </w:r>
          </w:p>
        </w:tc>
        <w:tc>
          <w:tcPr>
            <w:tcW w:w="280" w:type="dxa"/>
            <w:vAlign w:val="bottom"/>
          </w:tcPr>
          <w:p>
            <w:pPr>
              <w:spacing w:after="0"/>
              <w:rPr>
                <w:sz w:val="20"/>
                <w:szCs w:val="20"/>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1,670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375</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accrued expenses</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20,294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24,410</w:t>
            </w:r>
          </w:p>
        </w:tc>
        <w:tc>
          <w:tcPr>
            <w:tcW w:w="0" w:type="dxa"/>
            <w:vAlign w:val="bottom"/>
          </w:tcPr>
          <w:p>
            <w:pPr>
              <w:spacing w:after="0"/>
              <w:rPr>
                <w:sz w:val="1"/>
                <w:szCs w:val="1"/>
                <w:color w:val="auto"/>
              </w:rPr>
            </w:pPr>
          </w:p>
        </w:tc>
      </w:tr>
      <w:tr>
        <w:trPr>
          <w:trHeight w:val="217"/>
        </w:trPr>
        <w:tc>
          <w:tcPr>
            <w:tcW w:w="786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264,687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215,867</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Long-term contingent consideration</w:t>
            </w:r>
          </w:p>
        </w:tc>
        <w:tc>
          <w:tcPr>
            <w:tcW w:w="280" w:type="dxa"/>
            <w:vAlign w:val="bottom"/>
          </w:tcPr>
          <w:p>
            <w:pPr>
              <w:spacing w:after="0"/>
              <w:rPr>
                <w:sz w:val="20"/>
                <w:szCs w:val="20"/>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12,600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10,500</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6,269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7,060</w:t>
            </w: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Income tax payable</w:t>
            </w:r>
          </w:p>
        </w:tc>
        <w:tc>
          <w:tcPr>
            <w:tcW w:w="280" w:type="dxa"/>
            <w:vAlign w:val="bottom"/>
          </w:tcPr>
          <w:p>
            <w:pPr>
              <w:spacing w:after="0"/>
              <w:rPr>
                <w:sz w:val="20"/>
                <w:szCs w:val="20"/>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791</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6,299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6,308</w:t>
            </w:r>
          </w:p>
        </w:tc>
        <w:tc>
          <w:tcPr>
            <w:tcW w:w="0" w:type="dxa"/>
            <w:vAlign w:val="bottom"/>
          </w:tcPr>
          <w:p>
            <w:pPr>
              <w:spacing w:after="0"/>
              <w:rPr>
                <w:sz w:val="1"/>
                <w:szCs w:val="1"/>
                <w:color w:val="auto"/>
              </w:rPr>
            </w:pPr>
          </w:p>
        </w:tc>
      </w:tr>
      <w:tr>
        <w:trPr>
          <w:trHeight w:val="217"/>
        </w:trPr>
        <w:tc>
          <w:tcPr>
            <w:tcW w:w="78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290,646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240,526</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Preferred stock, $0.01 par value, 5,000,000 shares authorized; none issued or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Common stock, $0.01 par value, 50,000,000 shares authorized; 23,661,566 and 23,575,340 shares issued on June</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30, 2017 and December 31, 2016, respectively</w:t>
            </w:r>
          </w:p>
        </w:tc>
        <w:tc>
          <w:tcPr>
            <w:tcW w:w="280" w:type="dxa"/>
            <w:vAlign w:val="bottom"/>
          </w:tcPr>
          <w:p>
            <w:pPr>
              <w:spacing w:after="0"/>
              <w:rPr>
                <w:sz w:val="18"/>
                <w:szCs w:val="18"/>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236</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258,732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250,481</w:t>
            </w: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Treasury stock, at cost, 9,262,057 and 9,022,587 shares on June 30, 2017 and December 31, 2016, respectively</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(222,980)</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(22,821)</w:t>
            </w: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tcPr>
          <w:p>
            <w:pPr>
              <w:spacing w:after="0"/>
              <w:rPr>
                <w:sz w:val="20"/>
                <w:szCs w:val="20"/>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281,906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275,594</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282,180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280,510</w:t>
            </w:r>
          </w:p>
        </w:tc>
        <w:tc>
          <w:tcPr>
            <w:tcW w:w="0" w:type="dxa"/>
            <w:vAlign w:val="bottom"/>
          </w:tcPr>
          <w:p>
            <w:pPr>
              <w:spacing w:after="0"/>
              <w:rPr>
                <w:sz w:val="1"/>
                <w:szCs w:val="1"/>
                <w:color w:val="auto"/>
              </w:rPr>
            </w:pPr>
          </w:p>
        </w:tc>
      </w:tr>
      <w:tr>
        <w:trPr>
          <w:trHeight w:val="231"/>
        </w:trPr>
        <w:tc>
          <w:tcPr>
            <w:tcW w:w="78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572,826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521,036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12700</wp:posOffset>
            </wp:positionV>
            <wp:extent cx="2238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 4 for further information concerning our purchases from related party vendors.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-116205</wp:posOffset>
            </wp:positionV>
            <wp:extent cx="22383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ectPr>
          <w:pgSz w:w="11900" w:h="16838" w:orient="portrait"/>
          <w:cols w:equalWidth="0" w:num="1">
            <w:col w:w="11400"/>
          </w:cols>
          <w:pgMar w:left="240" w:top="114" w:right="259" w:bottom="1440" w:gutter="0" w:footer="0" w:header="0"/>
        </w:sect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114" w:right="259" w:bottom="1440" w:gutter="0" w:footer="0" w:header="0"/>
          <w:type w:val="continuous"/>
        </w:sectPr>
      </w:pPr>
    </w:p>
    <w:bookmarkStart w:id="3" w:name="page4"/>
    <w:bookmarkEnd w:id="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CONSOLIDATED INCOME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5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6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0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177,580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170,986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338,986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321,644</w:t>
            </w: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133,829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127,530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254,201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240,541</w:t>
            </w:r>
          </w:p>
        </w:tc>
      </w:tr>
      <w:tr>
        <w:trPr>
          <w:trHeight w:val="27"/>
        </w:trPr>
        <w:tc>
          <w:tcPr>
            <w:tcW w:w="5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43,751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43,456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84,785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81,103</w:t>
            </w: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10,444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10,337</w:t>
            </w: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Factory transition restructuring charges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1,517</w:t>
            </w: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31,053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30,252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61,704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58,239</w:t>
            </w:r>
          </w:p>
        </w:tc>
      </w:tr>
      <w:tr>
        <w:trPr>
          <w:trHeight w:val="27"/>
        </w:trPr>
        <w:tc>
          <w:tcPr>
            <w:tcW w:w="5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11,010</w:t>
            </w: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1,391</w:t>
            </w:r>
          </w:p>
        </w:tc>
      </w:tr>
      <w:tr>
        <w:trPr>
          <w:trHeight w:val="23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6,099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8,382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5,924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11,876</w:t>
            </w: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1,784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2,535</w:t>
            </w:r>
          </w:p>
        </w:tc>
      </w:tr>
      <w:tr>
        <w:trPr>
          <w:trHeight w:val="237"/>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4,684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6,598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4,803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9,341</w:t>
            </w: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r>
      <w:tr>
        <w:trPr>
          <w:trHeight w:val="297"/>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Universal Electronics Inc.</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4,684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6,590</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4,803</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9,311</w:t>
            </w:r>
          </w:p>
        </w:tc>
      </w:tr>
      <w:tr>
        <w:trPr>
          <w:trHeight w:val="311"/>
        </w:trPr>
        <w:tc>
          <w:tcPr>
            <w:tcW w:w="5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 attributable to Universal Electronics Inc.:</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4"/>
        </w:trPr>
        <w:tc>
          <w:tcPr>
            <w:tcW w:w="5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0.65</w:t>
            </w:r>
          </w:p>
        </w:tc>
      </w:tr>
      <w:tr>
        <w:trPr>
          <w:trHeight w:val="20"/>
        </w:trPr>
        <w:tc>
          <w:tcPr>
            <w:tcW w:w="5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91"/>
        </w:trPr>
        <w:tc>
          <w:tcPr>
            <w:tcW w:w="50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0.45</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0.63</w:t>
            </w:r>
          </w:p>
        </w:tc>
      </w:tr>
      <w:tr>
        <w:trPr>
          <w:trHeight w:val="237"/>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earnings per share:</w:t>
            </w: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304"/>
        </w:trPr>
        <w:tc>
          <w:tcPr>
            <w:tcW w:w="50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14,404</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14,440</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14,427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14,406</w:t>
            </w:r>
          </w:p>
        </w:tc>
      </w:tr>
      <w:tr>
        <w:trPr>
          <w:trHeight w:val="251"/>
        </w:trPr>
        <w:tc>
          <w:tcPr>
            <w:tcW w:w="5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14,683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14,735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14,700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14,686</w:t>
            </w:r>
          </w:p>
        </w:tc>
      </w:tr>
      <w:tr>
        <w:trPr>
          <w:trHeight w:val="20"/>
        </w:trPr>
        <w:tc>
          <w:tcPr>
            <w:tcW w:w="5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for further information concerning our purchases from related party vendors.</w:t>
      </w:r>
    </w:p>
    <w:p>
      <w:pPr>
        <w:spacing w:after="0" w:line="17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80"/>
          </w:cols>
          <w:pgMar w:left="240" w:top="114" w:right="379" w:bottom="1440" w:gutter="0" w:footer="0" w:header="0"/>
        </w:sectPr>
      </w:pPr>
    </w:p>
    <w:bookmarkStart w:id="4" w:name="page5"/>
    <w:bookmarkEnd w:id="4"/>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COMPREHENSIVE INCOME STATEMENTS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4,684</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4,803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9,341</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(2,686)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1,991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0" w:type="dxa"/>
            <w:vAlign w:val="bottom"/>
          </w:tcPr>
          <w:p>
            <w:pPr>
              <w:spacing w:after="0"/>
              <w:rPr>
                <w:sz w:val="1"/>
                <w:szCs w:val="1"/>
                <w:color w:val="auto"/>
              </w:rPr>
            </w:pPr>
          </w:p>
        </w:tc>
      </w:tr>
      <w:tr>
        <w:trPr>
          <w:trHeight w:val="237"/>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5,292</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3,912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6,794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8,023</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w:t>
            </w:r>
          </w:p>
        </w:tc>
        <w:tc>
          <w:tcPr>
            <w:tcW w:w="9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5"/>
        </w:trPr>
        <w:tc>
          <w:tcPr>
            <w:tcW w:w="51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Comprehensive income (loss) attributable to Universal Electronics</w:t>
            </w:r>
          </w:p>
        </w:tc>
        <w:tc>
          <w:tcPr>
            <w:tcW w:w="940" w:type="dxa"/>
            <w:vAlign w:val="bottom"/>
            <w:tcBorders>
              <w:top w:val="single" w:sz="8" w:color="auto"/>
            </w:tcBorders>
            <w:vMerge w:val="restart"/>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5,292</w:t>
            </w:r>
          </w:p>
        </w:tc>
        <w:tc>
          <w:tcPr>
            <w:tcW w:w="120" w:type="dxa"/>
            <w:vAlign w:val="bottom"/>
          </w:tcPr>
          <w:p>
            <w:pPr>
              <w:spacing w:after="0"/>
              <w:rPr>
                <w:sz w:val="17"/>
                <w:szCs w:val="17"/>
                <w:color w:val="auto"/>
              </w:rPr>
            </w:pPr>
          </w:p>
        </w:tc>
        <w:tc>
          <w:tcPr>
            <w:tcW w:w="880" w:type="dxa"/>
            <w:vAlign w:val="bottom"/>
            <w:tcBorders>
              <w:top w:val="single" w:sz="8" w:color="auto"/>
            </w:tcBorders>
            <w:vMerge w:val="restart"/>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3,904</w:t>
            </w:r>
          </w:p>
        </w:tc>
        <w:tc>
          <w:tcPr>
            <w:tcW w:w="12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6,794</w:t>
            </w:r>
          </w:p>
        </w:tc>
        <w:tc>
          <w:tcPr>
            <w:tcW w:w="12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7,993</w:t>
            </w:r>
          </w:p>
        </w:tc>
        <w:tc>
          <w:tcPr>
            <w:tcW w:w="0" w:type="dxa"/>
            <w:vAlign w:val="bottom"/>
          </w:tcPr>
          <w:p>
            <w:pPr>
              <w:spacing w:after="0"/>
              <w:rPr>
                <w:sz w:val="1"/>
                <w:szCs w:val="1"/>
                <w:color w:val="auto"/>
              </w:rPr>
            </w:pPr>
          </w:p>
        </w:tc>
      </w:tr>
      <w:tr>
        <w:trPr>
          <w:trHeight w:val="24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w:t>
            </w:r>
          </w:p>
        </w:tc>
        <w:tc>
          <w:tcPr>
            <w:tcW w:w="940" w:type="dxa"/>
            <w:vAlign w:val="bottom"/>
            <w:tcBorders>
              <w:bottom w:val="single" w:sz="8" w:color="auto"/>
            </w:tcBorders>
            <w:vMerge w:val="continue"/>
          </w:tcPr>
          <w:p>
            <w:pPr>
              <w:spacing w:after="0"/>
              <w:rPr>
                <w:sz w:val="20"/>
                <w:szCs w:val="20"/>
                <w:color w:val="auto"/>
              </w:rPr>
            </w:pPr>
          </w:p>
        </w:tc>
        <w:tc>
          <w:tcPr>
            <w:tcW w:w="5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for further information concerning our purchases from related party vendors.</w:t>
      </w:r>
    </w:p>
    <w:p>
      <w:pPr>
        <w:spacing w:after="0" w:line="17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114" w:right="259" w:bottom="1440" w:gutter="0" w:footer="0" w:header="0"/>
        </w:sectPr>
      </w:pPr>
    </w:p>
    <w:bookmarkStart w:id="5" w:name="page6"/>
    <w:bookmarkEnd w:id="5"/>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(Unaudited)</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810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Borders>
              <w:bottom w:val="single" w:sz="8" w:color="auto"/>
            </w:tcBorders>
          </w:tcPr>
          <w:p>
            <w:pPr>
              <w:spacing w:after="0"/>
              <w:rPr>
                <w:sz w:val="16"/>
                <w:szCs w:val="16"/>
                <w:color w:val="auto"/>
              </w:rPr>
            </w:pPr>
          </w:p>
        </w:tc>
      </w:tr>
      <w:tr>
        <w:trPr>
          <w:trHeight w:val="264"/>
        </w:trPr>
        <w:tc>
          <w:tcPr>
            <w:tcW w:w="8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r>
      <w:tr>
        <w:trPr>
          <w:trHeight w:val="26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provided by (used for) operating activities:</w:t>
            </w: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5"/>
        </w:trPr>
        <w:tc>
          <w:tcPr>
            <w:tcW w:w="8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4,803</w:t>
            </w:r>
          </w:p>
        </w:tc>
        <w:tc>
          <w:tcPr>
            <w:tcW w:w="100" w:type="dxa"/>
            <w:vAlign w:val="bottom"/>
          </w:tcPr>
          <w:p>
            <w:pPr>
              <w:spacing w:after="0"/>
              <w:rPr>
                <w:sz w:val="23"/>
                <w:szCs w:val="23"/>
                <w:color w:val="auto"/>
              </w:rPr>
            </w:pPr>
          </w:p>
        </w:tc>
        <w:tc>
          <w:tcPr>
            <w:tcW w:w="98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9,341</w:t>
            </w:r>
          </w:p>
        </w:tc>
      </w:tr>
      <w:tr>
        <w:trPr>
          <w:trHeight w:val="275"/>
        </w:trPr>
        <w:tc>
          <w:tcPr>
            <w:tcW w:w="8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(used for) operating activities:</w:t>
            </w: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5"/>
        </w:trPr>
        <w:tc>
          <w:tcPr>
            <w:tcW w:w="81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15,954</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12,032</w:t>
            </w:r>
          </w:p>
        </w:tc>
      </w:tr>
      <w:tr>
        <w:trPr>
          <w:trHeight w:val="275"/>
        </w:trPr>
        <w:tc>
          <w:tcPr>
            <w:tcW w:w="81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116</w:t>
            </w:r>
          </w:p>
        </w:tc>
      </w:tr>
      <w:tr>
        <w:trPr>
          <w:trHeight w:val="265"/>
        </w:trPr>
        <w:tc>
          <w:tcPr>
            <w:tcW w:w="81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Provision for inventory write-downs</w:t>
            </w:r>
          </w:p>
        </w:tc>
        <w:tc>
          <w:tcPr>
            <w:tcW w:w="100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1,419</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1,705</w:t>
            </w:r>
          </w:p>
        </w:tc>
      </w:tr>
      <w:tr>
        <w:trPr>
          <w:trHeight w:val="275"/>
        </w:trPr>
        <w:tc>
          <w:tcPr>
            <w:tcW w:w="81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Deferred income taxes</w:t>
            </w: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165</w:t>
            </w:r>
          </w:p>
        </w:tc>
      </w:tr>
      <w:tr>
        <w:trPr>
          <w:trHeight w:val="265"/>
        </w:trPr>
        <w:tc>
          <w:tcPr>
            <w:tcW w:w="81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Tax benefit from exercise of stock options and vested restricted stock</w:t>
            </w:r>
          </w:p>
        </w:tc>
        <w:tc>
          <w:tcPr>
            <w:tcW w:w="100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992</w:t>
            </w:r>
          </w:p>
        </w:tc>
      </w:tr>
      <w:tr>
        <w:trPr>
          <w:trHeight w:val="275"/>
        </w:trPr>
        <w:tc>
          <w:tcPr>
            <w:tcW w:w="81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Excess tax benefit from stock-based compensation</w:t>
            </w:r>
          </w:p>
        </w:tc>
        <w:tc>
          <w:tcPr>
            <w:tcW w:w="10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w:t>
            </w:r>
          </w:p>
        </w:tc>
      </w:tr>
      <w:tr>
        <w:trPr>
          <w:trHeight w:val="265"/>
        </w:trPr>
        <w:tc>
          <w:tcPr>
            <w:tcW w:w="81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Shares issued for employee benefit plan</w:t>
            </w:r>
          </w:p>
        </w:tc>
        <w:tc>
          <w:tcPr>
            <w:tcW w:w="100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551</w:t>
            </w:r>
          </w:p>
        </w:tc>
      </w:tr>
      <w:tr>
        <w:trPr>
          <w:trHeight w:val="275"/>
        </w:trPr>
        <w:tc>
          <w:tcPr>
            <w:tcW w:w="81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Employee and director stock-based compensation</w:t>
            </w: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5,555</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4,970</w:t>
            </w:r>
          </w:p>
        </w:tc>
      </w:tr>
      <w:tr>
        <w:trPr>
          <w:trHeight w:val="265"/>
        </w:trPr>
        <w:tc>
          <w:tcPr>
            <w:tcW w:w="81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Performance-based common stock warrants</w:t>
            </w:r>
          </w:p>
        </w:tc>
        <w:tc>
          <w:tcPr>
            <w:tcW w:w="100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1,263</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2,058</w:t>
            </w:r>
          </w:p>
        </w:tc>
      </w:tr>
      <w:tr>
        <w:trPr>
          <w:trHeight w:val="275"/>
        </w:trPr>
        <w:tc>
          <w:tcPr>
            <w:tcW w:w="81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5"/>
        </w:trPr>
        <w:tc>
          <w:tcPr>
            <w:tcW w:w="810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Restricted cash</w:t>
            </w:r>
          </w:p>
        </w:tc>
        <w:tc>
          <w:tcPr>
            <w:tcW w:w="100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4,623</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81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Accounts receivable</w:t>
            </w: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(20,427)</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(9,599)</w:t>
            </w:r>
          </w:p>
        </w:tc>
      </w:tr>
      <w:tr>
        <w:trPr>
          <w:trHeight w:val="265"/>
        </w:trPr>
        <w:tc>
          <w:tcPr>
            <w:tcW w:w="810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Inventories</w:t>
            </w:r>
          </w:p>
        </w:tc>
        <w:tc>
          <w:tcPr>
            <w:tcW w:w="10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(11,249)</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982</w:t>
            </w:r>
          </w:p>
        </w:tc>
      </w:tr>
      <w:tr>
        <w:trPr>
          <w:trHeight w:val="275"/>
        </w:trPr>
        <w:tc>
          <w:tcPr>
            <w:tcW w:w="81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r>
      <w:tr>
        <w:trPr>
          <w:trHeight w:val="265"/>
        </w:trPr>
        <w:tc>
          <w:tcPr>
            <w:tcW w:w="810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0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4,488</w:t>
            </w:r>
          </w:p>
        </w:tc>
      </w:tr>
      <w:tr>
        <w:trPr>
          <w:trHeight w:val="270"/>
        </w:trPr>
        <w:tc>
          <w:tcPr>
            <w:tcW w:w="81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Accrued income taxes</w:t>
            </w:r>
          </w:p>
        </w:tc>
        <w:tc>
          <w:tcPr>
            <w:tcW w:w="10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(3,260)</w:t>
            </w:r>
          </w:p>
        </w:tc>
      </w:tr>
      <w:tr>
        <w:trPr>
          <w:trHeight w:val="250"/>
        </w:trPr>
        <w:tc>
          <w:tcPr>
            <w:tcW w:w="81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Net cash provided by (used for) operating activities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23,251</w:t>
            </w:r>
          </w:p>
        </w:tc>
      </w:tr>
      <w:tr>
        <w:trPr>
          <w:trHeight w:val="27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used for investing activities:</w:t>
            </w: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5"/>
        </w:trPr>
        <w:tc>
          <w:tcPr>
            <w:tcW w:w="8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Acquisition of property, plant, and equipment</w:t>
            </w:r>
          </w:p>
        </w:tc>
        <w:tc>
          <w:tcPr>
            <w:tcW w:w="10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(17,519)</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(17,989)</w:t>
            </w:r>
          </w:p>
        </w:tc>
      </w:tr>
      <w:tr>
        <w:trPr>
          <w:trHeight w:val="275"/>
        </w:trPr>
        <w:tc>
          <w:tcPr>
            <w:tcW w:w="8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Acquisition of net assets of Residential Control Systems, Inc.</w:t>
            </w: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(8,854)</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8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Acquisition of intangible assets</w:t>
            </w:r>
          </w:p>
        </w:tc>
        <w:tc>
          <w:tcPr>
            <w:tcW w:w="10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w:t>
            </w:r>
          </w:p>
        </w:tc>
      </w:tr>
      <w:tr>
        <w:trPr>
          <w:trHeight w:val="275"/>
        </w:trPr>
        <w:tc>
          <w:tcPr>
            <w:tcW w:w="8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Deconsolidation of Encore Controls LLC</w:t>
            </w:r>
          </w:p>
        </w:tc>
        <w:tc>
          <w:tcPr>
            <w:tcW w:w="10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w:t>
            </w:r>
          </w:p>
        </w:tc>
      </w:tr>
      <w:tr>
        <w:trPr>
          <w:trHeight w:val="191"/>
        </w:trPr>
        <w:tc>
          <w:tcPr>
            <w:tcW w:w="81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Net cash used for investing activities</w:t>
            </w:r>
          </w:p>
        </w:tc>
        <w:tc>
          <w:tcPr>
            <w:tcW w:w="10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(27,138)</w:t>
            </w: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(18,934)</w:t>
            </w:r>
          </w:p>
        </w:tc>
      </w:tr>
      <w:tr>
        <w:trPr>
          <w:trHeight w:val="27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provided by (used for) financing activities:</w:t>
            </w: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5"/>
        </w:trPr>
        <w:tc>
          <w:tcPr>
            <w:tcW w:w="8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Borrowings under line of credit</w:t>
            </w:r>
          </w:p>
        </w:tc>
        <w:tc>
          <w:tcPr>
            <w:tcW w:w="100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85,000</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57,987</w:t>
            </w:r>
          </w:p>
        </w:tc>
      </w:tr>
      <w:tr>
        <w:trPr>
          <w:trHeight w:val="275"/>
        </w:trPr>
        <w:tc>
          <w:tcPr>
            <w:tcW w:w="8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Repayments on line of credit</w:t>
            </w: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(42,987)</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(65,000)</w:t>
            </w:r>
          </w:p>
        </w:tc>
      </w:tr>
      <w:tr>
        <w:trPr>
          <w:trHeight w:val="265"/>
        </w:trPr>
        <w:tc>
          <w:tcPr>
            <w:tcW w:w="8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stock options exercised</w:t>
            </w:r>
          </w:p>
        </w:tc>
        <w:tc>
          <w:tcPr>
            <w:tcW w:w="100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842</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2,536</w:t>
            </w:r>
          </w:p>
        </w:tc>
      </w:tr>
      <w:tr>
        <w:trPr>
          <w:trHeight w:val="275"/>
        </w:trPr>
        <w:tc>
          <w:tcPr>
            <w:tcW w:w="8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Treasury stock purchased</w:t>
            </w: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(14,885)</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w:t>
            </w:r>
          </w:p>
        </w:tc>
      </w:tr>
      <w:tr>
        <w:trPr>
          <w:trHeight w:val="265"/>
        </w:trPr>
        <w:tc>
          <w:tcPr>
            <w:tcW w:w="8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Excess tax benefit from stock-based compensation</w:t>
            </w:r>
          </w:p>
        </w:tc>
        <w:tc>
          <w:tcPr>
            <w:tcW w:w="100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1,047</w:t>
            </w:r>
          </w:p>
        </w:tc>
      </w:tr>
      <w:tr>
        <w:trPr>
          <w:trHeight w:val="255"/>
        </w:trPr>
        <w:tc>
          <w:tcPr>
            <w:tcW w:w="8100" w:type="dxa"/>
            <w:vAlign w:val="bottom"/>
            <w:tcBorders>
              <w:top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Net cash provided by (used for) financing activities</w:t>
            </w:r>
          </w:p>
        </w:tc>
        <w:tc>
          <w:tcPr>
            <w:tcW w:w="100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27,970</w:t>
            </w:r>
          </w:p>
        </w:tc>
        <w:tc>
          <w:tcPr>
            <w:tcW w:w="100" w:type="dxa"/>
            <w:vAlign w:val="bottom"/>
            <w:tcBorders>
              <w:top w:val="single" w:sz="8" w:color="CCEEFF"/>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(5,374)</w:t>
            </w:r>
          </w:p>
        </w:tc>
      </w:tr>
      <w:tr>
        <w:trPr>
          <w:trHeight w:val="265"/>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10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(1,499)</w:t>
            </w:r>
          </w:p>
        </w:tc>
        <w:tc>
          <w:tcPr>
            <w:tcW w:w="10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(2,464)</w:t>
            </w:r>
          </w:p>
        </w:tc>
      </w:tr>
      <w:tr>
        <w:trPr>
          <w:trHeight w:val="25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10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(3,521)</w:t>
            </w:r>
          </w:p>
        </w:tc>
      </w:tr>
      <w:tr>
        <w:trPr>
          <w:trHeight w:val="265"/>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10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50,611</w:t>
            </w:r>
          </w:p>
        </w:tc>
        <w:tc>
          <w:tcPr>
            <w:tcW w:w="10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52,966</w:t>
            </w:r>
          </w:p>
        </w:tc>
      </w:tr>
      <w:tr>
        <w:trPr>
          <w:trHeight w:val="242"/>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49,695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49,445</w:t>
            </w:r>
          </w:p>
        </w:tc>
      </w:tr>
      <w:tr>
        <w:trPr>
          <w:trHeight w:val="20"/>
        </w:trPr>
        <w:tc>
          <w:tcPr>
            <w:tcW w:w="8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24"/>
        </w:trPr>
        <w:tc>
          <w:tcPr>
            <w:tcW w:w="8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7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cash flow information:</w:t>
            </w: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5"/>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 paid</w:t>
            </w:r>
          </w:p>
        </w:tc>
        <w:tc>
          <w:tcPr>
            <w:tcW w:w="100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4,142</w:t>
            </w:r>
          </w:p>
        </w:tc>
        <w:tc>
          <w:tcPr>
            <w:tcW w:w="100" w:type="dxa"/>
            <w:vAlign w:val="bottom"/>
          </w:tcPr>
          <w:p>
            <w:pPr>
              <w:spacing w:after="0"/>
              <w:rPr>
                <w:sz w:val="23"/>
                <w:szCs w:val="23"/>
                <w:color w:val="auto"/>
              </w:rPr>
            </w:pPr>
          </w:p>
        </w:tc>
        <w:tc>
          <w:tcPr>
            <w:tcW w:w="98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4,647</w:t>
            </w:r>
          </w:p>
        </w:tc>
      </w:tr>
      <w:tr>
        <w:trPr>
          <w:trHeight w:val="27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paid</w:t>
            </w:r>
          </w:p>
        </w:tc>
        <w:tc>
          <w:tcPr>
            <w:tcW w:w="100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981</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609</w:t>
            </w:r>
          </w:p>
        </w:tc>
      </w:tr>
    </w:tbl>
    <w:p>
      <w:pPr>
        <w:jc w:val="center"/>
        <w:ind w:right="-19"/>
        <w:spacing w:after="0"/>
        <w:rPr>
          <w:sz w:val="20"/>
          <w:szCs w:val="20"/>
          <w:color w:val="auto"/>
        </w:rPr>
      </w:pPr>
      <w:r>
        <w:rPr>
          <w:rFonts w:ascii="Times New Roman" w:cs="Times New Roman" w:eastAsia="Times New Roman" w:hAnsi="Times New Roman"/>
          <w:sz w:val="16"/>
          <w:szCs w:val="16"/>
          <w:color w:val="auto"/>
        </w:rPr>
        <w:t>See Note 4 for further information concerning our purchases from related party vendors.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ectPr>
          <w:pgSz w:w="11900" w:h="16838" w:orient="portrait"/>
          <w:cols w:equalWidth="0" w:num="1">
            <w:col w:w="11400"/>
          </w:cols>
          <w:pgMar w:left="240" w:top="114" w:right="259" w:bottom="1440" w:gutter="0" w:footer="0" w:header="0"/>
        </w:sect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114" w:right="259" w:bottom="1440" w:gutter="0" w:footer="0" w:header="0"/>
          <w:type w:val="continuous"/>
        </w:sectPr>
      </w:pPr>
    </w:p>
    <w:bookmarkStart w:id="6" w:name="page7"/>
    <w:bookmarkEnd w:id="6"/>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 and Significant Accounting Policies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opinion of management, the accompanying consolidated financial statements of Universal Electronics Inc. and its subsidiaries contain all the adjustments necessary for a fair presentation of financial position, results of operations and cash flows for the periods presented. All such adjustments are of a normal recurring nature. Information and footnote disclosures normally included in financial statements, which are prepared in accordance with accounting principles generally accepted in the United States of America ("U.S. GAAP"), have been condensed or omitted pursuant to the rules and regulations of the Securities and Exchange Commission. As used herein, the terms "Company," "we," "us," and "our" refer to Universal Electronics Inc. and its subsidiaries, unless the context indicates to the contrary.</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results of operations for the three and six months ended June 30, 2017 are not necessarily indicative of the results to be expected for the full year. These financial statements should be read in conjunction with the "Risk Factors," "Management's Discussion and Analysis of Financial Condition and Results of Operations," "Quantitative and Qualitative Disclosures About Market Risk," and the "Financial Statements and Supplementary Data" included in Items 1A, 7, 7A, and 8, respectively, of our Annual Report on Form 10-K for the year ended December 31, 2016.</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Estimates, Judgments and Assumptions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us to make estimates, judgments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allowances for sales returns and doubtful accounts, inventory valuation, our review for impairment of long-lived assets, intangible assets and goodwill, business combinations, income taxes, stock-based compensation expense and performance-based common stock warrants. Actual results may differ from these estimates and assumptions, and they may be adjusted as more information becomes available. Any adjustment may be material.</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to the consolidated financial statements included in our Annual Report on Form 10-K for the year ended December 31, 2016 for a summary of our significant accounting policies.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Accounting Standards Update ("ASU") 2014-09, "Revenue from Contracts with Customers", which will supersede most existing U.S. GAAP revenue recognition guidance. This new standard requires an entity to recognize revenue to depict the transfer of goods or services to customers in an amount that reflects the consideration to which an entity expects to be entitled in exchange for those goods or services. In addition, ASU 2014-09 contains expanded disclosure requirements relating to the nature, amount, timing, and uncertainty of revenue and cash flows arising from contracts with customers. ASU 2014-09 is effective for fiscal periods beginning after December 15, 2016 and permits the use of either the full retrospective or cumulative effect transition method. On July 9, 2015, the FASB postponed the effective date of the new revenue standard by one year; however, early adoption is permitted as of the original effective date. We do not plan to early adopt ASU 2014-09. We are currently reviewing contract terms and assessing the impact of adopting this standard on our consolidated financial statements. While we are still in the process of conducting this analysis, the impact of this new guidance is expected to accelerate revenue recognition for certain of our contractual arrangements, and the impact could be material. The types of contractual arrangements for which we expect revenue recognition to be accelerated upon the adoption of ASU 2014-09 are primarily those arrangements under which we manufacture and sell customized products that have no alternative use, as defined under ASU 2014-09 and related guidance and interpretations, as well as certain licensing arrangements. We expect to complete our assessment over the next three to six months, during which time we will also select a transition method.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2015, the FASB issued ASU 2015-11, "Simplifying the Measurement of Inventory", which states that inventory should be measured at the lower of cost and net realizable value. Net realizable value is defined as estimated selling price in the ordinary course of business, less reasonably predictable costs of completion, disposal and transportation. ASU 2015-11 is effective for fiscal periods beginning after December 15, 2016 and must be applied prospectively. The adoption of ASU 2015-11 did not have a material impact on our consolidated financial position or results of operations.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2015, the FASB issued ASU 2015-17, "Balance Sheet Classification of Deferred Taxes." This new guidance requires all deferred tax assets and liabilities, along with any related valuation allowance, be classified as non-current on the balance sheet. ASU 2015-17 is effective for fiscal periods beginning after December 15, 2016 and may be adopted either prospectively or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4" w:right="239" w:bottom="1440" w:gutter="0" w:footer="0" w:header="0"/>
        </w:sectPr>
      </w:pPr>
    </w:p>
    <w:bookmarkStart w:id="7" w:name="page8"/>
    <w:bookmarkEnd w:id="7"/>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5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retrospectively. We prospectively adopted ASU 2015-17 effective January 1, 2017, and thus prior period balance sheets have not been adjusted. The adoption of ASU 2015-17 had no impact on our consolidated results of operations or cash flows.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2016, the FASB issued ASU 2016-02, "Leases", which changes the accounting for leases and requires expanded disclosures about leasing activities. This new guidance will require lessees to recognize a right of use asset and a lease liability at the commencement date for all leases with terms greater than twelve months. Accounting by lessors is largely unchanged. ASU 2016-02 is effective for fiscal periods beginning after December 15, 2018 and must be adopted using a modified retrospective approach. Early adoption is permitted. We are currently evaluating the impact that ASU 2016-02 will have on our consolidated financial statements.</w:t>
      </w:r>
    </w:p>
    <w:p>
      <w:pPr>
        <w:spacing w:after="0" w:line="1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2016, the FASB issued ASU 2016-09,"Improvements to Employee Share-Based Payment Accounting", which amends Accounting Standards Codification ("ASC") 718, "Compensation - Stock Compensation". ASU 2016-09 requires excess tax benefits and tax deficiencies to be recorded as a discrete adjustment to income tax expense when stock awards vest or are settled, rather than in paid-in capital when they impact income taxes payable. This new guidance also requires cash flows related to excess tax benefits from stock-based compensation to be presented with other income tax cash flows in operating activities, rather than separately as a financing activity, in the statement of cash flows. Additionally, ASU 2016-09 impacts the calculation of diluted weighted-average shares under the treasury stock method as the assumed proceeds from an employee vesting in or exercising a stock-based award are no longer increased or decreased by the amount of excess tax benefits or deficiencies taken to paid-in capital. We elected to adopt the provisions of ASU 2016-09 prospectively effective January 1, 2017. We also made the accounting policy election, as allowed by ASU 2016-09, to account for forfeitures of stock-based awards as they occur, rather than estimating forfeitures. The cumulative effect of adopting ASU 2016-09 was an increase of $1.5 million to deferred tax assets and an increase to retained earnings of $1.5 million, as of January 1, 2017, as a result of recognizing previously unrecognized excess tax benefits from stock-based compensation. There was no cumulative effect impact related to the change in accounting policy to account for forfeitures of stock-based awards when they occur as a result of our minimal historical forfeitures experience.</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2016, the FASB issued ASU 2016-15, "Classification of Certain Cash Receipts and Cash Payments", which amends ASC 230, "Statement of Cash Flows". This new guidance addresses eight specific cash flow issues with the objective of reducing the existing diversity in practice in how certain transactions are classified in the statement of cash flows. ASU 2016-15 is effective for fiscal periods beginning after December 15, 2017 and must be adopted retrospectively. Early adoption is permitted as long as all amendments are adopted in the same period. We are currently evaluating the impact that ASU 2016-15 will have on our consolidated financial statements.</w:t>
      </w:r>
    </w:p>
    <w:p>
      <w:pPr>
        <w:spacing w:after="0" w:line="1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2016, the FASB issued ASU 2016-16, "Intra-Entity Transfers of Assets Other Than Inventory", which changes the accounting for income tax consequences of intra-entity transfers of assets other than inventory. Current guidance prohibits the recognition of current and deferred income taxes for an intra-entity asset transfer until the asset has been sold to an outside party. Under this new guidance, the income tax consequences of an intra-entity transfer of an asset other than inventory will be recognized when the transfer occurs. ASU 2016-16 is effective for fiscal periods beginning after December 15, 2017. Early adoption is permitted. The impact of the adoption of ASU 2016-16 could be material depending on the size of any intra-entity transfers we may implement in future periods.</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2016, the FASB issued ASU 2016-18,"Restricted Cash", which amends ASC 230, "Statement of Cash Flows". This new guidance addresses the classifications and presentation of changes in restricted cash in the statement of cash flows. ASU 2016-18 is effective for fiscal periods beginning after December 15, 2017 and must be adopted retrospectively. Early adoption is permitted. The adoption of ASU 2016-18 will modify our current disclosures by reclassifying certain amounts within the consolidated statement of cash flows, but is not expected to have a material effect on our consolidated financial statements.</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2017, the FASB issued ASU 2017-04, "Simplifying the Test for Goodwill Impairment". This guidance simplifies how an entity is required to test goodwill for impairment by eliminating Step 2 from the goodwill impairment test. Instead, if the carrying amount of a reporting unit exceeds its fair value, an impairment loss will be recognized in an amount equal to that excess, limited to the total amount of goodwill allocated to the reporting unit. ASU 2017-04 is effective for fiscal periods beginning after December 31, 2019. Early adoption is permitted. We do not expect the adoption of ASU 2017-04 to have a material impact on our consolidated financial statements.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4" w:right="239" w:bottom="1440" w:gutter="0" w:footer="0" w:header="0"/>
        </w:sectPr>
      </w:pPr>
    </w:p>
    <w:bookmarkStart w:id="8" w:name="page9"/>
    <w:bookmarkEnd w:id="8"/>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Cash and Cash Equivalents and Restricted Cash</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were held in the following geographic regions: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20" w:type="dxa"/>
            <w:vAlign w:val="bottom"/>
          </w:tcPr>
          <w:p>
            <w:pPr>
              <w:spacing w:after="0"/>
              <w:rPr>
                <w:sz w:val="16"/>
                <w:szCs w:val="16"/>
                <w:color w:val="auto"/>
              </w:rPr>
            </w:pPr>
          </w:p>
        </w:tc>
        <w:tc>
          <w:tcPr>
            <w:tcW w:w="16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49"/>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3,277</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People's Republic of China ("PRC")</w:t>
            </w:r>
          </w:p>
        </w:tc>
        <w:tc>
          <w:tcPr>
            <w:tcW w:w="32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17,225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22,142</w:t>
            </w: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Asia (excluding the PRC)</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5,260</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32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17,170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19,630</w:t>
            </w: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South America</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4,159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302</w:t>
            </w:r>
          </w:p>
        </w:tc>
      </w:tr>
      <w:tr>
        <w:trPr>
          <w:trHeight w:val="257"/>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49,695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50,611</w:t>
            </w:r>
          </w:p>
        </w:tc>
      </w:tr>
      <w:tr>
        <w:trPr>
          <w:trHeight w:val="20"/>
        </w:trPr>
        <w:tc>
          <w:tcPr>
            <w:tcW w:w="7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a court order issued in a now settled litigation matter, we previously placed $4.6 million of cash into a collateralized surety bond. This bond had certain restrictions for liquidation and was therefore classified as restricted cash. On February 10, 2017, the $4.6 million surety bond was returned to us upon final settlement of the related litigation matter.</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pending sale of our Guangzhou factory in the PRC (Note 10), the buyer made a cash deposit of RMB 32 million ($4.7 million based on June 30, 2017 exchange rates) into an escrow account on September 29, 2016. Under the terms of the escrow account, these funds will not be paid to us until the close of the sale. Accordingly, this deposit is presented as long-term restricted cash within our consolidated balance sheet.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Accounts Receivable, Net and Revenue Concentrations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receivables, gross</w:t>
            </w:r>
          </w:p>
        </w:tc>
        <w:tc>
          <w:tcPr>
            <w:tcW w:w="30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140,845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120,965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Allowance for sales returns</w:t>
            </w:r>
          </w:p>
        </w:tc>
        <w:tc>
          <w:tcPr>
            <w:tcW w:w="27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trade receivables</w:t>
            </w:r>
          </w:p>
        </w:tc>
        <w:tc>
          <w:tcPr>
            <w:tcW w:w="27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139,415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119,522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7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8,323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5,070</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7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147,738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124,592</w:t>
            </w:r>
          </w:p>
        </w:tc>
        <w:tc>
          <w:tcPr>
            <w:tcW w:w="0" w:type="dxa"/>
            <w:vAlign w:val="bottom"/>
          </w:tcPr>
          <w:p>
            <w:pPr>
              <w:spacing w:after="0"/>
              <w:rPr>
                <w:sz w:val="1"/>
                <w:szCs w:val="1"/>
                <w:color w:val="auto"/>
              </w:rPr>
            </w:pPr>
          </w:p>
        </w:tc>
      </w:tr>
      <w:tr>
        <w:trPr>
          <w:trHeight w:val="27"/>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Allowance for Doubtful Accounts</w:t>
            </w:r>
          </w:p>
        </w:tc>
        <w:tc>
          <w:tcPr>
            <w:tcW w:w="2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vMerge w:val="continu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160" w:type="dxa"/>
            <w:vAlign w:val="bottom"/>
            <w:vMerge w:val="continue"/>
          </w:tcPr>
          <w:p>
            <w:pPr>
              <w:spacing w:after="0"/>
              <w:rPr>
                <w:sz w:val="24"/>
                <w:szCs w:val="24"/>
                <w:color w:val="auto"/>
              </w:rPr>
            </w:pPr>
          </w:p>
        </w:tc>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allowance for doubtful accounts were as follows:</w:t>
            </w:r>
          </w:p>
        </w:tc>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51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4"/>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7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0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 (reductions) to costs and expenses</w:t>
            </w:r>
          </w:p>
        </w:tc>
        <w:tc>
          <w:tcPr>
            <w:tcW w:w="2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(Write-offs)/Foreign exchange effects</w:t>
            </w:r>
          </w:p>
        </w:tc>
        <w:tc>
          <w:tcPr>
            <w:tcW w:w="27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7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740" w:type="dxa"/>
            <w:vAlign w:val="bottom"/>
            <w:vMerge w:val="restart"/>
          </w:tcPr>
          <w:p>
            <w:pPr>
              <w:jc w:val="right"/>
              <w:ind w:right="2050"/>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9" w:name="page10"/>
    <w:bookmarkEnd w:id="9"/>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2017</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Returns</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allowance for sales returns at June 30, 2017 and December 31, 2016 included reserves for items returned prior to period-end that were not completely processed, and therefore had not yet been removed from the allowance for sales returns balance. If these returns had been fully processed, the allowance for sales returns balance would have been approximately $0.2 million and $0.4 million on June 30, 2017 and December 31, 2016, respectively. The value of these returned goods was included in our inventory balance at June 30, 2017 and December 31, 2016.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Customers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to the following customers totaled more than 10% of our net sales: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64"/>
        </w:trPr>
        <w:tc>
          <w:tcPr>
            <w:tcW w:w="60" w:type="dxa"/>
            <w:vAlign w:val="bottom"/>
          </w:tcPr>
          <w:p>
            <w:pPr>
              <w:spacing w:after="0"/>
              <w:rPr>
                <w:sz w:val="22"/>
                <w:szCs w:val="22"/>
                <w:color w:val="auto"/>
              </w:rPr>
            </w:pPr>
          </w:p>
        </w:tc>
        <w:tc>
          <w:tcPr>
            <w:tcW w:w="538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5"/>
          </w:tcPr>
          <w:p>
            <w:pPr>
              <w:jc w:val="right"/>
              <w:ind w:right="1208"/>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60" w:type="dxa"/>
            <w:vAlign w:val="bottom"/>
          </w:tcPr>
          <w:p>
            <w:pPr>
              <w:spacing w:after="0"/>
              <w:rPr>
                <w:sz w:val="22"/>
                <w:szCs w:val="22"/>
                <w:color w:val="auto"/>
              </w:rPr>
            </w:pPr>
          </w:p>
        </w:tc>
      </w:tr>
      <w:tr>
        <w:trPr>
          <w:trHeight w:val="264"/>
        </w:trPr>
        <w:tc>
          <w:tcPr>
            <w:tcW w:w="60" w:type="dxa"/>
            <w:vAlign w:val="bottom"/>
            <w:tcBorders>
              <w:bottom w:val="single" w:sz="8" w:color="CCEEFF"/>
            </w:tcBorders>
          </w:tcPr>
          <w:p>
            <w:pPr>
              <w:spacing w:after="0"/>
              <w:rPr>
                <w:sz w:val="22"/>
                <w:szCs w:val="22"/>
                <w:color w:val="auto"/>
              </w:rPr>
            </w:pPr>
          </w:p>
        </w:tc>
        <w:tc>
          <w:tcPr>
            <w:tcW w:w="538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20" w:type="dxa"/>
            <w:vAlign w:val="bottom"/>
            <w:tcBorders>
              <w:bottom w:val="single" w:sz="8" w:color="CCEEFF"/>
            </w:tcBorders>
            <w:gridSpan w:val="2"/>
          </w:tcPr>
          <w:p>
            <w:pPr>
              <w:spacing w:after="0"/>
              <w:rPr>
                <w:sz w:val="22"/>
                <w:szCs w:val="22"/>
                <w:color w:val="auto"/>
              </w:rPr>
            </w:pPr>
          </w:p>
        </w:tc>
        <w:tc>
          <w:tcPr>
            <w:tcW w:w="220" w:type="dxa"/>
            <w:vAlign w:val="bottom"/>
            <w:tcBorders>
              <w:bottom w:val="single" w:sz="8" w:color="auto"/>
            </w:tcBorders>
            <w:gridSpan w:val="2"/>
          </w:tcPr>
          <w:p>
            <w:pPr>
              <w:spacing w:after="0"/>
              <w:rPr>
                <w:sz w:val="22"/>
                <w:szCs w:val="22"/>
                <w:color w:val="auto"/>
              </w:rPr>
            </w:pPr>
          </w:p>
        </w:tc>
        <w:tc>
          <w:tcPr>
            <w:tcW w:w="1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120" w:type="dxa"/>
            <w:vAlign w:val="bottom"/>
            <w:tcBorders>
              <w:bottom w:val="single" w:sz="8" w:color="CCEEFF"/>
            </w:tcBorders>
            <w:gridSpan w:val="2"/>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60" w:type="dxa"/>
            <w:vAlign w:val="bottom"/>
          </w:tcPr>
          <w:p>
            <w:pPr>
              <w:spacing w:after="0"/>
              <w:rPr>
                <w:sz w:val="22"/>
                <w:szCs w:val="22"/>
                <w:color w:val="auto"/>
              </w:rPr>
            </w:pPr>
          </w:p>
        </w:tc>
      </w:tr>
      <w:tr>
        <w:trPr>
          <w:trHeight w:val="249"/>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Comcast Corporation</w:t>
            </w: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42,951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24.2%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36,366</w:t>
            </w:r>
          </w:p>
        </w:tc>
        <w:tc>
          <w:tcPr>
            <w:tcW w:w="1580" w:type="dxa"/>
            <w:vAlign w:val="bottom"/>
            <w:tcBorders>
              <w:bottom w:val="single" w:sz="8" w:color="CCEEFF"/>
            </w:tcBorders>
            <w:gridSpan w:val="5"/>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21.3%</w:t>
            </w:r>
          </w:p>
        </w:tc>
        <w:tc>
          <w:tcPr>
            <w:tcW w:w="60" w:type="dxa"/>
            <w:vAlign w:val="bottom"/>
          </w:tcPr>
          <w:p>
            <w:pPr>
              <w:spacing w:after="0"/>
              <w:rPr>
                <w:sz w:val="21"/>
                <w:szCs w:val="21"/>
                <w:color w:val="auto"/>
              </w:rPr>
            </w:pPr>
          </w:p>
        </w:tc>
      </w:tr>
      <w:tr>
        <w:trPr>
          <w:trHeight w:val="243"/>
        </w:trPr>
        <w:tc>
          <w:tcPr>
            <w:tcW w:w="5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DIRECTV</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17,826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20,035</w:t>
            </w:r>
          </w:p>
        </w:tc>
        <w:tc>
          <w:tcPr>
            <w:tcW w:w="1580" w:type="dxa"/>
            <w:vAlign w:val="bottom"/>
            <w:gridSpan w:val="5"/>
          </w:tcPr>
          <w:p>
            <w:pPr>
              <w:ind w:left="1080"/>
              <w:spacing w:after="0"/>
              <w:rPr>
                <w:sz w:val="20"/>
                <w:szCs w:val="20"/>
                <w:color w:val="auto"/>
              </w:rPr>
            </w:pPr>
            <w:r>
              <w:rPr>
                <w:rFonts w:ascii="Times New Roman" w:cs="Times New Roman" w:eastAsia="Times New Roman" w:hAnsi="Times New Roman"/>
                <w:sz w:val="18"/>
                <w:szCs w:val="18"/>
                <w:color w:val="auto"/>
              </w:rPr>
              <w:t>11.7</w:t>
            </w:r>
          </w:p>
        </w:tc>
        <w:tc>
          <w:tcPr>
            <w:tcW w:w="60" w:type="dxa"/>
            <w:vAlign w:val="bottom"/>
          </w:tcPr>
          <w:p>
            <w:pPr>
              <w:spacing w:after="0"/>
              <w:rPr>
                <w:sz w:val="21"/>
                <w:szCs w:val="21"/>
                <w:color w:val="auto"/>
              </w:rPr>
            </w:pPr>
          </w:p>
        </w:tc>
      </w:tr>
      <w:tr>
        <w:trPr>
          <w:trHeight w:val="657"/>
        </w:trPr>
        <w:tc>
          <w:tcPr>
            <w:tcW w:w="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64"/>
        </w:trPr>
        <w:tc>
          <w:tcPr>
            <w:tcW w:w="60" w:type="dxa"/>
            <w:vAlign w:val="bottom"/>
          </w:tcPr>
          <w:p>
            <w:pPr>
              <w:spacing w:after="0"/>
              <w:rPr>
                <w:sz w:val="22"/>
                <w:szCs w:val="22"/>
                <w:color w:val="auto"/>
              </w:rPr>
            </w:pPr>
          </w:p>
        </w:tc>
        <w:tc>
          <w:tcPr>
            <w:tcW w:w="5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5"/>
          </w:tcPr>
          <w:p>
            <w:pPr>
              <w:jc w:val="right"/>
              <w:ind w:right="1168"/>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auto"/>
            </w:tcBorders>
          </w:tcPr>
          <w:p>
            <w:pPr>
              <w:spacing w:after="0"/>
              <w:rPr>
                <w:sz w:val="22"/>
                <w:szCs w:val="22"/>
                <w:color w:val="auto"/>
              </w:rPr>
            </w:pPr>
          </w:p>
        </w:tc>
      </w:tr>
      <w:tr>
        <w:trPr>
          <w:trHeight w:val="264"/>
        </w:trPr>
        <w:tc>
          <w:tcPr>
            <w:tcW w:w="60" w:type="dxa"/>
            <w:vAlign w:val="bottom"/>
          </w:tcPr>
          <w:p>
            <w:pPr>
              <w:spacing w:after="0"/>
              <w:rPr>
                <w:sz w:val="22"/>
                <w:szCs w:val="22"/>
                <w:color w:val="auto"/>
              </w:rPr>
            </w:pPr>
          </w:p>
        </w:tc>
        <w:tc>
          <w:tcPr>
            <w:tcW w:w="538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00" w:type="dxa"/>
            <w:vAlign w:val="bottom"/>
            <w:tcBorders>
              <w:bottom w:val="single" w:sz="8" w:color="CCEEFF"/>
            </w:tcBorders>
            <w:gridSpan w:val="2"/>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 of Net Sales</w:t>
            </w:r>
          </w:p>
        </w:tc>
      </w:tr>
      <w:tr>
        <w:trPr>
          <w:trHeight w:val="249"/>
        </w:trPr>
        <w:tc>
          <w:tcPr>
            <w:tcW w:w="60" w:type="dxa"/>
            <w:vAlign w:val="bottom"/>
          </w:tcPr>
          <w:p>
            <w:pPr>
              <w:spacing w:after="0"/>
              <w:rPr>
                <w:sz w:val="21"/>
                <w:szCs w:val="21"/>
                <w:color w:val="auto"/>
              </w:rPr>
            </w:pPr>
          </w:p>
        </w:tc>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Comcast Corporation</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85,198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25.1%</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75,975</w:t>
            </w:r>
          </w:p>
        </w:tc>
        <w:tc>
          <w:tcPr>
            <w:tcW w:w="1640" w:type="dxa"/>
            <w:vAlign w:val="bottom"/>
            <w:tcBorders>
              <w:bottom w:val="single" w:sz="8" w:color="CCEEFF"/>
            </w:tcBorders>
            <w:gridSpan w:val="6"/>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23.6%</w:t>
            </w:r>
          </w:p>
        </w:tc>
      </w:tr>
      <w:tr>
        <w:trPr>
          <w:trHeight w:val="243"/>
        </w:trPr>
        <w:tc>
          <w:tcPr>
            <w:tcW w:w="60" w:type="dxa"/>
            <w:vAlign w:val="bottom"/>
          </w:tcPr>
          <w:p>
            <w:pPr>
              <w:spacing w:after="0"/>
              <w:rPr>
                <w:sz w:val="21"/>
                <w:szCs w:val="21"/>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DIRECTV</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36,854</w:t>
            </w:r>
          </w:p>
        </w:tc>
        <w:tc>
          <w:tcPr>
            <w:tcW w:w="1580" w:type="dxa"/>
            <w:vAlign w:val="bottom"/>
            <w:gridSpan w:val="5"/>
          </w:tcPr>
          <w:p>
            <w:pPr>
              <w:ind w:left="1140"/>
              <w:spacing w:after="0"/>
              <w:rPr>
                <w:sz w:val="20"/>
                <w:szCs w:val="20"/>
                <w:color w:val="auto"/>
              </w:rPr>
            </w:pPr>
            <w:r>
              <w:rPr>
                <w:rFonts w:ascii="Times New Roman" w:cs="Times New Roman" w:eastAsia="Times New Roman" w:hAnsi="Times New Roman"/>
                <w:sz w:val="18"/>
                <w:szCs w:val="18"/>
                <w:color w:val="auto"/>
              </w:rPr>
              <w:t>11.5</w:t>
            </w:r>
          </w:p>
        </w:tc>
        <w:tc>
          <w:tcPr>
            <w:tcW w:w="60" w:type="dxa"/>
            <w:vAlign w:val="bottom"/>
          </w:tcPr>
          <w:p>
            <w:pPr>
              <w:spacing w:after="0"/>
              <w:rPr>
                <w:sz w:val="21"/>
                <w:szCs w:val="21"/>
                <w:color w:val="auto"/>
              </w:rPr>
            </w:pPr>
          </w:p>
        </w:tc>
      </w:tr>
    </w:tbl>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receivables associated with these significant customers that totaled more than 10% of our accounts receivable, net were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restart"/>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00" w:type="dxa"/>
            <w:vAlign w:val="bottom"/>
            <w:vMerge w:val="restart"/>
          </w:tcPr>
          <w:p>
            <w:pPr>
              <w:spacing w:after="0"/>
              <w:rPr>
                <w:sz w:val="12"/>
                <w:szCs w:val="12"/>
                <w:color w:val="auto"/>
              </w:rPr>
            </w:pPr>
          </w:p>
        </w:tc>
        <w:tc>
          <w:tcPr>
            <w:tcW w:w="1300" w:type="dxa"/>
            <w:vAlign w:val="bottom"/>
            <w:gridSpan w:val="2"/>
          </w:tcPr>
          <w:p>
            <w:pPr>
              <w:jc w:val="right"/>
              <w:ind w:right="50"/>
              <w:spacing w:after="0" w:line="149" w:lineRule="exact"/>
              <w:rPr>
                <w:sz w:val="20"/>
                <w:szCs w:val="20"/>
                <w:color w:val="auto"/>
              </w:rPr>
            </w:pPr>
            <w:r>
              <w:rPr>
                <w:rFonts w:ascii="Times New Roman" w:cs="Times New Roman" w:eastAsia="Times New Roman" w:hAnsi="Times New Roman"/>
                <w:sz w:val="14"/>
                <w:szCs w:val="14"/>
                <w:b w:val="1"/>
                <w:bCs w:val="1"/>
                <w:color w:val="auto"/>
              </w:rPr>
              <w:t>% of Accounts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right"/>
              <w:ind w:right="195"/>
              <w:spacing w:after="0" w:line="149" w:lineRule="exact"/>
              <w:rPr>
                <w:sz w:val="20"/>
                <w:szCs w:val="20"/>
                <w:color w:val="auto"/>
              </w:rPr>
            </w:pPr>
            <w:r>
              <w:rPr>
                <w:rFonts w:ascii="Times New Roman" w:cs="Times New Roman" w:eastAsia="Times New Roman" w:hAnsi="Times New Roman"/>
                <w:sz w:val="14"/>
                <w:szCs w:val="14"/>
                <w:b w:val="1"/>
                <w:bCs w:val="1"/>
                <w:color w:val="auto"/>
              </w:rPr>
              <w:t>% of Accounts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54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Receivable, Net</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Receivable, Net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0" w:type="dxa"/>
            <w:vAlign w:val="bottom"/>
          </w:tcPr>
          <w:p>
            <w:pPr>
              <w:spacing w:after="0"/>
              <w:rPr>
                <w:sz w:val="21"/>
                <w:szCs w:val="21"/>
                <w:color w:val="auto"/>
              </w:rPr>
            </w:pPr>
          </w:p>
        </w:tc>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Comcast Corporation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30,491</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5"/>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20.6%  $</w:t>
            </w:r>
          </w:p>
        </w:tc>
        <w:tc>
          <w:tcPr>
            <w:tcW w:w="11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23,716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DIRECTV</w:t>
            </w:r>
          </w:p>
        </w:tc>
        <w:tc>
          <w:tcPr>
            <w:tcW w:w="12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15,718</w:t>
            </w:r>
          </w:p>
        </w:tc>
        <w:tc>
          <w:tcPr>
            <w:tcW w:w="100" w:type="dxa"/>
            <w:vAlign w:val="bottom"/>
          </w:tcPr>
          <w:p>
            <w:pPr>
              <w:spacing w:after="0"/>
              <w:rPr>
                <w:sz w:val="21"/>
                <w:szCs w:val="21"/>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12,878</w:t>
            </w:r>
          </w:p>
        </w:tc>
        <w:tc>
          <w:tcPr>
            <w:tcW w:w="100" w:type="dxa"/>
            <w:vAlign w:val="bottom"/>
          </w:tcPr>
          <w:p>
            <w:pPr>
              <w:spacing w:after="0"/>
              <w:rPr>
                <w:sz w:val="21"/>
                <w:szCs w:val="21"/>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4 — Inventories, Net and Significant Supplier</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net were as follows: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5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40,035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33,059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Components</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20,241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15,046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5,860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82,121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80,119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Reserve for excess and obsolete inventory</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143,417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129,879</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vMerge w:val="restart"/>
          </w:tcPr>
          <w:p>
            <w:pPr>
              <w:jc w:val="right"/>
              <w:ind w:right="957"/>
              <w:spacing w:after="0"/>
              <w:rPr>
                <w:sz w:val="20"/>
                <w:szCs w:val="20"/>
                <w:color w:val="auto"/>
              </w:rPr>
            </w:pPr>
            <w:r>
              <w:rPr>
                <w:rFonts w:ascii="Times New Roman" w:cs="Times New Roman" w:eastAsia="Times New Roman" w:hAnsi="Times New Roman"/>
                <w:sz w:val="18"/>
                <w:szCs w:val="18"/>
                <w:color w:val="auto"/>
                <w:w w:val="88"/>
              </w:rPr>
              <w:t>10</w:t>
            </w: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0" w:name="page11"/>
    <w:bookmarkEnd w:id="10"/>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2017</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Reserve for Excess and Obsolete Inventory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reserve for excess and obsolete inventory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78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4,205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3,045</w:t>
            </w:r>
          </w:p>
        </w:tc>
      </w:tr>
      <w:tr>
        <w:trPr>
          <w:trHeight w:val="270"/>
        </w:trPr>
        <w:tc>
          <w:tcPr>
            <w:tcW w:w="786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Additions charged to costs and expenses </w:t>
            </w:r>
            <w:r>
              <w:rPr>
                <w:rFonts w:ascii="Times New Roman" w:cs="Times New Roman" w:eastAsia="Times New Roman" w:hAnsi="Times New Roman"/>
                <w:sz w:val="25"/>
                <w:szCs w:val="25"/>
                <w:color w:val="auto"/>
                <w:vertAlign w:val="superscript"/>
              </w:rPr>
              <w:t>(1)</w:t>
            </w:r>
          </w:p>
        </w:tc>
        <w:tc>
          <w:tcPr>
            <w:tcW w:w="420" w:type="dxa"/>
            <w:vAlign w:val="bottom"/>
          </w:tcPr>
          <w:p>
            <w:pPr>
              <w:spacing w:after="0"/>
              <w:rPr>
                <w:sz w:val="23"/>
                <w:szCs w:val="23"/>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1,218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1,486</w:t>
            </w:r>
          </w:p>
        </w:tc>
      </w:tr>
      <w:tr>
        <w:trPr>
          <w:trHeight w:val="270"/>
        </w:trPr>
        <w:tc>
          <w:tcPr>
            <w:tcW w:w="786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Sell through </w:t>
            </w:r>
            <w:r>
              <w:rPr>
                <w:rFonts w:ascii="Times New Roman" w:cs="Times New Roman" w:eastAsia="Times New Roman" w:hAnsi="Times New Roman"/>
                <w:sz w:val="25"/>
                <w:szCs w:val="25"/>
                <w:color w:val="auto"/>
                <w:vertAlign w:val="superscript"/>
              </w:rPr>
              <w:t>(2)</w:t>
            </w: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43"/>
        </w:trPr>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(Write-offs)/Foreign exchange effects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7"/>
        </w:trPr>
        <w:tc>
          <w:tcPr>
            <w:tcW w:w="78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4,207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3,549</w:t>
            </w:r>
          </w:p>
        </w:tc>
      </w:tr>
      <w:tr>
        <w:trPr>
          <w:trHeight w:val="20"/>
        </w:trPr>
        <w:tc>
          <w:tcPr>
            <w:tcW w:w="7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660" w:hanging="328"/>
        <w:spacing w:after="0" w:line="228" w:lineRule="auto"/>
        <w:tabs>
          <w:tab w:leader="none" w:pos="660" w:val="left"/>
        </w:tabs>
        <w:numPr>
          <w:ilvl w:val="0"/>
          <w:numId w:val="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additions charged to costs and expenses do not include inventory directly written-off that was scrapped during production totaling $0.2 million and $0.2 million for the six months ended June 30, 2017 and 2016, respectively. These amounts are production waste and are not included in management's reserve for excess and obsolete inventory.</w:t>
      </w:r>
    </w:p>
    <w:p>
      <w:pPr>
        <w:spacing w:after="0" w:line="36" w:lineRule="exact"/>
        <w:rPr>
          <w:rFonts w:ascii="Times New Roman" w:cs="Times New Roman" w:eastAsia="Times New Roman" w:hAnsi="Times New Roman"/>
          <w:sz w:val="25"/>
          <w:szCs w:val="25"/>
          <w:color w:val="auto"/>
          <w:vertAlign w:val="superscript"/>
        </w:rPr>
      </w:pPr>
    </w:p>
    <w:p>
      <w:pPr>
        <w:ind w:left="660" w:hanging="328"/>
        <w:spacing w:after="0"/>
        <w:tabs>
          <w:tab w:leader="none" w:pos="660" w:val="left"/>
        </w:tabs>
        <w:numPr>
          <w:ilvl w:val="0"/>
          <w:numId w:val="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These amounts represent the reduction in reserves associated with inventory items that were sold during the period.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Supplier</w:t>
      </w:r>
    </w:p>
    <w:p>
      <w:pPr>
        <w:spacing w:after="0" w:line="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purchase integrated circuits, components and finished goods from multiple sources. Purchases from the following supplier totaled more than 10% of our total inventory purchases: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5"/>
          </w:tcPr>
          <w:p>
            <w:pPr>
              <w:jc w:val="right"/>
              <w:ind w:right="1328"/>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5"/>
          </w:tcPr>
          <w:p>
            <w:pPr>
              <w:jc w:val="right"/>
              <w:ind w:right="1328"/>
              <w:spacing w:after="0"/>
              <w:rPr>
                <w:sz w:val="20"/>
                <w:szCs w:val="20"/>
                <w:color w:val="auto"/>
              </w:rPr>
            </w:pPr>
            <w:r>
              <w:rPr>
                <w:rFonts w:ascii="Times New Roman" w:cs="Times New Roman" w:eastAsia="Times New Roman" w:hAnsi="Times New Roman"/>
                <w:sz w:val="14"/>
                <w:szCs w:val="14"/>
                <w:b w:val="1"/>
                <w:bCs w:val="1"/>
                <w:color w:val="auto"/>
              </w:rPr>
              <w:t>2016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restart"/>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0" w:type="dxa"/>
            <w:vAlign w:val="bottom"/>
            <w:tcBorders>
              <w:bottom w:val="single" w:sz="8" w:color="CCEEFF"/>
            </w:tcBorders>
          </w:tcPr>
          <w:p>
            <w:pPr>
              <w:spacing w:after="0"/>
              <w:rPr>
                <w:sz w:val="16"/>
                <w:szCs w:val="16"/>
                <w:color w:val="auto"/>
              </w:rPr>
            </w:pPr>
          </w:p>
        </w:tc>
        <w:tc>
          <w:tcPr>
            <w:tcW w:w="49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Inventory Purchases</w:t>
            </w:r>
          </w:p>
        </w:tc>
        <w:tc>
          <w:tcPr>
            <w:tcW w:w="12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Inventory Purchases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Texas Instruments</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11,450</w:t>
            </w:r>
          </w:p>
        </w:tc>
        <w:tc>
          <w:tcPr>
            <w:tcW w:w="170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11,437</w:t>
            </w:r>
          </w:p>
        </w:tc>
        <w:tc>
          <w:tcPr>
            <w:tcW w:w="17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1"/>
        </w:trPr>
        <w:tc>
          <w:tcPr>
            <w:tcW w:w="4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5"/>
          </w:tcPr>
          <w:p>
            <w:pPr>
              <w:jc w:val="right"/>
              <w:ind w:right="12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5"/>
          </w:tcPr>
          <w:p>
            <w:pPr>
              <w:jc w:val="right"/>
              <w:ind w:right="13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49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Inventory Purchases</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Inventory Purchases</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Texas Instruments</w:t>
            </w: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20,578</w:t>
            </w:r>
          </w:p>
        </w:tc>
        <w:tc>
          <w:tcPr>
            <w:tcW w:w="170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19,941</w:t>
            </w:r>
          </w:p>
        </w:tc>
        <w:tc>
          <w:tcPr>
            <w:tcW w:w="17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675"/>
        </w:trPr>
        <w:tc>
          <w:tcPr>
            <w:tcW w:w="4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1" w:name="page12"/>
    <w:bookmarkEnd w:id="11"/>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Supplier</w:t>
      </w:r>
    </w:p>
    <w:p>
      <w:pPr>
        <w:spacing w:after="0" w:line="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purchase certain printed circuit board assemblies from a related party supplier. The supplier is considered a related party for financial reporting purposes because our Senior Vice President of Strategic Operations owns 40% of this vendor. Inventory purchases from this supplier were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0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5"/>
          </w:tcPr>
          <w:p>
            <w:pPr>
              <w:jc w:val="right"/>
              <w:ind w:right="13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5"/>
          </w:tcPr>
          <w:p>
            <w:pPr>
              <w:jc w:val="right"/>
              <w:ind w:right="13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200" w:type="dxa"/>
            <w:vAlign w:val="bottom"/>
          </w:tcPr>
          <w:p>
            <w:pPr>
              <w:spacing w:after="0"/>
              <w:rPr>
                <w:sz w:val="12"/>
                <w:szCs w:val="12"/>
                <w:color w:val="auto"/>
              </w:rPr>
            </w:pPr>
          </w:p>
        </w:tc>
        <w:tc>
          <w:tcPr>
            <w:tcW w:w="11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0" w:type="dxa"/>
            <w:vAlign w:val="bottom"/>
          </w:tcPr>
          <w:p>
            <w:pPr>
              <w:spacing w:after="0"/>
              <w:rPr>
                <w:sz w:val="1"/>
                <w:szCs w:val="1"/>
                <w:color w:val="auto"/>
              </w:rPr>
            </w:pPr>
          </w:p>
        </w:tc>
      </w:tr>
      <w:tr>
        <w:trPr>
          <w:trHeight w:val="195"/>
        </w:trPr>
        <w:tc>
          <w:tcPr>
            <w:tcW w:w="40" w:type="dxa"/>
            <w:vAlign w:val="bottom"/>
            <w:tcBorders>
              <w:bottom w:val="single" w:sz="8" w:color="CCEEFF"/>
            </w:tcBorders>
          </w:tcPr>
          <w:p>
            <w:pPr>
              <w:spacing w:after="0"/>
              <w:rPr>
                <w:sz w:val="16"/>
                <w:szCs w:val="16"/>
                <w:color w:val="auto"/>
              </w:rPr>
            </w:pPr>
          </w:p>
        </w:tc>
        <w:tc>
          <w:tcPr>
            <w:tcW w:w="50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gridSpan w:val="2"/>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Inventory Purchases</w:t>
            </w:r>
          </w:p>
        </w:tc>
        <w:tc>
          <w:tcPr>
            <w:tcW w:w="120" w:type="dxa"/>
            <w:vAlign w:val="bottom"/>
            <w:tcBorders>
              <w:bottom w:val="single" w:sz="8" w:color="CCEEFF"/>
            </w:tcBorders>
            <w:gridSpan w:val="2"/>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Inventory Purchases</w:t>
            </w:r>
          </w:p>
        </w:tc>
        <w:tc>
          <w:tcPr>
            <w:tcW w:w="0" w:type="dxa"/>
            <w:vAlign w:val="bottom"/>
          </w:tcPr>
          <w:p>
            <w:pPr>
              <w:spacing w:after="0"/>
              <w:rPr>
                <w:sz w:val="1"/>
                <w:szCs w:val="1"/>
                <w:color w:val="auto"/>
              </w:rPr>
            </w:pPr>
          </w:p>
        </w:tc>
      </w:tr>
      <w:tr>
        <w:trPr>
          <w:trHeight w:val="249"/>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Related party supplier</w:t>
            </w:r>
          </w:p>
        </w:tc>
        <w:tc>
          <w:tcPr>
            <w:tcW w:w="4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7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7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62"/>
        </w:trPr>
        <w:tc>
          <w:tcPr>
            <w:tcW w:w="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5"/>
          </w:tcPr>
          <w:p>
            <w:pPr>
              <w:jc w:val="right"/>
              <w:ind w:right="13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5"/>
          </w:tcPr>
          <w:p>
            <w:pPr>
              <w:jc w:val="right"/>
              <w:ind w:right="1348"/>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200" w:type="dxa"/>
            <w:vAlign w:val="bottom"/>
          </w:tcPr>
          <w:p>
            <w:pPr>
              <w:spacing w:after="0"/>
              <w:rPr>
                <w:sz w:val="12"/>
                <w:szCs w:val="12"/>
                <w:color w:val="auto"/>
              </w:rPr>
            </w:pPr>
          </w:p>
        </w:tc>
        <w:tc>
          <w:tcPr>
            <w:tcW w:w="11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50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Inventory Purchases</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Inventory Purchases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supplier</w:t>
            </w:r>
          </w:p>
        </w:tc>
        <w:tc>
          <w:tcPr>
            <w:tcW w:w="4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17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7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accounts payable to this supplier were as follows:</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7"/>
          </w:tcPr>
          <w:p>
            <w:pPr>
              <w:ind w:left="74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20" w:type="dxa"/>
            <w:vAlign w:val="bottom"/>
            <w:gridSpan w:val="2"/>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50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 of Accounts Payable</w:t>
            </w:r>
          </w:p>
        </w:tc>
        <w:tc>
          <w:tcPr>
            <w:tcW w:w="120" w:type="dxa"/>
            <w:vAlign w:val="bottom"/>
            <w:tcBorders>
              <w:bottom w:val="single" w:sz="8" w:color="CCEEFF"/>
            </w:tcBorders>
            <w:gridSpan w:val="2"/>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 of Accounts Payable</w:t>
            </w:r>
          </w:p>
        </w:tc>
        <w:tc>
          <w:tcPr>
            <w:tcW w:w="0" w:type="dxa"/>
            <w:vAlign w:val="bottom"/>
          </w:tcPr>
          <w:p>
            <w:pPr>
              <w:spacing w:after="0"/>
              <w:rPr>
                <w:sz w:val="1"/>
                <w:szCs w:val="1"/>
                <w:color w:val="auto"/>
              </w:rPr>
            </w:pPr>
          </w:p>
        </w:tc>
      </w:tr>
      <w:tr>
        <w:trPr>
          <w:trHeight w:val="242"/>
        </w:trPr>
        <w:tc>
          <w:tcPr>
            <w:tcW w:w="5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Related party supplier</w:t>
            </w:r>
          </w:p>
        </w:tc>
        <w:tc>
          <w:tcPr>
            <w:tcW w:w="4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7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7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50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Our payment terms and pricing with this supplier are consistent with the terms offered by other suppliers in the ordinary course of business. The accounting policies that we apply to our transactions with our related party supplier are consistent with those applied in transactions with independent third parties. Corporate management routinely monitors purchases from our related party supplier to ensure these purchases remain consistent with our business objectives.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Goodwill and Intangible Assets, Net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5"/>
        </w:trPr>
        <w:tc>
          <w:tcPr>
            <w:tcW w:w="9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43,052</w:t>
            </w:r>
          </w:p>
        </w:tc>
      </w:tr>
      <w:tr>
        <w:trPr>
          <w:trHeight w:val="270"/>
        </w:trPr>
        <w:tc>
          <w:tcPr>
            <w:tcW w:w="9800" w:type="dxa"/>
            <w:vAlign w:val="bottom"/>
          </w:tcPr>
          <w:p>
            <w:pPr>
              <w:ind w:left="380"/>
              <w:spacing w:after="0" w:line="270" w:lineRule="exact"/>
              <w:rPr>
                <w:sz w:val="20"/>
                <w:szCs w:val="20"/>
                <w:color w:val="auto"/>
              </w:rPr>
            </w:pPr>
            <w:r>
              <w:rPr>
                <w:rFonts w:ascii="Times New Roman" w:cs="Times New Roman" w:eastAsia="Times New Roman" w:hAnsi="Times New Roman"/>
                <w:sz w:val="18"/>
                <w:szCs w:val="18"/>
                <w:color w:val="auto"/>
              </w:rPr>
              <w:t xml:space="preserve">Goodwill acquired during the period </w:t>
            </w:r>
            <w:r>
              <w:rPr>
                <w:rFonts w:ascii="Times New Roman" w:cs="Times New Roman" w:eastAsia="Times New Roman" w:hAnsi="Times New Roman"/>
                <w:sz w:val="25"/>
                <w:szCs w:val="25"/>
                <w:color w:val="auto"/>
                <w:vertAlign w:val="superscript"/>
              </w:rPr>
              <w:t>(1)</w:t>
            </w:r>
          </w:p>
        </w:tc>
        <w:tc>
          <w:tcPr>
            <w:tcW w:w="56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5,294</w:t>
            </w:r>
          </w:p>
        </w:tc>
      </w:tr>
      <w:tr>
        <w:trPr>
          <w:trHeight w:val="270"/>
        </w:trPr>
        <w:tc>
          <w:tcPr>
            <w:tcW w:w="9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exchange effects</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r>
      <w:tr>
        <w:trPr>
          <w:trHeight w:val="237"/>
        </w:trPr>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June 30, 2017</w:t>
            </w:r>
          </w:p>
        </w:tc>
        <w:tc>
          <w:tcPr>
            <w:tcW w:w="5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48,372</w:t>
            </w:r>
          </w:p>
        </w:tc>
      </w:tr>
      <w:tr>
        <w:trPr>
          <w:trHeight w:val="27"/>
        </w:trPr>
        <w:tc>
          <w:tcPr>
            <w:tcW w:w="98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9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hanging="328"/>
        <w:spacing w:after="0" w:line="235" w:lineRule="auto"/>
        <w:tabs>
          <w:tab w:leader="none" w:pos="514"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During the second quarter of 2017, we recorded $5.3 million of goodwill related to the Residential Control Systems, Inc. acquisition. Refer to Note 18 for further information about this acquisition.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4" w:right="239" w:bottom="1440" w:gutter="0" w:footer="0" w:header="0"/>
        </w:sectPr>
      </w:pPr>
    </w:p>
    <w:bookmarkStart w:id="12" w:name="page13"/>
    <w:bookmarkEnd w:id="12"/>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Net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intangible assets, net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2"/>
                <w:szCs w:val="12"/>
                <w:color w:val="auto"/>
              </w:rPr>
            </w:pPr>
          </w:p>
        </w:tc>
        <w:tc>
          <w:tcPr>
            <w:tcW w:w="11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Gross </w:t>
            </w:r>
            <w:r>
              <w:rPr>
                <w:rFonts w:ascii="Times New Roman" w:cs="Times New Roman" w:eastAsia="Times New Roman" w:hAnsi="Times New Roman"/>
                <w:sz w:val="8"/>
                <w:szCs w:val="8"/>
                <w:b w:val="1"/>
                <w:bCs w:val="1"/>
                <w:color w:val="auto"/>
              </w:rPr>
              <w:t>(1)</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2"/>
                <w:szCs w:val="12"/>
                <w:color w:val="auto"/>
              </w:rPr>
            </w:pPr>
          </w:p>
        </w:tc>
        <w:tc>
          <w:tcPr>
            <w:tcW w:w="10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Net</w:t>
            </w:r>
          </w:p>
        </w:tc>
        <w:tc>
          <w:tcPr>
            <w:tcW w:w="260" w:type="dxa"/>
            <w:vAlign w:val="bottom"/>
          </w:tcPr>
          <w:p>
            <w:pPr>
              <w:spacing w:after="0"/>
              <w:rPr>
                <w:sz w:val="12"/>
                <w:szCs w:val="12"/>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Gross </w:t>
            </w:r>
            <w:r>
              <w:rPr>
                <w:rFonts w:ascii="Times New Roman" w:cs="Times New Roman" w:eastAsia="Times New Roman" w:hAnsi="Times New Roman"/>
                <w:sz w:val="8"/>
                <w:szCs w:val="8"/>
                <w:b w:val="1"/>
                <w:bCs w:val="1"/>
                <w:color w:val="auto"/>
              </w:rPr>
              <w:t>(1)</w:t>
            </w:r>
          </w:p>
        </w:tc>
        <w:tc>
          <w:tcPr>
            <w:tcW w:w="1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2"/>
                <w:szCs w:val="12"/>
                <w:color w:val="auto"/>
              </w:rPr>
            </w:pPr>
          </w:p>
        </w:tc>
        <w:tc>
          <w:tcPr>
            <w:tcW w:w="9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31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xml:space="preserve">Amortization </w:t>
            </w:r>
            <w:r>
              <w:rPr>
                <w:rFonts w:ascii="Times New Roman" w:cs="Times New Roman" w:eastAsia="Times New Roman" w:hAnsi="Times New Roman"/>
                <w:sz w:val="8"/>
                <w:szCs w:val="8"/>
                <w:b w:val="1"/>
                <w:bCs w:val="1"/>
                <w:color w:val="auto"/>
              </w:rPr>
              <w:t>(1)</w:t>
            </w:r>
          </w:p>
        </w:tc>
        <w:tc>
          <w:tcPr>
            <w:tcW w:w="3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xml:space="preserve">Amortization </w:t>
            </w:r>
            <w:r>
              <w:rPr>
                <w:rFonts w:ascii="Times New Roman" w:cs="Times New Roman" w:eastAsia="Times New Roman" w:hAnsi="Times New Roman"/>
                <w:sz w:val="8"/>
                <w:szCs w:val="8"/>
                <w:b w:val="1"/>
                <w:bCs w:val="1"/>
                <w:color w:val="auto"/>
              </w:rPr>
              <w:t>(1)</w:t>
            </w:r>
          </w:p>
        </w:tc>
        <w:tc>
          <w:tcPr>
            <w:tcW w:w="3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Distribution rights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Patents</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12,330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12,038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7,263</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Trademarks and trade names </w:t>
            </w:r>
            <w:r>
              <w:rPr>
                <w:rFonts w:ascii="Times New Roman" w:cs="Times New Roman" w:eastAsia="Times New Roman" w:hAnsi="Times New Roman"/>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2,787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2,400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1,090</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Developed and core technology</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12,563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12,585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8,517</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Customer relationships </w:t>
            </w:r>
            <w:r>
              <w:rPr>
                <w:rFonts w:ascii="Times New Roman" w:cs="Times New Roman" w:eastAsia="Times New Roman" w:hAnsi="Times New Roman"/>
                <w:sz w:val="25"/>
                <w:szCs w:val="25"/>
                <w:color w:val="auto"/>
                <w:vertAlign w:val="superscript"/>
              </w:rPr>
              <w:t>(2)</w:t>
            </w:r>
          </w:p>
        </w:tc>
        <w:tc>
          <w:tcPr>
            <w:tcW w:w="26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32,751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14,979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27,703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11,359</w:t>
            </w:r>
          </w:p>
        </w:tc>
        <w:tc>
          <w:tcPr>
            <w:tcW w:w="0" w:type="dxa"/>
            <w:vAlign w:val="bottom"/>
          </w:tcPr>
          <w:p>
            <w:pPr>
              <w:spacing w:after="0"/>
              <w:rPr>
                <w:sz w:val="1"/>
                <w:szCs w:val="1"/>
                <w:color w:val="auto"/>
              </w:rPr>
            </w:pPr>
          </w:p>
        </w:tc>
      </w:tr>
      <w:tr>
        <w:trPr>
          <w:trHeight w:val="270"/>
        </w:trPr>
        <w:tc>
          <w:tcPr>
            <w:tcW w:w="31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Order backlog </w:t>
            </w:r>
            <w:r>
              <w:rPr>
                <w:rFonts w:ascii="Times New Roman" w:cs="Times New Roman" w:eastAsia="Times New Roman" w:hAnsi="Times New Roman"/>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61,052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31,619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55,170</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28,549</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328"/>
        <w:spacing w:after="0" w:line="218" w:lineRule="auto"/>
        <w:tabs>
          <w:tab w:leader="none" w:pos="660"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This table excludes the gross value of fully amortized intangible assets totaling $5.7 million and $10.2 million at June 30, 2017 and December 31, 2016, respectively.</w:t>
      </w:r>
    </w:p>
    <w:p>
      <w:pPr>
        <w:spacing w:after="0" w:line="91" w:lineRule="exact"/>
        <w:rPr>
          <w:rFonts w:ascii="Times New Roman" w:cs="Times New Roman" w:eastAsia="Times New Roman" w:hAnsi="Times New Roman"/>
          <w:sz w:val="25"/>
          <w:szCs w:val="25"/>
          <w:color w:val="auto"/>
          <w:vertAlign w:val="superscript"/>
        </w:rPr>
      </w:pPr>
    </w:p>
    <w:p>
      <w:pPr>
        <w:jc w:val="both"/>
        <w:ind w:left="660" w:right="20" w:hanging="328"/>
        <w:spacing w:after="0" w:line="228" w:lineRule="auto"/>
        <w:tabs>
          <w:tab w:leader="none" w:pos="660"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During the second quarter of 2017, we purchased a trade name valued at $0.4 million, which is being amortized ratably over eight years; customer relationships valued at $5.2 million, which are being amortized ratably over 10 years; and order backlog valued at $0.2 million, which is being amortized ratably over one year. Refer to Note 18 for further information regarding the purchase of these intangible assets.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Amortization expense is recorded in selling, general and administrative expenses, except amortization expense related to capitalized software development costs and order backlog, which are recorded in cost of sales. Amortization expense by income statement caption was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1,736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3,317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3,067</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1,791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3,391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3,109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annual amortization expense related to our intangible assets at June 30, 2017,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 (remaining 6 months)</w:t>
            </w:r>
          </w:p>
        </w:tc>
        <w:tc>
          <w:tcPr>
            <w:tcW w:w="66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3,582</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6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7,152</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6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7,067</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6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5,980</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6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2,575</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6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5,263</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66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31,619</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bottom w:val="single" w:sz="8" w:color="CCEEFF"/>
            </w:tcBorders>
            <w:vMerge w:val="restart"/>
          </w:tcPr>
          <w:p>
            <w:pPr>
              <w:jc w:val="right"/>
              <w:ind w:right="4030"/>
              <w:spacing w:after="0"/>
              <w:rPr>
                <w:sz w:val="20"/>
                <w:szCs w:val="20"/>
                <w:color w:val="auto"/>
              </w:rPr>
            </w:pPr>
            <w:r>
              <w:rPr>
                <w:rFonts w:ascii="Times New Roman" w:cs="Times New Roman" w:eastAsia="Times New Roman" w:hAnsi="Times New Roman"/>
                <w:sz w:val="18"/>
                <w:szCs w:val="18"/>
                <w:color w:val="auto"/>
              </w:rPr>
              <w:t>13</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820" w:type="dxa"/>
            <w:vAlign w:val="bottom"/>
          </w:tcPr>
          <w:p>
            <w:pPr>
              <w:spacing w:after="0"/>
              <w:rPr>
                <w:sz w:val="24"/>
                <w:szCs w:val="24"/>
                <w:color w:val="auto"/>
              </w:rPr>
            </w:pPr>
          </w:p>
        </w:tc>
        <w:tc>
          <w:tcPr>
            <w:tcW w:w="61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3" w:name="page14"/>
    <w:bookmarkEnd w:id="1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Line of Credit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Amended and Restated Credit Agreement ("Amended Credit Agreement") with U.S. Bank National Association ("U.S. Bank") provides for a $125.0 million revolving line of credit ("Credit Line") that expires on November 1, 2019 and that may be used for working capital and other general corporate purposes including acquisitions, share repurchases and capital expenditures. Amounts available for borrowing under the Credit Line are reduced by the balance of any outstanding letters of credit. There were no outstanding letters of credit at June 30, 2017.</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obligations under the Credit Line are secured by substantially all of our U.S. personal property and tangible and intangible assets as well as 65% of our ownership interest in Enson Assets Limited, our wholly-owned subsidiary that controls our manufacturing factories in the PRC.</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Amended Credit Agreement, we may elect to pay interest on the Credit Line based on LIBOR plus an applicable margin (varying from 1.25% to 1.75%) or base rate (based on the prime rate of U.S. Bank or as otherwise specified in the Amended Credit Agreement) plus an applicable margin (varying from 0.00% to 0.50%). The applicable margins are calculated quarterly and vary based on our cash flow leverage ratio as set forth in the Amended Credit Agreement. The interest rate in effect at June 30, 2017 was 2.34%. There are no commitment fees or unused line fees under the Amended Credit Agreement.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Amended Credit Agreement includes financial covenants requiring a minimum fixed charge coverage ratio and a maximum cash flow leverage ratio. In addition, the Amended Credit Agreement also contains other customary affirmative and negative covenants and events of default. As of June 30, 2017, we were in compliance with the covenants and conditions of the Amended Credit Agreement.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2017, we had $92.0 million outstanding under the Credit Line. Our total interest expense on borrowings was $0.6 million and $0.3 million during the three months ended June 30, 2017 and 2016, respectively. Our total interest expense on borrowings was $1.1 million and $0.6 million during the six months ended June 30, 2017 and 2016,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Income Taxes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utilize our estimated annual effective tax rate to determine our provision for income taxes for interim periods. The income tax provision is computed by taking the estimated annual effective tax rate and multiplying it by the year-to-date pre-tax book income.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income tax expense of $1.4 million and $1.8 million for the three months ended June 30, 2017 and 2016, respectively. Our effective tax rate was 23.2% and 21.3% during the three months ended June 30, 2017 and 2016, respectively. The increase in the effective tax rate was primarily due to the non-deductibility of certain transactions in China as a result of the pending sale of our Guangzhou factory (Note 10).</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recorded income tax expense of $1.1 million and $2.5 million for the six months ended June 30, 2017 and 2016, respectively. Our effective tax rate was 18.9% and 21.3% during the six months ended June 30, 2017 and 2016, respectively. The decrease in our effective tax rate was primarily due to the recognition of $0.4 million of excess tax benefits related to stock-based compensation during the six months ended June 30, 2017 as a result of implementing ASU 2016-09.</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June 30, 2017, we had gross unrecognized tax benefits of $3.8 million, including interest and penalties, of which $3.5 million would affect the annual effective tax rate if these tax benefits are realized. Further, we are unaware of any positions for which it is reasonably possible that the total amount of unrecognized tax benefits will significantly change within the next twelve months. However, based on federal, state and foreign statute expirations in various jurisdictions, we anticipate a decrease in unrecognized tax benefits of approximately $0.1 million within the next twelve months. We have classified uncertain tax positions as non-current income tax liabilities unless expected to be paid within one year.</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elected to classify interest and penalties as a component of tax expense. Accrued interest and penalties of $0.3 million and $0.3 million at June 30, 2017 and December 31, 2016, respectively, are included in our unrecognized tax benefits.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4" w:right="239" w:bottom="1440" w:gutter="0" w:footer="0" w:header="0"/>
        </w:sectPr>
      </w:pPr>
    </w:p>
    <w:bookmarkStart w:id="14" w:name="page15"/>
    <w:bookmarkEnd w:id="14"/>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2017</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Accrued Compensation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accrued compensation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80" w:type="dxa"/>
            <w:vAlign w:val="bottom"/>
          </w:tcPr>
          <w:p>
            <w:pPr>
              <w:spacing w:after="0"/>
              <w:rPr>
                <w:sz w:val="16"/>
                <w:szCs w:val="16"/>
                <w:color w:val="auto"/>
              </w:rPr>
            </w:pPr>
          </w:p>
        </w:tc>
        <w:tc>
          <w:tcPr>
            <w:tcW w:w="15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69"/>
        </w:trPr>
        <w:tc>
          <w:tcPr>
            <w:tcW w:w="7860" w:type="dxa"/>
            <w:vAlign w:val="bottom"/>
            <w:tcBorders>
              <w:top w:val="single" w:sz="8" w:color="CCEEFF"/>
            </w:tcBorders>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 xml:space="preserve">Accrued social insurance </w:t>
            </w:r>
            <w:r>
              <w:rPr>
                <w:rFonts w:ascii="Times New Roman" w:cs="Times New Roman" w:eastAsia="Times New Roman" w:hAnsi="Times New Roman"/>
                <w:sz w:val="25"/>
                <w:szCs w:val="25"/>
                <w:color w:val="auto"/>
                <w:vertAlign w:val="superscript"/>
              </w:rPr>
              <w:t>(1)</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17,188</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19,974</w:t>
            </w:r>
          </w:p>
        </w:tc>
      </w:tr>
      <w:tr>
        <w:trPr>
          <w:trHeight w:val="243"/>
        </w:trPr>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salary/wages</w:t>
            </w:r>
          </w:p>
        </w:tc>
        <w:tc>
          <w:tcPr>
            <w:tcW w:w="2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8,656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7,903</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vacation/holiday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2,411</w:t>
            </w:r>
          </w:p>
        </w:tc>
      </w:tr>
      <w:tr>
        <w:trPr>
          <w:trHeight w:val="270"/>
        </w:trPr>
        <w:tc>
          <w:tcPr>
            <w:tcW w:w="786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Accrued bonus </w:t>
            </w:r>
            <w:r>
              <w:rPr>
                <w:rFonts w:ascii="Times New Roman" w:cs="Times New Roman" w:eastAsia="Times New Roman" w:hAnsi="Times New Roman"/>
                <w:sz w:val="25"/>
                <w:szCs w:val="25"/>
                <w:color w:val="auto"/>
                <w:vertAlign w:val="superscript"/>
              </w:rPr>
              <w:t>(2)</w:t>
            </w:r>
          </w:p>
        </w:tc>
        <w:tc>
          <w:tcPr>
            <w:tcW w:w="280" w:type="dxa"/>
            <w:vAlign w:val="bottom"/>
          </w:tcPr>
          <w:p>
            <w:pPr>
              <w:spacing w:after="0"/>
              <w:rPr>
                <w:sz w:val="23"/>
                <w:szCs w:val="23"/>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1,782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2,421</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commission</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933</w:t>
            </w:r>
          </w:p>
        </w:tc>
      </w:tr>
      <w:tr>
        <w:trPr>
          <w:trHeight w:val="243"/>
        </w:trPr>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medical insurance claims</w:t>
            </w:r>
          </w:p>
        </w:tc>
        <w:tc>
          <w:tcPr>
            <w:tcW w:w="2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122</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accrued compensation</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2,148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1,816</w:t>
            </w:r>
          </w:p>
        </w:tc>
      </w:tr>
      <w:tr>
        <w:trPr>
          <w:trHeight w:val="237"/>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accrued compensation</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33,520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35,580</w:t>
            </w:r>
          </w:p>
        </w:tc>
      </w:tr>
      <w:tr>
        <w:trPr>
          <w:trHeight w:val="27"/>
        </w:trPr>
        <w:tc>
          <w:tcPr>
            <w:tcW w:w="7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60" w:hanging="328"/>
        <w:spacing w:after="0" w:line="236" w:lineRule="auto"/>
        <w:tabs>
          <w:tab w:leader="none" w:pos="66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Effective January 1, 2008, the Chinese Labor Contract Law was enacted in the PRC. This law mandated that PRC employers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June 30, 2017 and December 31, 2016.</w:t>
      </w:r>
    </w:p>
    <w:p>
      <w:pPr>
        <w:spacing w:after="0" w:line="91" w:lineRule="exact"/>
        <w:rPr>
          <w:rFonts w:ascii="Times New Roman" w:cs="Times New Roman" w:eastAsia="Times New Roman" w:hAnsi="Times New Roman"/>
          <w:sz w:val="25"/>
          <w:szCs w:val="25"/>
          <w:color w:val="auto"/>
          <w:vertAlign w:val="superscript"/>
        </w:rPr>
      </w:pPr>
    </w:p>
    <w:p>
      <w:pPr>
        <w:jc w:val="both"/>
        <w:ind w:left="660" w:hanging="328"/>
        <w:spacing w:after="0" w:line="212" w:lineRule="auto"/>
        <w:tabs>
          <w:tab w:leader="none" w:pos="66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Accrued bonus includes an accrual for an extra month of salary ("13</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month salary") to be paid to employees in certain geographies where it is the customary business practice. This 13</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month salary is paid to these employees if they remain employed with us through December 31st. The total accrued for the 13</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month salary was $0.6 million and $0.7 million at June 30, 2017 and December 31, 2016, respectively.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Other Accrued Expenses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other accrued expenses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80" w:type="dxa"/>
            <w:vAlign w:val="bottom"/>
          </w:tcPr>
          <w:p>
            <w:pPr>
              <w:spacing w:after="0"/>
              <w:rPr>
                <w:sz w:val="16"/>
                <w:szCs w:val="16"/>
                <w:color w:val="auto"/>
              </w:rPr>
            </w:pPr>
          </w:p>
        </w:tc>
        <w:tc>
          <w:tcPr>
            <w:tcW w:w="15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49"/>
        </w:trPr>
        <w:tc>
          <w:tcPr>
            <w:tcW w:w="7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Advertising and marketing</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213</w:t>
            </w:r>
          </w:p>
        </w:tc>
      </w:tr>
      <w:tr>
        <w:trPr>
          <w:trHeight w:val="243"/>
        </w:trPr>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1,431</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1,127</w:t>
            </w:r>
          </w:p>
        </w:tc>
      </w:tr>
      <w:tr>
        <w:trPr>
          <w:trHeight w:val="243"/>
        </w:trPr>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Freight and handling fees</w:t>
            </w:r>
          </w:p>
        </w:tc>
        <w:tc>
          <w:tcPr>
            <w:tcW w:w="2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1,919</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454</w:t>
            </w:r>
          </w:p>
        </w:tc>
      </w:tr>
      <w:tr>
        <w:trPr>
          <w:trHeight w:val="243"/>
        </w:trPr>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Product warranty claim costs</w:t>
            </w:r>
          </w:p>
        </w:tc>
        <w:tc>
          <w:tcPr>
            <w:tcW w:w="2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134</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Professional fees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1,313</w:t>
            </w:r>
          </w:p>
        </w:tc>
      </w:tr>
      <w:tr>
        <w:trPr>
          <w:trHeight w:val="243"/>
        </w:trPr>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1,017</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 taxes and VAT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2,715</w:t>
            </w:r>
          </w:p>
        </w:tc>
      </w:tr>
      <w:tr>
        <w:trPr>
          <w:trHeight w:val="243"/>
        </w:trPr>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contingent consideration</w:t>
            </w:r>
          </w:p>
        </w:tc>
        <w:tc>
          <w:tcPr>
            <w:tcW w:w="2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Third-party commissions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853</w:t>
            </w:r>
          </w:p>
        </w:tc>
      </w:tr>
      <w:tr>
        <w:trPr>
          <w:trHeight w:val="270"/>
        </w:trPr>
        <w:tc>
          <w:tcPr>
            <w:tcW w:w="786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Tooling </w:t>
            </w:r>
            <w:r>
              <w:rPr>
                <w:rFonts w:ascii="Times New Roman" w:cs="Times New Roman" w:eastAsia="Times New Roman" w:hAnsi="Times New Roman"/>
                <w:sz w:val="25"/>
                <w:szCs w:val="25"/>
                <w:color w:val="auto"/>
                <w:vertAlign w:val="superscript"/>
              </w:rPr>
              <w:t>(1)</w:t>
            </w:r>
          </w:p>
        </w:tc>
        <w:tc>
          <w:tcPr>
            <w:tcW w:w="28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1,605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1,520</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Unrealized loss on foreign currency exchange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1,623</w:t>
            </w:r>
          </w:p>
        </w:tc>
      </w:tr>
      <w:tr>
        <w:trPr>
          <w:trHeight w:val="243"/>
        </w:trPr>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URC court order and settlement agreement (Note 2)</w:t>
            </w:r>
          </w:p>
        </w:tc>
        <w:tc>
          <w:tcPr>
            <w:tcW w:w="28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6,622</w:t>
            </w:r>
          </w:p>
        </w:tc>
      </w:tr>
      <w:tr>
        <w:trPr>
          <w:trHeight w:val="27"/>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Utilities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331</w:t>
            </w:r>
          </w:p>
        </w:tc>
      </w:tr>
      <w:tr>
        <w:trPr>
          <w:trHeight w:val="243"/>
        </w:trPr>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3,138</w:t>
            </w:r>
          </w:p>
        </w:tc>
      </w:tr>
      <w:tr>
        <w:trPr>
          <w:trHeight w:val="27"/>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7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other accrued 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20,294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24,410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tooling accrual balance relates to unearned revenue for tooling that will be sold to customers.</w:t>
      </w:r>
    </w:p>
    <w:p>
      <w:pPr>
        <w:sectPr>
          <w:pgSz w:w="11900" w:h="16838" w:orient="portrait"/>
          <w:cols w:equalWidth="0" w:num="1">
            <w:col w:w="11420"/>
          </w:cols>
          <w:pgMar w:left="240" w:top="114"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4" w:right="239" w:bottom="1440" w:gutter="0" w:footer="0" w:header="0"/>
          <w:type w:val="continuous"/>
        </w:sectPr>
      </w:pPr>
    </w:p>
    <w:bookmarkStart w:id="15" w:name="page16"/>
    <w:bookmarkEnd w:id="15"/>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2017</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liability for product warranty claim costs were as follows:</w:t>
      </w: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29475"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Accruals for warranties issued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2947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Settlements (in cash or in kind) during the period</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Balance at end of period</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Activities and Sale of Guangzhou Factory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238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0" w:type="dxa"/>
            <w:vAlign w:val="bottom"/>
          </w:tcPr>
          <w:p>
            <w:pPr>
              <w:spacing w:after="0"/>
              <w:rPr>
                <w:sz w:val="18"/>
                <w:szCs w:val="18"/>
                <w:color w:val="auto"/>
              </w:rPr>
            </w:pPr>
          </w:p>
        </w:tc>
        <w:tc>
          <w:tcPr>
            <w:tcW w:w="1300" w:type="dxa"/>
            <w:vAlign w:val="bottom"/>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w:t>
            </w:r>
          </w:p>
        </w:tc>
      </w:tr>
      <w:tr>
        <w:trPr>
          <w:trHeight w:val="270"/>
        </w:trPr>
        <w:tc>
          <w:tcPr>
            <w:tcW w:w="42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737" w:lineRule="exact"/>
        <w:rPr>
          <w:sz w:val="20"/>
          <w:szCs w:val="20"/>
          <w:color w:val="auto"/>
        </w:rPr>
      </w:pPr>
    </w:p>
    <w:p>
      <w:pPr>
        <w:sectPr>
          <w:pgSz w:w="11900" w:h="16838" w:orient="portrait"/>
          <w:cols w:equalWidth="0" w:num="2">
            <w:col w:w="7140" w:space="720"/>
            <w:col w:w="3560"/>
          </w:cols>
          <w:pgMar w:left="240" w:top="114" w:right="239" w:bottom="1440" w:gutter="0" w:footer="0" w:header="0"/>
          <w:type w:val="continuous"/>
        </w:sect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first quarter of 2016, we implemented a plan to reduce the impact of rising labor rates in China by transitioning manufacturing activities from our southern-most China factory, located in the city of Guangzhou in the Guangdong province, to our other three China factories where labor rates are rising at a slower rate. As a result, we incurred severance costs of $5.7 million and $1.5 million during the six months ended June 30, 2017 and 2016, respectively, which are included within operating expenses. We expect to incur additional severance costs of approximately $1.5 million as we continue to execute this transition over the next three to six months. Because severance costs relate to involuntary terminations, we record the related liability at the communication date. At June 30, 2017, we had $0.2 million of unpaid severance costs included within accrued compensation.</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26, 2016, we entered into an agreement to sell our Guangzhou manufacturing facility for RMB 320 million (approximately $47.2 million based on June 30, 2017 exchange rates). Under the terms of this agreement, we have up to 24 months to cease all operations within the facility. The closing of the sale will be subject to customary due diligence and local regulatory approval and per the terms of the agreement could take up to approximately 28 months from the execution of the agreement. In accordance with the terms of the agreement, the buyer deposited 10% of the purchase price into an escrow account at agreement inception, which we have presented as long-term restricted cash in our consolidated balance sheet (also refer to Note 2). The remaining balance of the purchase price is to be placed into the escrow account prior to the closing of the sale and will be released to us upon closing.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or about June 10, 2015, FM Marketing GmbH ("FMH") and Ruwido Austria GmbH ("Ruwido"), filed a Summons in Summary Proceedings in Belgium court against one of our subsidiaries, Universal Electronics BV ("UEBV") and one of its customers, Telenet N.V. ("Telenet"), claiming that one of the products UEBV supplies Telenet violates two design patents and one utility patent owned by FMH and/or Ruwido. By this summons, FMH and Ruwido sought to enjoin Telenet and UEBV from continued distribution and use of the products at issue. After the September 29, 2015 hearing, the court issued its ruling in our and Telenet’s favor, rejecting FMH and Ruwido’s request entirely. On October 22, 2015, Ruwido filed its notice of appeal in this ruling. The parties have fully briefed and argued before the appellate court and we are awaiting the appellate court’s ruling. In addition, on or about February 9, 2016, Ruwido filed a writ of summons for proceeding on the merits with respect to asserted patents. UEBV and Telenet have replied, denying all of Ruwido's allegations and in June 2017, a hearing was held before the trial court. We are awaiting the ruling from the trial court. Finally, in September 2015, UEBV filed an Opposition with the European Patent Office seeking to invalidate the one utility patent asserted against UEBV and Telenet by Ruwido. The hearing on this opposition was held in July 2017. During this hearing the panel requested additional information. We are in the process of assembling this additional information and scheduling a date for rehearing.</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26, 2017, OpenTV, Inc., Nagra USA, Inc., Nagravision SA, and Kudelski SA (collectively, the “Kudelski Group”) filed a request with the U.S. International Trade Commission (“ITC”) to institute an investigation pursuant to Section 337 of the Tariff Act of 1930, as amended, concerning certain remote control devices we supply Comcast Corporation (“Comcast”) to which the ITC agreed to accept this request. On July 21, 2017, the Kudelski Group filed a motion to terminate the investigation as to all parties, including us. We expect this motion to be accepted soon by the ITC.</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4" w:right="239" w:bottom="1440" w:gutter="0" w:footer="0" w:header="0"/>
          <w:type w:val="continuous"/>
        </w:sectPr>
      </w:pPr>
    </w:p>
    <w:bookmarkStart w:id="16" w:name="page17"/>
    <w:bookmarkEnd w:id="16"/>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financial condition, results of operations, or cash flows. Moreover, we believe that our products do not infringe any third parties' patents or other intellectual property rights.</w:t>
      </w:r>
    </w:p>
    <w:p>
      <w:pPr>
        <w:spacing w:after="0" w:line="1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Treasury Stock</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our Board of Directors authorizes management to repurchase shares of our issued and outstanding common stock on the open market. Repurchases may be made to manage dilution created by shares issued under our stock incentive plans or whenever we deem a repurchase is a good use of our cash and the price to be paid is at or below a threshold approved by our Board. As of June 30, 2017, we had 148,853 shares available for repurchase on the open market under the Board's authorizations. On July 26, 2017, our Board increased these repurchase authorizations by 51,147 shares bringing the total authorization as of the approval date to 200,000 shares. Shares may also be tendered by employees to satisfy tax withholding obligations in connection with the vesting of restricted stock.</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Repurchased shares of our common stock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78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repurchased</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shares repurchased</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14,885</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1,944</w:t>
            </w: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Repurchased shares are recorded as shares held in treasury at cost. We hold these shares for future use as management and the Board of Directors deem appropriate, which has included compensating our outside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Business Segment and Foreign Operations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Reportable Segment</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a limited extent. Our chief operating decision maker, the Chief Executive Officer, reviews financial information presented on a consolidated basis, accompanied by disaggregated information about revenues for purposes of making operating decisions and assessing financial performance. Accordingly, we only have a single operating and reportable segment.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4" w:right="239" w:bottom="1440" w:gutter="0" w:footer="0" w:header="0"/>
        </w:sectPr>
      </w:pPr>
    </w:p>
    <w:bookmarkStart w:id="17" w:name="page18"/>
    <w:bookmarkEnd w:id="17"/>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Operations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net sales to external customers by geographic area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700" w:type="dxa"/>
            <w:vAlign w:val="bottom"/>
            <w:gridSpan w:val="4"/>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85,569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90,872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167,497</w:t>
            </w:r>
          </w:p>
        </w:tc>
        <w:tc>
          <w:tcPr>
            <w:tcW w:w="120" w:type="dxa"/>
            <w:vAlign w:val="bottom"/>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174,810</w:t>
            </w: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Asia (excluding PRC)</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26,916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20,618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51,566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42,191</w:t>
            </w: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People's Republic of China</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21,835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23,153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37,578</w:t>
            </w:r>
          </w:p>
        </w:tc>
        <w:tc>
          <w:tcPr>
            <w:tcW w:w="120" w:type="dxa"/>
            <w:vAlign w:val="bottom"/>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40,079</w:t>
            </w: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19,740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18,544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37,164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34,327</w:t>
            </w: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Latin America</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15,381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11,686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31,026</w:t>
            </w:r>
          </w:p>
        </w:tc>
        <w:tc>
          <w:tcPr>
            <w:tcW w:w="120" w:type="dxa"/>
            <w:vAlign w:val="bottom"/>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19,241</w:t>
            </w: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8,139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14,155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10,996</w:t>
            </w:r>
          </w:p>
        </w:tc>
      </w:tr>
      <w:tr>
        <w:trPr>
          <w:trHeight w:val="27"/>
        </w:trPr>
        <w:tc>
          <w:tcPr>
            <w:tcW w:w="5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177,580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170,986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338,986</w:t>
            </w:r>
          </w:p>
        </w:tc>
        <w:tc>
          <w:tcPr>
            <w:tcW w:w="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321,644</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identification of the customer billing location was the basis used for attributing revenues from external customers to geographic areas.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Long-lived tangible assets by geographic area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49"/>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13,004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11,948</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People's Republic of China</w:t>
            </w: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100,300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94,113</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 other countries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3,969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4,186</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long-lived tangible assets</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117,273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110,247</w:t>
            </w:r>
          </w:p>
        </w:tc>
      </w:tr>
      <w:tr>
        <w:trPr>
          <w:trHeight w:val="27"/>
        </w:trPr>
        <w:tc>
          <w:tcPr>
            <w:tcW w:w="7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Stock-Based Compensation</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for each employee and director is presented in the same income statement caption as their cash compensation. Stock-based compensation expense by income statement caption and the related income tax benefit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32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2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273</w:t>
            </w:r>
          </w:p>
        </w:tc>
      </w:tr>
      <w:tr>
        <w:trPr>
          <w:trHeight w:val="27"/>
        </w:trPr>
        <w:tc>
          <w:tcPr>
            <w:tcW w:w="5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Employees</w:t>
            </w: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3,719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3,576</w:t>
            </w:r>
          </w:p>
        </w:tc>
      </w:tr>
      <w:tr>
        <w:trPr>
          <w:trHeight w:val="27"/>
        </w:trPr>
        <w:tc>
          <w:tcPr>
            <w:tcW w:w="5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Outside directors</w:t>
            </w:r>
          </w:p>
        </w:tc>
        <w:tc>
          <w:tcPr>
            <w:tcW w:w="9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1,092</w:t>
            </w:r>
          </w:p>
        </w:tc>
      </w:tr>
      <w:tr>
        <w:trPr>
          <w:trHeight w:val="237"/>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employee and director stock-based compensation expense</w:t>
            </w:r>
          </w:p>
        </w:tc>
        <w:tc>
          <w:tcPr>
            <w:tcW w:w="9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2,932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2,477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5,555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4,970</w:t>
            </w:r>
          </w:p>
        </w:tc>
      </w:tr>
      <w:tr>
        <w:trPr>
          <w:trHeight w:val="67"/>
        </w:trPr>
        <w:tc>
          <w:tcPr>
            <w:tcW w:w="5120" w:type="dxa"/>
            <w:vAlign w:val="bottom"/>
            <w:tcBorders>
              <w:bottom w:val="single" w:sz="8" w:color="CCEEFF"/>
            </w:tcBorders>
          </w:tcPr>
          <w:p>
            <w:pPr>
              <w:spacing w:after="0"/>
              <w:rPr>
                <w:sz w:val="5"/>
                <w:szCs w:val="5"/>
                <w:color w:val="auto"/>
              </w:rPr>
            </w:pPr>
          </w:p>
        </w:tc>
        <w:tc>
          <w:tcPr>
            <w:tcW w:w="9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78"/>
        </w:trPr>
        <w:tc>
          <w:tcPr>
            <w:tcW w:w="5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w:t>
            </w:r>
          </w:p>
        </w:tc>
        <w:tc>
          <w:tcPr>
            <w:tcW w:w="12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889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1,469</w:t>
            </w:r>
          </w:p>
        </w:tc>
      </w:tr>
      <w:tr>
        <w:trPr>
          <w:trHeight w:val="702"/>
        </w:trPr>
        <w:tc>
          <w:tcPr>
            <w:tcW w:w="5120" w:type="dxa"/>
            <w:vAlign w:val="bottom"/>
          </w:tcPr>
          <w:p>
            <w:pPr>
              <w:spacing w:after="0"/>
              <w:rPr>
                <w:sz w:val="24"/>
                <w:szCs w:val="24"/>
                <w:color w:val="auto"/>
              </w:rPr>
            </w:pP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18" w:name="page19"/>
    <w:bookmarkEnd w:id="18"/>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20" w:type="dxa"/>
            <w:vAlign w:val="bottom"/>
          </w:tcPr>
          <w:p>
            <w:pPr>
              <w:spacing w:after="0"/>
              <w:rPr>
                <w:sz w:val="13"/>
                <w:szCs w:val="13"/>
                <w:color w:val="auto"/>
              </w:rPr>
            </w:pPr>
          </w:p>
        </w:tc>
        <w:tc>
          <w:tcPr>
            <w:tcW w:w="136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48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120" w:type="dxa"/>
            <w:vAlign w:val="bottom"/>
          </w:tcPr>
          <w:p>
            <w:pPr>
              <w:spacing w:after="0"/>
              <w:rPr>
                <w:sz w:val="12"/>
                <w:szCs w:val="12"/>
                <w:color w:val="auto"/>
              </w:rPr>
            </w:pPr>
          </w:p>
        </w:tc>
        <w:tc>
          <w:tcPr>
            <w:tcW w:w="136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5"/>
        </w:trPr>
        <w:tc>
          <w:tcPr>
            <w:tcW w:w="49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0" w:type="dxa"/>
            <w:vAlign w:val="bottom"/>
          </w:tcPr>
          <w:p>
            <w:pPr>
              <w:spacing w:after="0"/>
              <w:rPr>
                <w:sz w:val="1"/>
                <w:szCs w:val="1"/>
                <w:color w:val="auto"/>
              </w:rPr>
            </w:pPr>
          </w:p>
        </w:tc>
      </w:tr>
      <w:tr>
        <w:trPr>
          <w:trHeight w:val="249"/>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2016</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652</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39.27</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62.70</w:t>
            </w: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24.41</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Forfeited/canceled/expired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28.08</w:t>
            </w: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Outstanding at June 30, 2017 </w:t>
            </w:r>
            <w:r>
              <w:rPr>
                <w:rFonts w:ascii="Times New Roman" w:cs="Times New Roman" w:eastAsia="Times New Roman" w:hAnsi="Times New Roman"/>
                <w:sz w:val="25"/>
                <w:szCs w:val="25"/>
                <w:color w:val="auto"/>
                <w:vertAlign w:val="superscript"/>
              </w:rPr>
              <w:t>(1)</w:t>
            </w: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691</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43.41</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16,207</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920" w:type="dxa"/>
            <w:vAlign w:val="bottom"/>
          </w:tcPr>
          <w:p>
            <w:pPr>
              <w:ind w:left="40"/>
              <w:spacing w:after="0" w:line="251" w:lineRule="exact"/>
              <w:rPr>
                <w:sz w:val="20"/>
                <w:szCs w:val="20"/>
                <w:color w:val="auto"/>
              </w:rPr>
            </w:pPr>
            <w:r>
              <w:rPr>
                <w:rFonts w:ascii="Times New Roman" w:cs="Times New Roman" w:eastAsia="Times New Roman" w:hAnsi="Times New Roman"/>
                <w:sz w:val="18"/>
                <w:szCs w:val="18"/>
                <w:color w:val="auto"/>
              </w:rPr>
              <w:t xml:space="preserve">Vested and expected to vest at June 30, 2017 </w:t>
            </w:r>
            <w:r>
              <w:rPr>
                <w:rFonts w:ascii="Times New Roman" w:cs="Times New Roman" w:eastAsia="Times New Roman" w:hAnsi="Times New Roman"/>
                <w:sz w:val="25"/>
                <w:szCs w:val="25"/>
                <w:color w:val="auto"/>
                <w:vertAlign w:val="superscript"/>
              </w:rPr>
              <w:t>(1)</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691</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43.41</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16,204</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Exercisable at June 30, 2017 </w:t>
            </w:r>
            <w:r>
              <w:rPr>
                <w:rFonts w:ascii="Times New Roman" w:cs="Times New Roman" w:eastAsia="Times New Roman" w:hAnsi="Times New Roman"/>
                <w:sz w:val="25"/>
                <w:szCs w:val="25"/>
                <w:color w:val="auto"/>
                <w:vertAlign w:val="superscript"/>
              </w:rPr>
              <w:t>(1)</w:t>
            </w:r>
          </w:p>
        </w:tc>
        <w:tc>
          <w:tcPr>
            <w:tcW w:w="14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424</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35.97</w:t>
            </w: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13,092</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660" w:hanging="328"/>
        <w:spacing w:after="0" w:line="228" w:lineRule="auto"/>
        <w:tabs>
          <w:tab w:leader="none" w:pos="66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aggregate intrinsic value represents the total pre-tax value (the difference between our closing stock price on the last trading day of the second quarter of 2017 and the exercise price, multiplied by the number of in-the-money options) that would have been received by the option holders had they all exercised their options on June 30, 2017. This amount will change based on the fair market value of our stock.</w:t>
      </w:r>
    </w:p>
    <w:p>
      <w:pPr>
        <w:spacing w:after="0" w:line="14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assumptions we utilized in the Black-Scholes option pricing model and the resulting weighted average fair value of stock option grants were the following: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20" w:type="dxa"/>
            <w:vAlign w:val="bottom"/>
          </w:tcPr>
          <w:p>
            <w:pPr>
              <w:spacing w:after="0"/>
              <w:rPr>
                <w:sz w:val="16"/>
                <w:szCs w:val="16"/>
                <w:color w:val="auto"/>
              </w:rPr>
            </w:pPr>
          </w:p>
        </w:tc>
        <w:tc>
          <w:tcPr>
            <w:tcW w:w="242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4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fair value of grants</w:t>
            </w: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19.61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17.96</w:t>
            </w:r>
          </w:p>
        </w:tc>
      </w:tr>
      <w:tr>
        <w:trPr>
          <w:trHeight w:val="243"/>
        </w:trPr>
        <w:tc>
          <w:tcPr>
            <w:tcW w:w="5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880" w:type="dxa"/>
            <w:vAlign w:val="bottom"/>
          </w:tcPr>
          <w:p>
            <w:pPr>
              <w:spacing w:after="0"/>
              <w:rPr>
                <w:sz w:val="21"/>
                <w:szCs w:val="21"/>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7"/>
        </w:trPr>
        <w:tc>
          <w:tcPr>
            <w:tcW w:w="5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8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w:t>
            </w:r>
          </w:p>
        </w:tc>
      </w:tr>
      <w:tr>
        <w:trPr>
          <w:trHeight w:val="243"/>
        </w:trPr>
        <w:tc>
          <w:tcPr>
            <w:tcW w:w="5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life in years</w:t>
            </w:r>
          </w:p>
        </w:tc>
        <w:tc>
          <w:tcPr>
            <w:tcW w:w="880" w:type="dxa"/>
            <w:vAlign w:val="bottom"/>
          </w:tcPr>
          <w:p>
            <w:pPr>
              <w:spacing w:after="0"/>
              <w:rPr>
                <w:sz w:val="21"/>
                <w:szCs w:val="21"/>
                <w:color w:val="auto"/>
              </w:rPr>
            </w:pPr>
          </w:p>
        </w:tc>
        <w:tc>
          <w:tcPr>
            <w:tcW w:w="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5"/>
              </w:rPr>
              <w:t>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4.55</w:t>
            </w: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2017, we expect to recognize $4.3 million of total unrecognized pre-tax stock-based compensation expense related to non-vested stock options over a remaining weighted-average life of 1.9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restricted stock award activity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1400" w:type="dxa"/>
            <w:vAlign w:val="bottom"/>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Weighted-Average Grant Date</w:t>
            </w:r>
          </w:p>
        </w:tc>
      </w:tr>
      <w:tr>
        <w:trPr>
          <w:trHeight w:val="195"/>
        </w:trPr>
        <w:tc>
          <w:tcPr>
            <w:tcW w:w="74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49"/>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December 31, 2016</w:t>
            </w: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57.43</w:t>
            </w:r>
          </w:p>
        </w:tc>
      </w:tr>
      <w:tr>
        <w:trPr>
          <w:trHeight w:val="243"/>
        </w:trPr>
        <w:tc>
          <w:tcPr>
            <w:tcW w:w="8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63.40</w:t>
            </w:r>
          </w:p>
        </w:tc>
      </w:tr>
      <w:tr>
        <w:trPr>
          <w:trHeight w:val="27"/>
        </w:trPr>
        <w:tc>
          <w:tcPr>
            <w:tcW w:w="7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59.64</w:t>
            </w:r>
          </w:p>
        </w:tc>
      </w:tr>
      <w:tr>
        <w:trPr>
          <w:trHeight w:val="243"/>
        </w:trPr>
        <w:tc>
          <w:tcPr>
            <w:tcW w:w="8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60.64</w:t>
            </w:r>
          </w:p>
        </w:tc>
      </w:tr>
      <w:tr>
        <w:trPr>
          <w:trHeight w:val="27"/>
        </w:trPr>
        <w:tc>
          <w:tcPr>
            <w:tcW w:w="74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June 30, 2017</w:t>
            </w:r>
          </w:p>
        </w:tc>
        <w:tc>
          <w:tcPr>
            <w:tcW w:w="140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59.78</w:t>
            </w:r>
          </w:p>
        </w:tc>
      </w:tr>
      <w:tr>
        <w:trPr>
          <w:trHeight w:val="20"/>
        </w:trPr>
        <w:tc>
          <w:tcPr>
            <w:tcW w:w="74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2017, we expect to recognize $9.6 million of total unrecognized pre-tax stock-based compensation expense related to non-vested restricted stock awards over a weighted-average life of 2.0 years.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4" w:right="239" w:bottom="1440" w:gutter="0" w:footer="0" w:header="0"/>
        </w:sectPr>
      </w:pPr>
    </w:p>
    <w:bookmarkStart w:id="19" w:name="page20"/>
    <w:bookmarkEnd w:id="19"/>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2017</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Performance-Based Common Stock Warrants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9, 2016, we issued common stock purchase warrants to Comcast to purchase up to 725,000 shares of our common stock at a price of $54.55 per share. The right to exercise the warrants is subject to vesting over three successive two-year periods (with the first two-year period commencing on January 1, 2016) based on the level of purchases of goods and services from us by Comcast and its affiliates, as defined in the warrants. The table below presents the purchase levels and number of warrants that will vest in each period based upon achieving these purchase levels.</w:t>
      </w:r>
    </w:p>
    <w:p>
      <w:pPr>
        <w:spacing w:after="0" w:line="174"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6000" w:type="dxa"/>
            <w:vAlign w:val="bottom"/>
          </w:tcPr>
          <w:p>
            <w:pPr>
              <w:spacing w:after="0"/>
              <w:rPr>
                <w:sz w:val="16"/>
                <w:szCs w:val="16"/>
                <w:color w:val="auto"/>
              </w:rPr>
            </w:pPr>
          </w:p>
        </w:tc>
        <w:tc>
          <w:tcPr>
            <w:tcW w:w="3820" w:type="dxa"/>
            <w:vAlign w:val="bottom"/>
            <w:tcBorders>
              <w:bottom w:val="single" w:sz="8" w:color="auto"/>
            </w:tcBorders>
            <w:gridSpan w:val="5"/>
          </w:tcPr>
          <w:p>
            <w:pPr>
              <w:jc w:val="center"/>
              <w:ind w:left="1398"/>
              <w:spacing w:after="0"/>
              <w:rPr>
                <w:sz w:val="20"/>
                <w:szCs w:val="20"/>
                <w:color w:val="auto"/>
              </w:rPr>
            </w:pPr>
            <w:r>
              <w:rPr>
                <w:rFonts w:ascii="Times New Roman" w:cs="Times New Roman" w:eastAsia="Times New Roman" w:hAnsi="Times New Roman"/>
                <w:sz w:val="14"/>
                <w:szCs w:val="14"/>
                <w:b w:val="1"/>
                <w:bCs w:val="1"/>
                <w:color w:val="auto"/>
              </w:rPr>
              <w:t>Incremental Warrants That Will Vest</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 Level of Purchases by Comcast and Affiliates</w:t>
            </w:r>
          </w:p>
        </w:tc>
        <w:tc>
          <w:tcPr>
            <w:tcW w:w="1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January 1, 2016 -</w:t>
            </w:r>
          </w:p>
        </w:tc>
        <w:tc>
          <w:tcPr>
            <w:tcW w:w="202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January 1, 2018 -</w:t>
            </w:r>
          </w:p>
        </w:tc>
        <w:tc>
          <w:tcPr>
            <w:tcW w:w="1460" w:type="dxa"/>
            <w:vAlign w:val="bottom"/>
          </w:tcPr>
          <w:p>
            <w:pPr>
              <w:jc w:val="right"/>
              <w:ind w:right="236"/>
              <w:spacing w:after="0" w:line="149" w:lineRule="exact"/>
              <w:rPr>
                <w:sz w:val="20"/>
                <w:szCs w:val="20"/>
                <w:color w:val="auto"/>
              </w:rPr>
            </w:pPr>
            <w:r>
              <w:rPr>
                <w:rFonts w:ascii="Times New Roman" w:cs="Times New Roman" w:eastAsia="Times New Roman" w:hAnsi="Times New Roman"/>
                <w:sz w:val="14"/>
                <w:szCs w:val="14"/>
                <w:b w:val="1"/>
                <w:bCs w:val="1"/>
                <w:color w:val="auto"/>
              </w:rPr>
              <w:t>January 1, 2020 -</w:t>
            </w:r>
          </w:p>
        </w:tc>
        <w:tc>
          <w:tcPr>
            <w:tcW w:w="0" w:type="dxa"/>
            <w:vAlign w:val="bottom"/>
          </w:tcPr>
          <w:p>
            <w:pPr>
              <w:spacing w:after="0"/>
              <w:rPr>
                <w:sz w:val="1"/>
                <w:szCs w:val="1"/>
                <w:color w:val="auto"/>
              </w:rPr>
            </w:pPr>
          </w:p>
        </w:tc>
      </w:tr>
      <w:tr>
        <w:trPr>
          <w:trHeight w:val="195"/>
        </w:trPr>
        <w:tc>
          <w:tcPr>
            <w:tcW w:w="6000" w:type="dxa"/>
            <w:vAlign w:val="bottom"/>
            <w:vMerge w:val="continue"/>
          </w:tcPr>
          <w:p>
            <w:pPr>
              <w:spacing w:after="0"/>
              <w:rPr>
                <w:sz w:val="16"/>
                <w:szCs w:val="16"/>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0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46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49"/>
        </w:trPr>
        <w:tc>
          <w:tcPr>
            <w:tcW w:w="6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$260 million</w:t>
            </w:r>
          </w:p>
        </w:tc>
        <w:tc>
          <w:tcPr>
            <w:tcW w:w="170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4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$300 million</w:t>
            </w:r>
          </w:p>
        </w:tc>
        <w:tc>
          <w:tcPr>
            <w:tcW w:w="17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21"/>
                <w:szCs w:val="21"/>
                <w:color w:val="auto"/>
              </w:rPr>
            </w:pPr>
          </w:p>
        </w:tc>
        <w:tc>
          <w:tcPr>
            <w:tcW w:w="16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$340 million</w:t>
            </w:r>
          </w:p>
        </w:tc>
        <w:tc>
          <w:tcPr>
            <w:tcW w:w="17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64"/>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Maximum Potential Warrants Earned by Comcast</w:t>
            </w:r>
          </w:p>
        </w:tc>
        <w:tc>
          <w:tcPr>
            <w:tcW w:w="17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22"/>
                <w:szCs w:val="22"/>
                <w:color w:val="auto"/>
              </w:rPr>
            </w:pPr>
          </w:p>
        </w:tc>
        <w:tc>
          <w:tcPr>
            <w:tcW w:w="16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225,000</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total aggregate purchases by Comcast and its affiliates are below $260 million in any of the two-year periods above, no warrants will vest related to that two-year period. If total aggregate purchases of goods and services by Comcast and its affiliates exceed $340 million during either the first or second two-year period, the amount of any such excess will count toward aggregate purchases in the following two-year period. To fully vest in the rights to purchase all of the underlying shares, Comcast and its affiliates must purchase an aggregate of $1.02 billion in goods and services from us during the six-year vesting period.</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and all warrants that vest will expire on January 1, 2023. The warrants provide for certain adjustments that may be made to the exercise price and the number of shares issuable upon exercise due to customary anti-dilution provisions. Additionally, in connection with the warrants, we have also entered into a registration rights agreement with Comcast under which Comcast may from time to time request that we register the shares of common stock underlying vested warrants with the SEC.</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the warrants contain performance criteria under which Comcast must achieve specified aggregate purchase levels for the warrants to vest, as detailed above, the measurement date for the warrants is the date on which the warrants vest. At June 30, 2017, none of the warrants had vested.</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warrants is determined using the Black-Scholes option pricing model. The assumptions we utilized and the resulting fair value of the warrants were the following:</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58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3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28.89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35.88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28.89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35.88</w:t>
            </w:r>
          </w:p>
        </w:tc>
      </w:tr>
      <w:tr>
        <w:trPr>
          <w:trHeight w:val="243"/>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Price of Universal Electronics Inc. common stock</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67.21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71.16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67.21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71.16</w:t>
            </w:r>
          </w:p>
        </w:tc>
      </w:tr>
      <w:tr>
        <w:trPr>
          <w:trHeight w:val="27"/>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43"/>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w:t>
            </w:r>
          </w:p>
        </w:tc>
      </w:tr>
      <w:tr>
        <w:trPr>
          <w:trHeight w:val="27"/>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life in years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6.50</w:t>
            </w:r>
          </w:p>
        </w:tc>
      </w:tr>
      <w:tr>
        <w:trPr>
          <w:trHeight w:val="621"/>
        </w:trPr>
        <w:tc>
          <w:tcPr>
            <w:tcW w:w="5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20" w:name="page21"/>
    <w:bookmarkEnd w:id="20"/>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 to net sales recorded in connection with the warrants and the related income tax benefit were as follows: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00" w:type="dxa"/>
            <w:vAlign w:val="bottom"/>
          </w:tcPr>
          <w:p>
            <w:pPr>
              <w:spacing w:after="0"/>
              <w:rPr>
                <w:sz w:val="18"/>
                <w:szCs w:val="18"/>
                <w:color w:val="auto"/>
              </w:rPr>
            </w:pPr>
          </w:p>
        </w:tc>
        <w:tc>
          <w:tcPr>
            <w:tcW w:w="3080" w:type="dxa"/>
            <w:vAlign w:val="bottom"/>
            <w:gridSpan w:val="4"/>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0" w:type="dxa"/>
            <w:vAlign w:val="bottom"/>
            <w:gridSpan w:val="4"/>
          </w:tcPr>
          <w:p>
            <w:pPr>
              <w:jc w:val="right"/>
              <w:ind w:right="89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33"/>
        </w:trPr>
        <w:tc>
          <w:tcPr>
            <w:tcW w:w="36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36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40" w:type="dxa"/>
            <w:vAlign w:val="bottom"/>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2017</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rPr>
              <w:t>2016</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36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Reduction to net sales</w:t>
            </w:r>
          </w:p>
        </w:tc>
        <w:tc>
          <w:tcPr>
            <w:tcW w:w="1240" w:type="dxa"/>
            <w:vAlign w:val="bottom"/>
            <w:tcBorders>
              <w:bottom w:val="single" w:sz="8" w:color="CCEEFF"/>
            </w:tcBorders>
            <w:shd w:val="clear" w:color="auto" w:fill="CCEEFF"/>
          </w:tcPr>
          <w:p>
            <w:pPr>
              <w:jc w:val="right"/>
              <w:ind w:right="10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2,059</w:t>
            </w:r>
          </w:p>
        </w:tc>
      </w:tr>
      <w:tr>
        <w:trPr>
          <w:trHeight w:val="243"/>
        </w:trPr>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w:t>
            </w:r>
          </w:p>
        </w:tc>
        <w:tc>
          <w:tcPr>
            <w:tcW w:w="12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756</w:t>
            </w: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2017, we estimated the number of warrants that will vest based on the combination of purchases already made and projected future purchases that will be made by Comcast and its affiliates. These estimates may increase or decrease based on actual future purchases. The aggregate unrecognized estimated fair value of unvested warrants at June 30, 2017 was $17.0 million.</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Other Income (Expense), Net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69"/>
        </w:trPr>
        <w:tc>
          <w:tcPr>
            <w:tcW w:w="562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 xml:space="preserve">Net gain (loss) on foreign currency exchange contracts </w:t>
            </w:r>
            <w:r>
              <w:rPr>
                <w:rFonts w:ascii="Times New Roman" w:cs="Times New Roman" w:eastAsia="Times New Roman" w:hAnsi="Times New Roman"/>
                <w:sz w:val="25"/>
                <w:szCs w:val="25"/>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gain (loss) on foreign currency exchange transactions</w:t>
            </w:r>
          </w:p>
        </w:tc>
        <w:tc>
          <w:tcPr>
            <w:tcW w:w="30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2,016</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1,391</w:t>
            </w: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This represents the gains (losses) incurred on foreign currency hedging derivatives (see Note 17 for further details).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Earnings Per Share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per share was calculated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32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per-share amounts)</w:t>
            </w:r>
          </w:p>
        </w:tc>
        <w:tc>
          <w:tcPr>
            <w:tcW w:w="8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Universal Electronics Inc.</w:t>
            </w: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4,684</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6,590</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4,803</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9,311</w:t>
            </w:r>
          </w:p>
        </w:tc>
        <w:tc>
          <w:tcPr>
            <w:tcW w:w="0" w:type="dxa"/>
            <w:vAlign w:val="bottom"/>
          </w:tcPr>
          <w:p>
            <w:pPr>
              <w:spacing w:after="0"/>
              <w:rPr>
                <w:sz w:val="1"/>
                <w:szCs w:val="1"/>
                <w:color w:val="auto"/>
              </w:rPr>
            </w:pPr>
          </w:p>
        </w:tc>
      </w:tr>
      <w:tr>
        <w:trPr>
          <w:trHeight w:val="257"/>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8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14,404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14,440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14,427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14,406</w:t>
            </w:r>
          </w:p>
        </w:tc>
        <w:tc>
          <w:tcPr>
            <w:tcW w:w="0" w:type="dxa"/>
            <w:vAlign w:val="bottom"/>
          </w:tcPr>
          <w:p>
            <w:pPr>
              <w:spacing w:after="0"/>
              <w:rPr>
                <w:sz w:val="1"/>
                <w:szCs w:val="1"/>
                <w:color w:val="auto"/>
              </w:rPr>
            </w:pPr>
          </w:p>
        </w:tc>
      </w:tr>
      <w:tr>
        <w:trPr>
          <w:trHeight w:val="297"/>
        </w:trPr>
        <w:tc>
          <w:tcPr>
            <w:tcW w:w="5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Basic earnings per share attributable to Universal Electronics Inc.</w:t>
            </w:r>
          </w:p>
        </w:tc>
        <w:tc>
          <w:tcPr>
            <w:tcW w:w="8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84"/>
        </w:trPr>
        <w:tc>
          <w:tcPr>
            <w:tcW w:w="52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Universal Electronics Inc.</w:t>
            </w:r>
          </w:p>
        </w:tc>
        <w:tc>
          <w:tcPr>
            <w:tcW w:w="10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4,684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6,590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4,803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9,311</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 for basic</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14,404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14,440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14,427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14,406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Dilutive effect of stock options and restricted stock</w:t>
            </w:r>
          </w:p>
        </w:tc>
        <w:tc>
          <w:tcPr>
            <w:tcW w:w="8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 on a diluted basis</w:t>
            </w:r>
          </w:p>
        </w:tc>
        <w:tc>
          <w:tcPr>
            <w:tcW w:w="8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14,683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14,735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14,700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14,686</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share attributable to Universal Electronics Inc.</w:t>
            </w:r>
          </w:p>
        </w:tc>
        <w:tc>
          <w:tcPr>
            <w:tcW w:w="10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0.32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0.63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26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21" w:name="page22"/>
    <w:bookmarkEnd w:id="21"/>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stock options and shares of restricted stock excluded from the computation of diluted earnings per common share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tcBorders>
              <w:bottom w:val="single" w:sz="8" w:color="auto"/>
            </w:tcBorders>
            <w:gridSpan w:val="11"/>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60" w:type="dxa"/>
            <w:vAlign w:val="bottom"/>
            <w:tcBorders>
              <w:bottom w:val="single" w:sz="8" w:color="auto"/>
            </w:tcBorders>
            <w:gridSpan w:val="8"/>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38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Pr>
          <w:p>
            <w:pPr>
              <w:spacing w:after="0"/>
              <w:rPr>
                <w:sz w:val="22"/>
                <w:szCs w:val="22"/>
                <w:color w:val="auto"/>
              </w:rPr>
            </w:pPr>
          </w:p>
        </w:tc>
        <w:tc>
          <w:tcPr>
            <w:tcW w:w="94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3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167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stock awards</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17 — Derivatives</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sets forth the total net fair value of derivatives:</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9"/>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3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5"/>
                <w:szCs w:val="5"/>
                <w:color w:val="auto"/>
              </w:rPr>
            </w:pP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Balance</w:t>
            </w:r>
          </w:p>
        </w:tc>
        <w:tc>
          <w:tcPr>
            <w:tcW w:w="10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vMerge w:val="restart"/>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vMerge w:val="restart"/>
          </w:tcPr>
          <w:p>
            <w:pPr>
              <w:spacing w:after="0"/>
              <w:rPr>
                <w:sz w:val="5"/>
                <w:szCs w:val="5"/>
                <w:color w:val="auto"/>
              </w:rPr>
            </w:pPr>
          </w:p>
        </w:tc>
        <w:tc>
          <w:tcPr>
            <w:tcW w:w="900" w:type="dxa"/>
            <w:vAlign w:val="bottom"/>
            <w:gridSpan w:val="4"/>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384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42"/>
        </w:trPr>
        <w:tc>
          <w:tcPr>
            <w:tcW w:w="80" w:type="dxa"/>
            <w:vAlign w:val="bottom"/>
            <w:tcBorders>
              <w:right w:val="single" w:sz="8" w:color="CCEEFF"/>
            </w:tcBorders>
          </w:tcPr>
          <w:p>
            <w:pPr>
              <w:spacing w:after="0"/>
              <w:rPr>
                <w:sz w:val="21"/>
                <w:szCs w:val="21"/>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(1,584)</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rPr>
              <w:t>$ (1,584)</w:t>
            </w:r>
          </w:p>
        </w:tc>
        <w:tc>
          <w:tcPr>
            <w:tcW w:w="0" w:type="dxa"/>
            <w:vAlign w:val="bottom"/>
          </w:tcPr>
          <w:p>
            <w:pPr>
              <w:spacing w:after="0"/>
              <w:rPr>
                <w:sz w:val="1"/>
                <w:szCs w:val="1"/>
                <w:color w:val="auto"/>
              </w:rPr>
            </w:pPr>
          </w:p>
        </w:tc>
      </w:tr>
      <w:tr>
        <w:trPr>
          <w:trHeight w:val="27"/>
        </w:trPr>
        <w:tc>
          <w:tcPr>
            <w:tcW w:w="80" w:type="dxa"/>
            <w:vAlign w:val="bottom"/>
            <w:tcBorders>
              <w:right w:val="single" w:sz="8" w:color="CCEEFF"/>
            </w:tcBorders>
          </w:tcPr>
          <w:p>
            <w:pPr>
              <w:spacing w:after="0"/>
              <w:rPr>
                <w:sz w:val="2"/>
                <w:szCs w:val="2"/>
                <w:color w:val="auto"/>
              </w:rPr>
            </w:pPr>
          </w:p>
        </w:tc>
        <w:tc>
          <w:tcPr>
            <w:tcW w:w="38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held foreign currency exchange contracts, which resulted in a net pre-tax loss of $1.6 million and $0.5 million for the three months ended June 30, 2017 and 2016, respectively. For the six months ended June 30, 2017 and 2016, we had a net pre-tax loss of $1.4 million and $0.7 million, respectively (see Note 15).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foreign currency exchange contracts held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Gain/(Loss)</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Recorded at Balance</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Sheet</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Date Held</w:t>
            </w:r>
          </w:p>
        </w:tc>
        <w:tc>
          <w:tcPr>
            <w:tcW w:w="120" w:type="dxa"/>
            <w:vAlign w:val="bottom"/>
            <w:vMerge w:val="restart"/>
          </w:tcPr>
          <w:p>
            <w:pPr>
              <w:spacing w:after="0"/>
              <w:rPr>
                <w:sz w:val="12"/>
                <w:szCs w:val="12"/>
                <w:color w:val="auto"/>
              </w:rPr>
            </w:pPr>
          </w:p>
        </w:tc>
        <w:tc>
          <w:tcPr>
            <w:tcW w:w="1940" w:type="dxa"/>
            <w:vAlign w:val="bottom"/>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40" w:type="dxa"/>
            <w:vAlign w:val="bottom"/>
            <w:vMerge w:val="restart"/>
          </w:tcPr>
          <w:p>
            <w:pPr>
              <w:spacing w:after="0"/>
              <w:rPr>
                <w:sz w:val="12"/>
                <w:szCs w:val="12"/>
                <w:color w:val="auto"/>
              </w:rPr>
            </w:pPr>
          </w:p>
        </w:tc>
        <w:tc>
          <w:tcPr>
            <w:tcW w:w="148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Position Held</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4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Forward Rate</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Settlement Date</w:t>
            </w:r>
          </w:p>
        </w:tc>
        <w:tc>
          <w:tcPr>
            <w:tcW w:w="0" w:type="dxa"/>
            <w:vAlign w:val="bottom"/>
          </w:tcPr>
          <w:p>
            <w:pPr>
              <w:spacing w:after="0"/>
              <w:rPr>
                <w:sz w:val="1"/>
                <w:szCs w:val="1"/>
                <w:color w:val="auto"/>
              </w:rPr>
            </w:pPr>
          </w:p>
        </w:tc>
      </w:tr>
      <w:tr>
        <w:trPr>
          <w:trHeight w:val="195"/>
        </w:trPr>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(in thousands)</w:t>
            </w:r>
            <w:r>
              <w:rPr>
                <w:rFonts w:ascii="Times New Roman" w:cs="Times New Roman" w:eastAsia="Times New Roman" w:hAnsi="Times New Roman"/>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2017</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USD/Euro</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1.1149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28, 2017</w:t>
            </w:r>
          </w:p>
        </w:tc>
        <w:tc>
          <w:tcPr>
            <w:tcW w:w="0" w:type="dxa"/>
            <w:vAlign w:val="bottom"/>
          </w:tcPr>
          <w:p>
            <w:pPr>
              <w:spacing w:after="0"/>
              <w:rPr>
                <w:sz w:val="1"/>
                <w:szCs w:val="1"/>
                <w:color w:val="auto"/>
              </w:rPr>
            </w:pPr>
          </w:p>
        </w:tc>
      </w:tr>
      <w:tr>
        <w:trPr>
          <w:trHeight w:val="225"/>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USD/Chinese Yuan</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30, 2017</w:t>
            </w:r>
          </w:p>
        </w:tc>
        <w:tc>
          <w:tcPr>
            <w:tcW w:w="2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Renminbi</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6.8655</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28, 2017</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2017</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USD/Brazilian Real</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3.2330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20, 2017</w:t>
            </w: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30, 2017</w:t>
            </w:r>
          </w:p>
        </w:tc>
        <w:tc>
          <w:tcPr>
            <w:tcW w:w="2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USD/Brazilian Real</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3.3660</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October 20, 2017</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13"/>
        </w:trPr>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2016</w:t>
            </w:r>
          </w:p>
        </w:tc>
        <w:tc>
          <w:tcPr>
            <w:tcW w:w="2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USD/Euro</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1.0513</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27, 2017</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USD/Chinese Yuan</w:t>
            </w:r>
          </w:p>
        </w:tc>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Chinese Yuan</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 2016</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Renminbi</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Renminbi</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6.7230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January 13, 2017</w:t>
            </w:r>
          </w:p>
        </w:tc>
        <w:tc>
          <w:tcPr>
            <w:tcW w:w="0" w:type="dxa"/>
            <w:vAlign w:val="bottom"/>
          </w:tcPr>
          <w:p>
            <w:pPr>
              <w:spacing w:after="0"/>
              <w:rPr>
                <w:sz w:val="1"/>
                <w:szCs w:val="1"/>
                <w:color w:val="auto"/>
              </w:rPr>
            </w:pPr>
          </w:p>
        </w:tc>
      </w:tr>
      <w:tr>
        <w:trPr>
          <w:trHeight w:val="225"/>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USD/Chinese Yuan</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Chinese Yuan</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2016</w:t>
            </w:r>
          </w:p>
        </w:tc>
        <w:tc>
          <w:tcPr>
            <w:tcW w:w="2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Renminbi</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Renminbi</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6.6757</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13, 2017</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 2016</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USD/Brazilian Real</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3.4775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January 13, 2017</w:t>
            </w: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2016</w:t>
            </w:r>
          </w:p>
        </w:tc>
        <w:tc>
          <w:tcPr>
            <w:tcW w:w="2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USD/Brazilian Real</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3.2316</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13, 2017</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60" w:right="380" w:hanging="328"/>
        <w:spacing w:after="0" w:line="218" w:lineRule="auto"/>
        <w:tabs>
          <w:tab w:leader="none" w:pos="660"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Unrealized gains on foreign currency exchange contracts are recorded in prepaid expenses and other current assets. Unrealized losses on foreign currency exchange contracts are recorded in other accrued expenses.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4" w:right="239" w:bottom="1440" w:gutter="0" w:footer="0" w:header="0"/>
        </w:sectPr>
      </w:pPr>
    </w:p>
    <w:bookmarkStart w:id="22" w:name="page23"/>
    <w:bookmarkEnd w:id="22"/>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Business Combination</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6, 2017, we acquired substantially all of the net assets of Residential Control Systems, Inc. ("RCS"), a U.S.-based designer and manufacturer of energy management and control products for the residential, small commercial and hospitality markets. The initial purchase price of $12.6 million was comprised of $8.9 million in cash, which is subject to adjustment based on the final acquired working capital balances, and $3.7 million of contingent consideration. Additionally, we incurred approximately $0.1 million in acquisition costs, consisting primarily of accounting related expenses, which are included within selling, general and administrative expenses for the three and six months ended June 30, 2017. The acquisition of these assets will allow us to expand our product offering of home sensing, monitoring and control solutions to include smart thermostat, sensing and monitoring products currently sold and marketed by RCS.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consolidated income statement for the three and six months ended June 30, 2017 includes net sales of $1.4 million and a net loss of $0.4 million attributable to RCS for the period commencing on April 6, 2017.</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initial purchase price is subject to adjustment for differences between the initial estimated working capital balances and the final adjusted balances. In accordance with the terms of the RCS Asset Purchase Agreement ("APA"), any adjustment to the initial purchase price must be completed within 120 days of the acquisition date. We expect this calculation to be completed in the third quarter of 2017.</w:t>
      </w:r>
    </w:p>
    <w:p>
      <w:pPr>
        <w:spacing w:after="0" w:line="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required to make additional earnout payments of up to $10.0 million upon the achievement of certain operating income levels attributable to RCS over the period commencing on the acquisition date through June 30, 2022. The amount of contingent consideration is calculated at the end of each calendar year and is based upon the agreed upon percentage of operating income as defined in the APA. Operating income will be calculated using certain revenues, costs and expenses directly attributable to RCS as specified in the APA. At the acquisition date, the value of earnout contingent consideration was estimated using a valuation methodology based on projections of future operating income calculated in accordance with the APA. Such projections were then discounted using an average discount rate of 24.8% to reflect the risk in achieving the projected operating income levels as well as the time value of money. The fair value measurement of the earnout contingent consideration was based primarily on significant inputs not observable in an active market and thus represents a Level 3 measurement as defined under U.S. GAAP. The fair value of earnout consideration is presented as long-term contingent consideration in our consolidated balance sheet at June 30, 2017.</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Preliminary Purchase Price Allocation</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Using the acquisition method of accounting, the acquisition date fair value of the consideration transferred was allocated to the net tangible and intangible assets acquired and liabilities assumed based on their estimated fair values on the acquisition date. The excess of the purchase price over the estimated fair value of net assets acquired is recorded as goodwill. The goodwill is expected to be deductible for income tax purposes. Management's preliminary purchase price allocation as of June 30, 2017 was the following: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 Lives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Preliminary Fair Value</w:t>
            </w:r>
          </w:p>
        </w:tc>
        <w:tc>
          <w:tcPr>
            <w:tcW w:w="0" w:type="dxa"/>
            <w:vAlign w:val="bottom"/>
          </w:tcPr>
          <w:p>
            <w:pPr>
              <w:spacing w:after="0"/>
              <w:rPr>
                <w:sz w:val="1"/>
                <w:szCs w:val="1"/>
                <w:color w:val="auto"/>
              </w:rPr>
            </w:pPr>
          </w:p>
        </w:tc>
      </w:tr>
      <w:tr>
        <w:trPr>
          <w:trHeight w:val="249"/>
        </w:trPr>
        <w:tc>
          <w:tcPr>
            <w:tcW w:w="4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w:t>
            </w:r>
          </w:p>
        </w:tc>
        <w:tc>
          <w:tcPr>
            <w:tcW w:w="38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Inventories</w:t>
            </w:r>
          </w:p>
        </w:tc>
        <w:tc>
          <w:tcPr>
            <w:tcW w:w="38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800" w:type="dxa"/>
            <w:vAlign w:val="bottom"/>
          </w:tcPr>
          <w:p>
            <w:pPr>
              <w:spacing w:after="0"/>
              <w:rPr>
                <w:sz w:val="21"/>
                <w:szCs w:val="21"/>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1-4 years</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38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37"/>
        </w:trPr>
        <w:tc>
          <w:tcPr>
            <w:tcW w:w="4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tangible assets acquired</w:t>
            </w:r>
          </w:p>
        </w:tc>
        <w:tc>
          <w:tcPr>
            <w:tcW w:w="38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1,510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name</w:t>
            </w:r>
          </w:p>
        </w:tc>
        <w:tc>
          <w:tcPr>
            <w:tcW w:w="38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8 years</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3800" w:type="dxa"/>
            <w:vAlign w:val="bottom"/>
          </w:tcPr>
          <w:p>
            <w:pPr>
              <w:spacing w:after="0"/>
              <w:rPr>
                <w:sz w:val="21"/>
                <w:szCs w:val="21"/>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 years</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5,200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Order backlog</w:t>
            </w:r>
          </w:p>
        </w:tc>
        <w:tc>
          <w:tcPr>
            <w:tcW w:w="38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1 year</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8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5,294</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purchase price</w:t>
            </w:r>
          </w:p>
        </w:tc>
        <w:tc>
          <w:tcPr>
            <w:tcW w:w="38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12,554</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Contingent consideration</w:t>
            </w:r>
          </w:p>
        </w:tc>
        <w:tc>
          <w:tcPr>
            <w:tcW w:w="38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paid</w:t>
            </w:r>
          </w:p>
        </w:tc>
        <w:tc>
          <w:tcPr>
            <w:tcW w:w="38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8,854</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800" w:type="dxa"/>
            <w:vAlign w:val="bottom"/>
            <w:vMerge w:val="restart"/>
          </w:tcPr>
          <w:p>
            <w:pPr>
              <w:jc w:val="right"/>
              <w:ind w:right="2230"/>
              <w:spacing w:after="0"/>
              <w:rPr>
                <w:sz w:val="20"/>
                <w:szCs w:val="20"/>
                <w:color w:val="auto"/>
              </w:rPr>
            </w:pPr>
            <w:r>
              <w:rPr>
                <w:rFonts w:ascii="Times New Roman" w:cs="Times New Roman" w:eastAsia="Times New Roman" w:hAnsi="Times New Roman"/>
                <w:sz w:val="18"/>
                <w:szCs w:val="18"/>
                <w:color w:val="auto"/>
              </w:rPr>
              <w:t>23</w:t>
            </w: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32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23" w:name="page24"/>
    <w:bookmarkEnd w:id="2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Management's determination of the fair value of intangible assets acquired are based primarily on significant inputs not observable in an active market and thus represent Level 3 fair value measurements as defined under U.S. GAAP.</w:t>
      </w:r>
    </w:p>
    <w:p>
      <w:pPr>
        <w:spacing w:after="0" w:line="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assigned to the RCS trade name intangible asset was determined utilizing a relief from royalty method. Under the relief from royalty method, the fair value of the intangible asset is estimated to be the present value of the royalties saved because the company owns the intangible asset. Revenue projections and estimated useful life were significant inputs into estimating the value of the RCS trade name.</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assigned to RCS customer relationships and order backlog intangible assets were determined utilizing a multi-period excess earnings approach. Under the multi-period excess earnings approach, the fair value of the intangible asset is estimated to be the present value of future earnings attributable to the asset and utilizes revenue and cost projections, including an assumed contributory asset charge.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trade name, customer relationships, and order backlog intangible assets are expected to be deductible for income tax purposes.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Results (Unaudited)</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financial information presents the combined results of our operations and the operations of RCS as if this transaction had occurred on January 1, 2016. This unaudited pro forma financial information is not intended to represent or be indicative of the consolidated results of operations that would have been achieved had the acquisition actually been completed as of January 1, 2016, and should not be taken as a projection of the future consolidated results of our operations.</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June 30, 2017</w:t>
            </w:r>
          </w:p>
        </w:tc>
        <w:tc>
          <w:tcPr>
            <w:tcW w:w="320" w:type="dxa"/>
            <w:vAlign w:val="bottom"/>
          </w:tcPr>
          <w:p>
            <w:pPr>
              <w:spacing w:after="0"/>
              <w:rPr>
                <w:sz w:val="16"/>
                <w:szCs w:val="16"/>
                <w:color w:val="auto"/>
              </w:rPr>
            </w:pPr>
          </w:p>
        </w:tc>
        <w:tc>
          <w:tcPr>
            <w:tcW w:w="2740" w:type="dxa"/>
            <w:vAlign w:val="bottom"/>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Six Months Ended June 30, 2017</w:t>
            </w:r>
          </w:p>
        </w:tc>
      </w:tr>
      <w:tr>
        <w:trPr>
          <w:trHeight w:val="264"/>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per-share amounts)</w:t>
            </w:r>
          </w:p>
        </w:tc>
        <w:tc>
          <w:tcPr>
            <w:tcW w:w="2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177,580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172,308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339,548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326,514</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4,767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6,381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4,541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9,367</w:t>
            </w: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Universal Electronics Inc.</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4,767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6,373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4,541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9,337</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share attributable to Universal Electronics Inc.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0.65</w:t>
            </w: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 attributable to Universal Electronics Inc.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0.64</w:t>
            </w:r>
          </w:p>
        </w:tc>
      </w:tr>
      <w:tr>
        <w:trPr>
          <w:trHeight w:val="27"/>
        </w:trPr>
        <w:tc>
          <w:tcPr>
            <w:tcW w:w="5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purposes of determining pro forma net income attributable to Universal Electronics Inc., adjustments were made to all periods presented in the table above. The pro forma net income and net income attributable to Universal Electronics Inc. assumes that amortization of acquired intangible assets began at January 1, 2016 rather than on April 6, 2017. The result is a net increase in amortization expense of $0.1 million for the six months ended June 30, 2017 and a net increase in amortization expense of $0.2 million and $0.4 million for the three and six months ended June 30, 2016, respectively. Additionally, acquisition costs totaling $0.1 million are excluded from pro forma net income attributable to Universal Electronics Inc. All adjustments have been made net of their related tax effects.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4" w:right="239" w:bottom="1440" w:gutter="0" w:footer="0" w:header="0"/>
        </w:sectPr>
      </w:pPr>
    </w:p>
    <w:bookmarkStart w:id="24" w:name="page25"/>
    <w:bookmarkEnd w:id="24"/>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9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Consolidated Financial Statements and the related notes that appear elsewhere in this document.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develop and manufacture a broad line of pre-programmed universal remote control products, AV accessories, software and intelligent wireless security, sensing and automation components dedicated to redefining the home entertainment and automation experience. Our customers operate primarily in the consumer electronics market and include subscription broadcasters, OEMs, international retailers, private label brands, pro-security dealers and companies in the computing industry. We also sell integrated circuits, on which our software and device control database is embedded, and license our device control database to OEMs that manufacture televisions, digital audio and video players, streamer boxes, cable converters, satellite receivers, set-top boxes, room air conditioning equipment, game consoles, and wireless mobile phones and tablets.</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our beginning in 1986, we have compiled an extensive device control code database that covers approximately one million individual device functions and approximately 8,000 unique consumer electronic brands. QuickSet®, our proprietary software, can automatically detect, identify and enable the appropriate control commands for home entertainment, automation and appliances like air conditioners. Our library is regularly updated with new control functions captured directly from devices, remote controls and manufacturer specifications to ensure the accuracy and integrity of our database and control engine. Our universal remote control library contains device codes that are capable of controlling virtually all set-top boxes, televisions, audio components, DVD players, Blu-Ray players, and CD players, as well as most other remote controlled home entertainment devices and home automation control modules worldwide.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the wider adoption of more advanced technologies, emerging radio frequency ("RF") technologies, such as RF4CE, Bluetooth, and Bluetooth Smart, have increasingly become a focus in our development efforts. Several new recently released platforms utilize RF to effectively implement popular features like voice search.</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developed a comprehensive patent portfolio of more than 400 pending and issued patents related to remote controls and home automation.</w:t>
      </w:r>
    </w:p>
    <w:p>
      <w:pPr>
        <w:spacing w:after="0" w:line="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operate as one business segment. We have 24 international subsidiaries located in Argentina, Brazil, British Virgin Islands, Cayman Islands, France, Germany, Hong Kong (3), India, Italy, Japan, Korea, Mexico, the Netherlands, People's Republic of China (6), Singapore, Spain, and the United Kingdom.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recap our results for the three months ended June 30, 2017:</w:t>
      </w:r>
    </w:p>
    <w:p>
      <w:pPr>
        <w:spacing w:after="0" w:line="63" w:lineRule="exact"/>
        <w:rPr>
          <w:sz w:val="20"/>
          <w:szCs w:val="20"/>
          <w:color w:val="auto"/>
        </w:rPr>
      </w:pPr>
    </w:p>
    <w:p>
      <w:pPr>
        <w:ind w:left="980" w:hanging="324"/>
        <w:spacing w:after="0" w:line="281"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increased 3.9% to $177.6 million for the three months ended June 30, 2017 from $171.0 million for the three months ended June 30, 2016.</w:t>
      </w:r>
    </w:p>
    <w:p>
      <w:pPr>
        <w:spacing w:after="0" w:line="1" w:lineRule="exact"/>
        <w:rPr>
          <w:rFonts w:ascii="Times New Roman" w:cs="Times New Roman" w:eastAsia="Times New Roman" w:hAnsi="Times New Roman"/>
          <w:sz w:val="18"/>
          <w:szCs w:val="18"/>
          <w:color w:val="auto"/>
        </w:rPr>
      </w:pPr>
    </w:p>
    <w:p>
      <w:pPr>
        <w:ind w:left="980" w:right="20" w:hanging="324"/>
        <w:spacing w:after="0" w:line="281"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gross margin percentage decreased from 25.4% for the three months ended June 30, 2016 to 24.6% for the three months ended June 30, 2017.</w:t>
      </w:r>
    </w:p>
    <w:p>
      <w:pPr>
        <w:spacing w:after="0" w:line="1" w:lineRule="exact"/>
        <w:rPr>
          <w:rFonts w:ascii="Times New Roman" w:cs="Times New Roman" w:eastAsia="Times New Roman" w:hAnsi="Times New Roman"/>
          <w:sz w:val="18"/>
          <w:szCs w:val="18"/>
          <w:color w:val="auto"/>
        </w:rPr>
      </w:pPr>
    </w:p>
    <w:p>
      <w:pPr>
        <w:ind w:left="980" w:right="20" w:hanging="324"/>
        <w:spacing w:after="0" w:line="281"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as a percent of net sales, decreased from 20.7% for the three months ended June 30, 2016 to 20.5% for the three months ended June 30, 2017.</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income decreased from $8.0 million for the three months ended June 30, 2016 to $7.3 million for the three months ended June 30, 2017, and our operating margin percentage decreased from 4.7% for the three months ended June 30, 2016 to 4.1% for the three months ended June 30, 2017.</w:t>
      </w:r>
    </w:p>
    <w:p>
      <w:pPr>
        <w:spacing w:after="0" w:line="1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effective tax rate increased to 23.2% for the three months ended June 30, 2017, compared to 21.3% for the three months ended June 30, 2016.</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strategic business objectives for 2017 include the following:</w:t>
      </w:r>
    </w:p>
    <w:p>
      <w:pPr>
        <w:spacing w:after="0" w:line="63"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and market the advanced remote control products and technologies our customer base is adopting;</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broaden our home control and automation product offerings;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penetrate international subscription broadcasting markets;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new customers in historically strong regions;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share with existing customers; and</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seek acquisitions or strategic partners that complement and strengthen our existing business.</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4" w:right="239" w:bottom="1440" w:gutter="0" w:footer="0" w:header="0"/>
        </w:sectPr>
      </w:pPr>
    </w:p>
    <w:bookmarkStart w:id="25" w:name="page26"/>
    <w:bookmarkEnd w:id="25"/>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period, and the primary factors that accounted for those changes, as well as how certain accounting principles, policies and estimates affect our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allowances for sales returns and doubtful accounts, inventory valuation, our review for impairment of long-lived assets, intangible assets and goodwill, business combinations, income taxes, stock-based compensation expense and performance-based common stock warrants. Actual results may differ from these judgments and estimates, and they may be adjusted as more information becomes available. Any adjustment may be significant and may have a material impact on our consolidated financial position or results of operations.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We do not believe that there have been any significant changes during the three months ended June 30, 2017 to the items that we disclosed as our critical accounting policies and estimates in Item 7, "Management's Discussion and Analysis of Financial Condition and Results of Operations" contained in our Annual Report on Form 10-K for our fiscal year ended December 31, 2016.</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contained in the "Notes to Consolidated Financial Statements" for a discussion of recent accounting pronouncements.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expressed as a percentage of net sales for the periods indicated.</w:t>
      </w:r>
    </w:p>
    <w:p>
      <w:pPr>
        <w:sectPr>
          <w:pgSz w:w="11900" w:h="16838" w:orient="portrait"/>
          <w:cols w:equalWidth="0" w:num="1">
            <w:col w:w="11420"/>
          </w:cols>
          <w:pgMar w:left="240" w:top="114" w:right="239" w:bottom="1440" w:gutter="0" w:footer="0" w:header="0"/>
        </w:sectPr>
      </w:pPr>
    </w:p>
    <w:p>
      <w:pPr>
        <w:spacing w:after="0" w:line="23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24765</wp:posOffset>
            </wp:positionV>
            <wp:extent cx="20066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103" w:lineRule="exact"/>
        <w:rPr>
          <w:sz w:val="20"/>
          <w:szCs w:val="20"/>
          <w:color w:val="auto"/>
        </w:rPr>
      </w:pPr>
    </w:p>
    <w:p>
      <w:pPr>
        <w:ind w:left="5420"/>
        <w:spacing w:after="0"/>
        <w:tabs>
          <w:tab w:leader="none" w:pos="7040" w:val="left"/>
        </w:tabs>
        <w:rPr>
          <w:sz w:val="20"/>
          <w:szCs w:val="20"/>
          <w:color w:val="auto"/>
        </w:rPr>
      </w:pPr>
      <w:r>
        <w:rPr>
          <w:rFonts w:ascii="Times New Roman" w:cs="Times New Roman" w:eastAsia="Times New Roman" w:hAnsi="Times New Roman"/>
          <w:sz w:val="14"/>
          <w:szCs w:val="14"/>
          <w:b w:val="1"/>
          <w:bCs w:val="1"/>
          <w:color w:val="auto"/>
        </w:rPr>
        <w:t>2017</w:t>
      </w:r>
      <w:r>
        <w:rPr>
          <w:sz w:val="20"/>
          <w:szCs w:val="20"/>
          <w:color w:val="auto"/>
        </w:rPr>
        <w:tab/>
      </w:r>
      <w:r>
        <w:rPr>
          <w:rFonts w:ascii="Times New Roman" w:cs="Times New Roman" w:eastAsia="Times New Roman" w:hAnsi="Times New Roman"/>
          <w:sz w:val="14"/>
          <w:szCs w:val="14"/>
          <w:b w:val="1"/>
          <w:bCs w:val="1"/>
          <w:color w:val="auto"/>
        </w:rPr>
        <w:t>2016</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24765</wp:posOffset>
            </wp:positionV>
            <wp:extent cx="20066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103"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4"/>
          <w:szCs w:val="14"/>
          <w:b w:val="1"/>
          <w:bCs w:val="1"/>
          <w:color w:val="auto"/>
        </w:rPr>
        <w:t>2017</w:t>
      </w:r>
      <w:r>
        <w:rPr>
          <w:sz w:val="20"/>
          <w:szCs w:val="20"/>
          <w:color w:val="auto"/>
        </w:rPr>
        <w:tab/>
      </w:r>
      <w:r>
        <w:rPr>
          <w:rFonts w:ascii="Times New Roman" w:cs="Times New Roman" w:eastAsia="Times New Roman" w:hAnsi="Times New Roman"/>
          <w:sz w:val="14"/>
          <w:szCs w:val="14"/>
          <w:b w:val="1"/>
          <w:bCs w:val="1"/>
          <w:color w:val="auto"/>
        </w:rPr>
        <w:t>2016</w:t>
      </w:r>
    </w:p>
    <w:p>
      <w:pPr>
        <w:spacing w:after="0" w:line="29" w:lineRule="exact"/>
        <w:rPr>
          <w:sz w:val="20"/>
          <w:szCs w:val="20"/>
          <w:color w:val="auto"/>
        </w:rPr>
      </w:pPr>
    </w:p>
    <w:p>
      <w:pPr>
        <w:sectPr>
          <w:pgSz w:w="11900" w:h="16838" w:orient="portrait"/>
          <w:cols w:equalWidth="0" w:num="2">
            <w:col w:w="7960" w:space="720"/>
            <w:col w:w="2740"/>
          </w:cols>
          <w:pgMar w:left="240" w:top="114" w:right="239" w:bottom="1440" w:gutter="0" w:footer="0" w:header="0"/>
          <w:type w:val="continuous"/>
        </w:sectPr>
      </w:pPr>
    </w:p>
    <w:tbl>
      <w:tblPr>
        <w:tblLayout w:type="fixed"/>
        <w:tblInd w:w="0" w:type="dxa"/>
        <w:tblCellMar>
          <w:top w:w="0" w:type="dxa"/>
          <w:left w:w="0" w:type="dxa"/>
          <w:bottom w:w="0" w:type="dxa"/>
          <w:right w:w="0" w:type="dxa"/>
        </w:tblCellMar>
      </w:tblPr>
      <w:tr>
        <w:trPr>
          <w:trHeight w:val="274"/>
        </w:trPr>
        <w:tc>
          <w:tcPr>
            <w:tcW w:w="48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23"/>
                <w:szCs w:val="23"/>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23"/>
                <w:szCs w:val="23"/>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auto"/>
            </w:tcBorders>
            <w:shd w:val="clear" w:color="auto" w:fill="CCEEFF"/>
          </w:tcPr>
          <w:p>
            <w:pPr>
              <w:spacing w:after="0"/>
              <w:rPr>
                <w:sz w:val="23"/>
                <w:szCs w:val="23"/>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tcPr>
          <w:p>
            <w:pPr>
              <w:spacing w:after="0"/>
              <w:rPr>
                <w:sz w:val="21"/>
                <w:szCs w:val="21"/>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Pr>
          <w:p>
            <w:pPr>
              <w:spacing w:after="0"/>
              <w:rPr>
                <w:sz w:val="21"/>
                <w:szCs w:val="21"/>
                <w:color w:val="auto"/>
              </w:rPr>
            </w:pPr>
          </w:p>
        </w:tc>
        <w:tc>
          <w:tcPr>
            <w:tcW w:w="1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21"/>
                <w:szCs w:val="21"/>
                <w:color w:val="auto"/>
              </w:rPr>
            </w:pPr>
          </w:p>
        </w:tc>
        <w:tc>
          <w:tcPr>
            <w:tcW w:w="15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74.8</w:t>
            </w:r>
          </w:p>
        </w:tc>
      </w:tr>
      <w:tr>
        <w:trPr>
          <w:trHeight w:val="27"/>
        </w:trPr>
        <w:tc>
          <w:tcPr>
            <w:tcW w:w="48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25.2</w:t>
            </w: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1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5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48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Factory transition restructuring charges</w:t>
            </w: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21"/>
                <w:szCs w:val="21"/>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21"/>
                <w:szCs w:val="21"/>
                <w:color w:val="auto"/>
              </w:rPr>
            </w:pPr>
          </w:p>
        </w:tc>
        <w:tc>
          <w:tcPr>
            <w:tcW w:w="1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1"/>
                <w:szCs w:val="21"/>
                <w:color w:val="auto"/>
              </w:rPr>
            </w:pPr>
          </w:p>
        </w:tc>
        <w:tc>
          <w:tcPr>
            <w:tcW w:w="15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18.1</w:t>
            </w:r>
          </w:p>
        </w:tc>
      </w:tr>
      <w:tr>
        <w:trPr>
          <w:trHeight w:val="27"/>
        </w:trPr>
        <w:tc>
          <w:tcPr>
            <w:tcW w:w="48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3.4</w:t>
            </w: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48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0.4</w:t>
            </w:r>
          </w:p>
        </w:tc>
      </w:tr>
      <w:tr>
        <w:trPr>
          <w:trHeight w:val="237"/>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5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0"/>
                <w:szCs w:val="20"/>
                <w:color w:val="auto"/>
              </w:rPr>
            </w:pPr>
          </w:p>
        </w:tc>
        <w:tc>
          <w:tcPr>
            <w:tcW w:w="15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0"/>
                <w:szCs w:val="20"/>
                <w:color w:val="auto"/>
              </w:rPr>
            </w:pPr>
          </w:p>
        </w:tc>
        <w:tc>
          <w:tcPr>
            <w:tcW w:w="15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48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0.8</w:t>
            </w:r>
          </w:p>
        </w:tc>
      </w:tr>
      <w:tr>
        <w:trPr>
          <w:trHeight w:val="237"/>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5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0"/>
                <w:szCs w:val="20"/>
                <w:color w:val="auto"/>
              </w:rPr>
            </w:pPr>
          </w:p>
        </w:tc>
        <w:tc>
          <w:tcPr>
            <w:tcW w:w="15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0"/>
                <w:szCs w:val="20"/>
                <w:color w:val="auto"/>
              </w:rPr>
            </w:pPr>
          </w:p>
        </w:tc>
        <w:tc>
          <w:tcPr>
            <w:tcW w:w="15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48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6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0.0</w:t>
            </w:r>
          </w:p>
        </w:tc>
      </w:tr>
      <w:tr>
        <w:trPr>
          <w:trHeight w:val="237"/>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Universal Electronics Inc.</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2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7"/>
        </w:trPr>
        <w:tc>
          <w:tcPr>
            <w:tcW w:w="48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48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440"/>
        </w:trPr>
        <w:tc>
          <w:tcPr>
            <w:tcW w:w="4800" w:type="dxa"/>
            <w:vAlign w:val="bottom"/>
          </w:tcPr>
          <w:p>
            <w:pPr>
              <w:spacing w:after="0"/>
              <w:rPr>
                <w:sz w:val="24"/>
                <w:szCs w:val="24"/>
                <w:color w:val="auto"/>
              </w:rPr>
            </w:pPr>
          </w:p>
        </w:tc>
        <w:tc>
          <w:tcPr>
            <w:tcW w:w="15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type w:val="continuous"/>
        </w:sectPr>
      </w:pPr>
    </w:p>
    <w:bookmarkStart w:id="26" w:name="page27"/>
    <w:bookmarkEnd w:id="26"/>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2017 versus Three Months Ended June 30, 2016</w:t>
      </w:r>
    </w:p>
    <w:p>
      <w:pPr>
        <w:spacing w:after="0" w:line="9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for the three months ended June 30, 2017 were $177.6 million, an increase of 3.9% compared to $171.0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2016. Net sales by our Business and Consumer lines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64"/>
        </w:trPr>
        <w:tc>
          <w:tcPr>
            <w:tcW w:w="50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 (millions)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49"/>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Business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Consumer</w:t>
            </w:r>
          </w:p>
        </w:tc>
        <w:tc>
          <w:tcPr>
            <w:tcW w:w="48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74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7.3</w:t>
            </w:r>
          </w:p>
        </w:tc>
      </w:tr>
      <w:tr>
        <w:trPr>
          <w:trHeight w:val="27"/>
        </w:trPr>
        <w:tc>
          <w:tcPr>
            <w:tcW w:w="5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net sales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sales in our Business lines (subscription broadcasting, OEM, and computing companies) were 92.6% of net sales for the three months ended June 30, 2017 compared to 92.7% for the three months ended June 30, 2016. Net sales in our Business lines for the three months ended June 30, 2017 increased by 3.8% to $164.5 million from $158.5 million driven primarily by the rollout of higher end platforms in North America and Europe, increased sales of home security products and increased market share in Latin America. These increases were partially offset by decreased sales to North American satellite broadcasting customers as certain customers are in the process of depleting their current stock of inventory in preparation for the launch of their new advanced platforms.</w:t>
      </w:r>
    </w:p>
    <w:p>
      <w:pPr>
        <w:spacing w:after="0" w:line="13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Net sales in our Consumer lines (</w:t>
      </w:r>
      <w:r>
        <w:rPr>
          <w:rFonts w:ascii="Times New Roman" w:cs="Times New Roman" w:eastAsia="Times New Roman" w:hAnsi="Times New Roman"/>
          <w:sz w:val="18"/>
          <w:szCs w:val="18"/>
          <w:i w:val="1"/>
          <w:iCs w:val="1"/>
          <w:color w:val="auto"/>
        </w:rPr>
        <w:t>One For All</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color w:val="auto"/>
        </w:rPr>
        <w:t xml:space="preserve"> retail and private label) were 7.4% of net sales for the three months ended June 30, 2017 compared to 7.3% for the three months ended June 30, 2016. Net sales in our Consumer lines for the three months ended June 30, 2017 increased by 4.8% to $13.1 million from $12.5 million in the three months ended June 30, 2016 driven primarily by growth in the U.S. market.</w:t>
      </w:r>
    </w:p>
    <w:p>
      <w:pPr>
        <w:spacing w:after="0" w:line="1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for the three months ended June 30, 2017 was $43.8 million compared to $43.5 million for the three months ended June 30, 2016.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Gross profit as a percent of sales decreased to 24.6% for the three months ended June 30, 2017 compared to 25.4% for the three months ended June 30, 2016. The gross margin percentage was unfavorably impacted by manufacturing inefficiencies experienced due to factory transition activities in China, price reductions granted to certain large volume customers, and lower-margin projects undertaken in Latin America. These were partially offset by the weakening of the Chinese Yuan Renminbi relative to the U.S. Dollar and improved margins in our Consumer lines.</w:t>
      </w:r>
    </w:p>
    <w:p>
      <w:pPr>
        <w:spacing w:after="0" w:line="12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("R&amp;D") expenses. </w:t>
      </w:r>
      <w:r>
        <w:rPr>
          <w:rFonts w:ascii="Times New Roman" w:cs="Times New Roman" w:eastAsia="Times New Roman" w:hAnsi="Times New Roman"/>
          <w:sz w:val="18"/>
          <w:szCs w:val="18"/>
          <w:color w:val="auto"/>
        </w:rPr>
        <w:t>R&amp;D expenses decreased 4.0% to $4.9 million for the three months ended June 30, 2017 from $5.2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June 30, 2016.</w:t>
      </w:r>
    </w:p>
    <w:p>
      <w:pPr>
        <w:spacing w:after="0" w:line="1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Factory transition restructuring charges. </w:t>
      </w:r>
      <w:r>
        <w:rPr>
          <w:rFonts w:ascii="Times New Roman" w:cs="Times New Roman" w:eastAsia="Times New Roman" w:hAnsi="Times New Roman"/>
          <w:sz w:val="18"/>
          <w:szCs w:val="18"/>
          <w:color w:val="auto"/>
        </w:rPr>
        <w:t>In the first quarter of 2016, we implemented a plan to reduce the impact of rising labor rates in China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transitioning manufacturing activities from our southern-most China factory, located in the city of Guangzhou in the Guangdong province, to our other three China factories where labor rates are rising at a slower rate. As a result, we incurred severance costs of $0.4 million and $0.1 million for the three months ended June 30, 2017 and 2016, respectively. We expect to incur additional severance costs of approximately $1.5 million as we continue to execute this transition over the next three to six months.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("SG&amp;A") expenses. </w:t>
      </w:r>
      <w:r>
        <w:rPr>
          <w:rFonts w:ascii="Times New Roman" w:cs="Times New Roman" w:eastAsia="Times New Roman" w:hAnsi="Times New Roman"/>
          <w:sz w:val="18"/>
          <w:szCs w:val="18"/>
          <w:color w:val="auto"/>
        </w:rPr>
        <w:t>SG&amp;A expenses increased 2.6% to $31.1 million for the three months ended June 30, 2017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$30.3 million for the three months ended June 30, 2016. The increase was primarily due to increased payroll and benefits costs attributable to annual merit increases and additional headcount to support product development efforts; incremental expense recorded to reflect an increase in the value of contingent consideration to be paid in connection with our acquisition of the net assets of Ecolink Intelligent Technology, Inc. ("Ecolink"); additional outside product development expense; additional expense related to the acquisition of the net assets of Residential Control Systems, Inc. ("RCS"); and additional expense to support our implementation of a new ERP system. Partially offsetting these increases was a decrease in legal expense as a result of higher legal fees, including the recording of a $2.0 million legal settlement, in the prior year period related to a patent litigation lawsuit. In addition, incentive compensation expense decreased from the prior year quarter.</w:t>
      </w:r>
    </w:p>
    <w:p>
      <w:pPr>
        <w:spacing w:after="0" w:line="13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(expense), net. </w:t>
      </w:r>
      <w:r>
        <w:rPr>
          <w:rFonts w:ascii="Times New Roman" w:cs="Times New Roman" w:eastAsia="Times New Roman" w:hAnsi="Times New Roman"/>
          <w:sz w:val="18"/>
          <w:szCs w:val="18"/>
          <w:color w:val="auto"/>
        </w:rPr>
        <w:t>Net interest expense was $0.6 million for the three months ended June 30, 2017 compared to net interest expense of $0.3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June 30, 2016 as a result of an increased level of borrowings on our line of credit.</w:t>
      </w:r>
    </w:p>
    <w:p>
      <w:pPr>
        <w:spacing w:after="0" w:line="10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Net other expense was $0.6 million for the three months ended June 30, 2017 compared to net other income of $0.7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June 30, 2016. This change was driven primarily by foreign currency losses associated with fluctuations in the Chinese Yuan Renminbi and Euro exchange rates versus the U.S. Dollar.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4" w:right="239" w:bottom="1440" w:gutter="0" w:footer="0" w:header="0"/>
        </w:sectPr>
      </w:pPr>
    </w:p>
    <w:bookmarkStart w:id="27" w:name="page28"/>
    <w:bookmarkEnd w:id="27"/>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Income tax expense was $1.4 million for the three months ended June 30, 2017 compared to $1.8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2016. Our effective tax rate was 23.2% for the three months ended June 30, 2017 compared to 21.3% for the three months ended June 30, 2016. The increase in our effective tax rate was primarily due to the nondeductibility of certain transactions in China as a result of the pending sale of our Guangzhou factory.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2017 versus Six Months Ended June 30, 2016</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for the six months ended June 30, 2017 were $339.0 million, an increase of 5.4% compared to $321.6 million for the six months ended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2016. Net sales by our Business and Consumer lines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64"/>
        </w:trPr>
        <w:tc>
          <w:tcPr>
            <w:tcW w:w="50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 (millions)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49"/>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Business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314.9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Consumer</w:t>
            </w:r>
          </w:p>
        </w:tc>
        <w:tc>
          <w:tcPr>
            <w:tcW w:w="48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5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net sales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339.0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in our Business lines (subscription broadcasting, OEM, and computing companies) were 92.9% of net sales for the six months ended June 30, 2017 compared to 93.0% for the six months ended June 30, 2016. Net sales in our Business lines for the six months ended June 30, 2017 increased by 5.3% to $314.9 million from $299.1 million driven primarily by the rollout of higher end platforms in North America and Europe, increased sales of home security products and increased market share in Latin America. These increases were partially offset by decreased sales to North American satellite customers as certain customers are in the process of depleting their current stock of inventory in preparation for the launch of their new advanced platforms.</w:t>
      </w:r>
    </w:p>
    <w:p>
      <w:pPr>
        <w:spacing w:after="0" w:line="128"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Net sales in our Consumer lines (</w:t>
      </w:r>
      <w:r>
        <w:rPr>
          <w:rFonts w:ascii="Times New Roman" w:cs="Times New Roman" w:eastAsia="Times New Roman" w:hAnsi="Times New Roman"/>
          <w:sz w:val="18"/>
          <w:szCs w:val="18"/>
          <w:i w:val="1"/>
          <w:iCs w:val="1"/>
          <w:color w:val="auto"/>
        </w:rPr>
        <w:t>One For All</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color w:val="auto"/>
        </w:rPr>
        <w:t xml:space="preserve"> retail and private label) were 7.1% of net sales for the six months ended June 30, 2017 compared to 7.0% for the six months ended June 30, 2016. Net sales in our Consumer lines for the six months ended June 30, 2017 increased by 7.1% to $24.1 million from $22.5 million in the six months ended June 30, 2016 driven primarily by growth in the U.S. market.</w:t>
      </w:r>
    </w:p>
    <w:p>
      <w:pPr>
        <w:spacing w:after="0" w:line="1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for the six months ended June 30, 2017 was $84.8 million compared to $81.1 million for the six months ended June 30, 2016. Gross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profit as a percent of sales decreased slightly to 25.0% for the six months ended June 30, 2017 compared to 25.2% for the six months ended June 30, 2016. The gross margin percentage was unfavorably impacted by manufacturing inefficiencies experienced due to factory transition activities in China, price reductions granted to certain large volume customers, and lower-margin projects undertaken in Latin America. These were partially offset by the weakening of the Chinese Yuan Renminbi relative to the U.S. Dollar and improved margins in our Consumer lines.</w:t>
      </w:r>
    </w:p>
    <w:p>
      <w:pPr>
        <w:spacing w:after="0" w:line="12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R&amp;D expenses increased 1.0% to $10.4 million for the six months ended June 30, 2017 from $10.3 million for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2016.</w:t>
      </w:r>
    </w:p>
    <w:p>
      <w:pPr>
        <w:spacing w:after="0" w:line="1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Factory transition restructuring charges. </w:t>
      </w:r>
      <w:r>
        <w:rPr>
          <w:rFonts w:ascii="Times New Roman" w:cs="Times New Roman" w:eastAsia="Times New Roman" w:hAnsi="Times New Roman"/>
          <w:sz w:val="18"/>
          <w:szCs w:val="18"/>
          <w:color w:val="auto"/>
        </w:rPr>
        <w:t>In the first quarter of 2016, we implemented a plan to reduce the impact of rising labor costs in China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transitioning manufacturing activities from our southern-most China factory, located in the city of Guangzhou in the Guangdong province, to our other three China factories where labor rates are rising at a slower rate. As a result, we incurred severance costs of $5.7 million and $1.5 million for the six months ended June 30, 2017 and 2016, respectively. We expect to incur additional severance costs of approximately $1.5 million as we continue to execute this transition over the next three to six months.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SG&amp;A expenses increased 5.9% to $61.7 million for the six months ended June 30, 2017 from $58.2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six months ended June 30, 2016. The increase was primarily due to incremental expense recorded to reflect an increase in the value of contingent consideration to be paid in connection with our acquisition of the net assets of Ecolink; additional expense to support our implementation of a new ERP system; additional outside product development expense; increased payroll and benefits costs attributable to annual merit increases and additional headcount to support product development efforts; and additional expense related to the acquisition of the net assets of RCS. Partially offsetting these increases was a decrease in legal expense as a result of higher legal fees, including the recording of a $2.0 million legal settlement, in the prior year period related to a patent litigation lawsuit. In addition, incentive compensation expense decreased from the prior year period.</w:t>
      </w:r>
    </w:p>
    <w:p>
      <w:pPr>
        <w:spacing w:after="0" w:line="12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(expense), net. </w:t>
      </w:r>
      <w:r>
        <w:rPr>
          <w:rFonts w:ascii="Times New Roman" w:cs="Times New Roman" w:eastAsia="Times New Roman" w:hAnsi="Times New Roman"/>
          <w:sz w:val="18"/>
          <w:szCs w:val="18"/>
          <w:color w:val="auto"/>
        </w:rPr>
        <w:t>Net interest expense was $1.0 million for the six months ended June 30, 2017 compared to net interest expense of $0.5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six months ended June 30, 2016 as a result of an increased level of borrowings on our line of credit.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4" w:right="239" w:bottom="1440" w:gutter="0" w:footer="0" w:header="0"/>
        </w:sectPr>
      </w:pPr>
    </w:p>
    <w:bookmarkStart w:id="28" w:name="page29"/>
    <w:bookmarkEnd w:id="28"/>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Net other expense was $0.1 million for the six months ended June 30, 2017 compared to net other income of $1.4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ended June 30, 2016. This change was driven primarily by a decrease in foreign currency gains associated with fluctuations in the Chinese Yuan Renminbi exchange rate versus the U.S. Dollar.</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Income tax expense was $1.1 million for the six months ended June 30, 2017 compared to $2.5 million for the six months ended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2016. Our effective tax rate was 18.9% for the six months ended June 30, 2017 compared to 21.3% for the six months ended June 30, 2016. The decrease in our effective tax rate was primarily due to the recognition of $0.4 million of excess tax benefits related to stock-based compensation during the six months ended June 30, 2017 as a result of implementing ASU 2016-09, which became effective January 1, 2017.</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and Uses of Cash</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60" w:type="dxa"/>
            <w:vAlign w:val="bottom"/>
          </w:tcPr>
          <w:p>
            <w:pPr>
              <w:spacing w:after="0"/>
              <w:rPr>
                <w:sz w:val="13"/>
                <w:szCs w:val="13"/>
                <w:color w:val="auto"/>
              </w:rPr>
            </w:pPr>
          </w:p>
        </w:tc>
        <w:tc>
          <w:tcPr>
            <w:tcW w:w="15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5"/>
        </w:trPr>
        <w:tc>
          <w:tcPr>
            <w:tcW w:w="57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20" w:type="dxa"/>
            <w:vAlign w:val="bottom"/>
          </w:tcPr>
          <w:p>
            <w:pPr>
              <w:spacing w:after="0"/>
              <w:rPr>
                <w:sz w:val="16"/>
                <w:szCs w:val="16"/>
                <w:color w:val="auto"/>
              </w:rPr>
            </w:pPr>
          </w:p>
        </w:tc>
        <w:tc>
          <w:tcPr>
            <w:tcW w:w="160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provided by (used for) operating activities</w:t>
            </w:r>
          </w:p>
        </w:tc>
        <w:tc>
          <w:tcPr>
            <w:tcW w:w="30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23,251</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used for investing activities</w:t>
            </w: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(18,934)</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provided by (used for)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27,970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33,344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(5,374)</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2,605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5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360" w:type="dxa"/>
            <w:vAlign w:val="bottom"/>
          </w:tcPr>
          <w:p>
            <w:pPr>
              <w:spacing w:after="0"/>
              <w:rPr>
                <w:sz w:val="24"/>
                <w:szCs w:val="24"/>
                <w:color w:val="auto"/>
              </w:rPr>
            </w:pPr>
          </w:p>
        </w:tc>
        <w:tc>
          <w:tcPr>
            <w:tcW w:w="15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220" w:type="dxa"/>
            <w:vAlign w:val="bottom"/>
          </w:tcPr>
          <w:p>
            <w:pPr>
              <w:spacing w:after="0"/>
              <w:rPr>
                <w:sz w:val="24"/>
                <w:szCs w:val="24"/>
                <w:color w:val="auto"/>
              </w:rPr>
            </w:pPr>
          </w:p>
        </w:tc>
        <w:tc>
          <w:tcPr>
            <w:tcW w:w="1600" w:type="dxa"/>
            <w:vAlign w:val="bottom"/>
            <w:vMerge w:val="restart"/>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195"/>
        </w:trPr>
        <w:tc>
          <w:tcPr>
            <w:tcW w:w="5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2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49,695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50,611</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Working capital</w:t>
            </w:r>
          </w:p>
        </w:tc>
        <w:tc>
          <w:tcPr>
            <w:tcW w:w="30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87,889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108,291</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Net cash used for operating activities </w:t>
      </w:r>
      <w:r>
        <w:rPr>
          <w:rFonts w:ascii="Times New Roman" w:cs="Times New Roman" w:eastAsia="Times New Roman" w:hAnsi="Times New Roman"/>
          <w:sz w:val="18"/>
          <w:szCs w:val="18"/>
          <w:color w:val="auto"/>
        </w:rPr>
        <w:t>was $0.2 million during the six months ended June 30, 2017 compared to $23.3 million of net cash provided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activities during the six months ended June 30, 2016. The decrease in net cash provided by operating activities was primarily due to working capital needs associated with inventories and accounts receivable. Cash outflows associated with inventories increased during the six months ended June 30, 2017 as a result of increased sales as well as some buildup of inventory related to the anticipated rollout of higher end platforms to certain customers. Our inventory turns decreased from 4.3 turns at June 30, 2016 to 3.9 turns at June 30, 2017. With respect to accounts receivable, cash outflows have increased primarily as a result of sales growth and collection timing. Days sales outstanding have increased from 70 days at June 30, 2016 to 75 days at June 30, 2017.</w:t>
      </w:r>
    </w:p>
    <w:p>
      <w:pPr>
        <w:spacing w:after="0" w:line="12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cash used for investing activities </w:t>
      </w:r>
      <w:r>
        <w:rPr>
          <w:rFonts w:ascii="Times New Roman" w:cs="Times New Roman" w:eastAsia="Times New Roman" w:hAnsi="Times New Roman"/>
          <w:sz w:val="18"/>
          <w:szCs w:val="18"/>
          <w:color w:val="auto"/>
        </w:rPr>
        <w:t>during the six months ended June 30, 2017 was $27.1 million compared to $18.9 million during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2016. The increase in cash used for investing activities was driven primarily by our acquisition of the net assets of RCS for $8.9 million in April 2017. We anticipate that property, plant and equipment purchases in 2017 will total between $24 million and $27 million.</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cash provided by financing activities </w:t>
      </w:r>
      <w:r>
        <w:rPr>
          <w:rFonts w:ascii="Times New Roman" w:cs="Times New Roman" w:eastAsia="Times New Roman" w:hAnsi="Times New Roman"/>
          <w:sz w:val="18"/>
          <w:szCs w:val="18"/>
          <w:color w:val="auto"/>
        </w:rPr>
        <w:t>was $28.0 million during the six months ended June 30, 2017 compared to $5.4 million of net cash used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activities during the six months ended June 30, 2016. The increase in cash provided by financing activities was driven primarily by net borrowings on our line of credit of $42.0 million during the six months ended June 30, 2017, compared to net payments of $7.0 million on our line of credit during the six months ended June 30, 2016. This was partially offset by an increase of $12.9 million in treasury stock purchases.</w:t>
      </w:r>
    </w:p>
    <w:p>
      <w:pPr>
        <w:spacing w:after="0" w:line="1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2017, we repurchased 239,470 shares of our common stock at a cost of $14.9 million compared to our repurchase of 36,329 shares at a cost of $1.9 million during the six months ended June 30, 2016. We hold these shares as treasury stock and they are available for reissue. Presently, we have no plans to distribute these shares, although we may change these plans if necessary to fulfill our on-going business objectives.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our Board of Directors authorizes management to repurchase shares of our issued and outstanding common stock on the open market. Repurchases may be made to manage dilution created by shares issued under our stock incentive plans or whenever we deem a repurchase is a good use of our cash and the price to be paid is at or below a threshold approved by our Board. As of June 30, 2017, we had 148,853 shares available for repurchase on the open market under the Board's authorizations. On July 26, 2017, our Board increased these repurchase authorizations by 51,147 shares bringing the total authorization as of the approval date to 200,000 shares.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4" w:right="239" w:bottom="1440" w:gutter="0" w:footer="0" w:header="0"/>
        </w:sectPr>
      </w:pPr>
    </w:p>
    <w:bookmarkStart w:id="29" w:name="page30"/>
    <w:bookmarkEnd w:id="29"/>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and the effect these obligations are expected to have on our liquidity and cash flow in future periods.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175"/>
              <w:spacing w:after="0" w:line="149"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center"/>
              <w:ind w:right="195"/>
              <w:spacing w:after="0" w:line="149" w:lineRule="exact"/>
              <w:rPr>
                <w:sz w:val="20"/>
                <w:szCs w:val="20"/>
                <w:color w:val="auto"/>
              </w:rPr>
            </w:pPr>
            <w:r>
              <w:rPr>
                <w:rFonts w:ascii="Times New Roman" w:cs="Times New Roman" w:eastAsia="Times New Roman" w:hAnsi="Times New Roman"/>
                <w:sz w:val="14"/>
                <w:szCs w:val="14"/>
                <w:b w:val="1"/>
                <w:bCs w:val="1"/>
                <w:color w:val="auto"/>
              </w:rPr>
              <w:t>1 - 3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415"/>
              <w:spacing w:after="0" w:line="149" w:lineRule="exact"/>
              <w:rPr>
                <w:sz w:val="20"/>
                <w:szCs w:val="20"/>
                <w:color w:val="auto"/>
              </w:rPr>
            </w:pPr>
            <w:r>
              <w:rPr>
                <w:rFonts w:ascii="Times New Roman" w:cs="Times New Roman" w:eastAsia="Times New Roman" w:hAnsi="Times New Roman"/>
                <w:sz w:val="14"/>
                <w:szCs w:val="14"/>
                <w:b w:val="1"/>
                <w:bCs w:val="1"/>
                <w:color w:val="auto"/>
              </w:rPr>
              <w:t>4 - 5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jc w:val="right"/>
              <w:ind w:right="375"/>
              <w:spacing w:after="0" w:line="149" w:lineRule="exact"/>
              <w:rPr>
                <w:sz w:val="20"/>
                <w:szCs w:val="20"/>
                <w:color w:val="auto"/>
              </w:rPr>
            </w:pPr>
            <w:r>
              <w:rPr>
                <w:rFonts w:ascii="Times New Roman" w:cs="Times New Roman" w:eastAsia="Times New Roman" w:hAnsi="Times New Roman"/>
                <w:sz w:val="14"/>
                <w:szCs w:val="14"/>
                <w:b w:val="1"/>
                <w:bCs w:val="1"/>
                <w:color w:val="auto"/>
              </w:rPr>
              <w:t>After</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13,402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5,246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3,047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8,235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Contingent consideration </w:t>
            </w:r>
            <w:r>
              <w:rPr>
                <w:rFonts w:ascii="Times New Roman" w:cs="Times New Roman" w:eastAsia="Times New Roman" w:hAnsi="Times New Roman"/>
                <w:sz w:val="25"/>
                <w:szCs w:val="25"/>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15,100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8,222</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4,194</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36,740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15,329</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13,468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7,241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Purchase obligations primarily consist of contractual payments to purchase property, plant and equipment.</w:t>
      </w:r>
    </w:p>
    <w:p>
      <w:pPr>
        <w:spacing w:after="0" w:line="98" w:lineRule="exact"/>
        <w:rPr>
          <w:rFonts w:ascii="Times New Roman" w:cs="Times New Roman" w:eastAsia="Times New Roman" w:hAnsi="Times New Roman"/>
          <w:sz w:val="25"/>
          <w:szCs w:val="25"/>
          <w:color w:val="auto"/>
          <w:vertAlign w:val="superscript"/>
        </w:rPr>
      </w:pPr>
    </w:p>
    <w:p>
      <w:pPr>
        <w:ind w:left="660" w:hanging="328"/>
        <w:spacing w:after="0" w:line="211" w:lineRule="auto"/>
        <w:tabs>
          <w:tab w:leader="none" w:pos="660" w:val="left"/>
        </w:tabs>
        <w:numPr>
          <w:ilvl w:val="0"/>
          <w:numId w:val="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Contingent consideration consists of contingent payments related to our purchases of the net assets of Ecolink and RCS.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we have utilized cash provided from operations as our primary source of liquidity, as internally generated cash flows have been sufficient to support our business operations, capital expenditures and discretionary share repurchases. More recently, we have utilized our revolving line of credit to fund an increased level of share repurchases and our acquisitions of the net assets of Ecolink and RCS. We anticipate that we will continue to utilize both cash flows from operations and our revolving line of credit to support ongoing business operations, capital expenditures and future discretionary share repurchases. Our working capital needs have typically been greatest during the third and fourth quarters when accounts receivable and inventories increase in connection with the fourth quarter holiday selling season and when inventory levels increase in anticipation of factory closures in observance of Chinese New Year. We believe our current cash balances, anticipated cash flow to be generated from operations and available borrowing resources will be sufficient to cover expected cash outlays during the next twelve months; however, because our cash is located in various jurisdictions throughout the world, we may at times need to increase borrowing from our revolving line of credit or take on additional debt until we are able to transfer cash among our various entities.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liquidity is subject to various risks including the risks discussed under "Item 3. Quantitative and Qualitative Disclosures about Market Risk."</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6"/>
                <w:szCs w:val="16"/>
                <w:color w:val="auto"/>
              </w:rPr>
            </w:pPr>
          </w:p>
        </w:tc>
        <w:tc>
          <w:tcPr>
            <w:tcW w:w="19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300" w:type="dxa"/>
            <w:vAlign w:val="bottom"/>
          </w:tcPr>
          <w:p>
            <w:pPr>
              <w:spacing w:after="0"/>
              <w:rPr>
                <w:sz w:val="16"/>
                <w:szCs w:val="16"/>
                <w:color w:val="auto"/>
              </w:rPr>
            </w:pPr>
          </w:p>
        </w:tc>
        <w:tc>
          <w:tcPr>
            <w:tcW w:w="18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49"/>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49,695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50,611</w:t>
            </w: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Available borrowing resources</w:t>
            </w:r>
          </w:p>
        </w:tc>
        <w:tc>
          <w:tcPr>
            <w:tcW w:w="420" w:type="dxa"/>
            <w:vAlign w:val="bottom"/>
          </w:tcPr>
          <w:p>
            <w:pPr>
              <w:spacing w:after="0"/>
              <w:rPr>
                <w:sz w:val="21"/>
                <w:szCs w:val="21"/>
                <w:color w:val="auto"/>
              </w:rPr>
            </w:pPr>
          </w:p>
        </w:tc>
        <w:tc>
          <w:tcPr>
            <w:tcW w:w="18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33,000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35,000</w:t>
            </w:r>
          </w:p>
        </w:tc>
      </w:tr>
    </w:tbl>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cash balances are held in numerous locations throughout the world. The majority of our cash is held outside of the United States and may be repatriated to the United States but, under current law, would be subject to United States federal income taxes, less applicable foreign tax credits. Repatriation of some foreign balances is restricted by local laws. We have not provided for the United States federal tax liability on these amounts for financial statement purposes as this cash is considered indefinitely reinvested outside of the United States. Our intent is to meet our domestic liquidity needs through ongoing cash flows, external borrowings, or both. We utilize a variety of tax planning strategies in an effort to ensure that our worldwide cash is available in the locations in which it is needed.</w:t>
      </w:r>
    </w:p>
    <w:p>
      <w:pPr>
        <w:spacing w:after="0" w:line="1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June 30, 2017, we had $6.4 million, $17.2 million, $4.8 million, $17.2 million and $4.1 million of cash and cash equivalents in the United States, the People's Republic of China ("PRC"), Asia (excluding the PRC), Europe, and South America, respectively. On December 31, 2016, we had $3.3 million, $22.1 million, $5.3 million, $19.6 million, and $0.3 million of cash and cash equivalents in the United States, the PRC, Asia (excluding the PRC), Europe and South America, respectively. We attempt to mitigate our exposure to liquidity, credit and other relevant risks by placing our cash and cash equivalents with financial institutions we believe are high quality.</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Amended and Restated Credit Agreement ("Amended Credit Agreement") with U.S. Bank National Association ("U.S. Bank") provides for a $125.0 million revolving line of credit ("Credit Line") that expires on November 1, 2019 and that may be used for working capital and other general corporate purposes including acquisitions, share repurchases and capital expenditures. Amounts available for borrowing under the Credit Line are reduced by the balance of any outstanding letters of credit. There were no outstanding letters of credit at June 30, 2017.</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4" w:right="239" w:bottom="1440" w:gutter="0" w:footer="0" w:header="0"/>
        </w:sectPr>
      </w:pPr>
    </w:p>
    <w:bookmarkStart w:id="30" w:name="page31"/>
    <w:bookmarkEnd w:id="30"/>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obligations under the Credit Line are secured by substantially all of our U.S. personal property and tangible and intangible assets as well as 65% of our ownership interest in Enson Assets Limited, our wholly-owned subsidiary that controls our manufacturing factories in the PRC.</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Amended Credit Agreement, we may elect to pay interest on the Credit Line based on LIBOR plus an applicable margin (varying from 1.25% to 1.75%) or base rate (based on the prime rate of U.S. Bank or as otherwise specified in the Amended Credit Agreement) plus an applicable margin (varying from 0.00% to 0.50%). The applicable margins are calculated quarterly and vary based on our cash flow leverage ratio as set forth in the Amended Credit Agreement. The interest rate in effect at June 30, 2017 was 2.34%. There are no commitment fees or unused line fees under the Amended Credit Agreement.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Amended Credit Agreement includes financial covenants requiring a minimum fixed charge coverage ratio and a maximum cash flow leverage ratio. In addition, the Amended Credit Agreement also contains other customary affirmative and negative covenants and events of default. As of June 30, 2017, we were in compliance with the covenants and conditions of the Amended Credit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2017, we had an outstanding balance of $92.0 million on our Credit Line and $33.0 million of availability.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participate in any material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May Affect Financial Condition and Future Results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caution that the following important factors, among others (including but not limited to factors discussed in "Management's Discussion and Analysis of Financial Condition and Results of Operations," as well as those discussed in our 2016 Annual Report on Form 10-K, or in our other reports filed from time to time with the Securities and Exchange Commission),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 Therefore, forward-looking statements should not be relied upon as a prediction of actual future results.</w:t>
      </w:r>
    </w:p>
    <w:p>
      <w:pPr>
        <w:spacing w:after="0" w:line="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While we believe that the forward-looking statements made in this report are based on reasonable assumptions, the actual outcome of such statements is subject to a number of risks and uncertainties, including the significant percentage of our revenue attributable to a limited number of customers; the failure of our markets to continue growing and expanding in the manner we anticipated; the failure of our customers to grow and expand as we anticipated; the effects of natural or other events beyond our control, including the effects political unrest, war or terrorist activities may have on us or the economy; the economic environment's effect on us or our customers; the growth of, acceptance of and the demand for our products and technologies in various markets and geographical regions, including cable, satellite, consumer electronics, retail, and digital media and interactive technology; our successful integration of the Ecolink and RCS assets and business lines; our inability to add profitable complementary products which are accepted by the marketplace; our inability to attract and retain a quality workforce at adequate levels in all regions of the world, and particularly Asia; our inability to continue to maintain our operating costs at acceptable levels through our cost containment efforts; an unfavorable ruling in any or all of the litigation matters to which we are party; our inability to continue selling our products or licensing our technologies at higher or profitable margins; our inability to obtain orders or maintain our order volume with new and existing customers; our inability to develop new and innovative technologies and products that are accepted by our customers; the sale of our Guangzhou facility not occurring as or within the time frame anticipated by management; our inability to successfully and profitably restructure our manufacturing facilities and activities; possible dilutive effect our stock incentive programs may have on our earnings per share and stock price; the continued ability to identify and execute on opportunities that maximize stockholder value, including the effects repurchasing the company's shares have on the company's stock value; our inability to continue to obtain adequate quantities of component parts or secure adequate factory production capacity on a timely basis; and other factors listed from time to time in our press releases and filings with the Securities and Exchange Commission.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4" w:right="239" w:bottom="1440" w:gutter="0" w:footer="0" w:header="0"/>
        </w:sectPr>
      </w:pPr>
    </w:p>
    <w:bookmarkStart w:id="31" w:name="page32"/>
    <w:bookmarkEnd w:id="31"/>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interest rate risk related to our debt. From time to time we borrow amounts on our Credit Line for working capital and other liquidity needs. Under our Amended Credit Agreement, we may elect to pay interest on outstanding borrowings on our Credit Line based on LIBOR or a base rate (based on the prime rate of U.S. Bank) plus an applicable margin as defined in the Amended Credit Agreement. Accordingly, changes in interest rates would impact our results of operations in future periods. A 100 basis point increase in interest rates would have an approximately $0.6 million annual impact on net income based on our outstanding line of credit balance at June 30, 2017.</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June 30, 2017, we had wholly-owned subsidiaries in Argentina, Brazil, Cayman Islands, France, Germany, Hong Kong, India, Italy, Japan, Korea, Mexico, the Netherlands, the PRC, Singapore, Spain and the United Kingdom. We are exposed to foreign currency exchange rate risk inherent in our sales commitments, anticipated sales, anticipated purchases, operating expenses, assets and liabilities denominated in currencies other than the U.S. Dollar. The most significant foreign currencies to our operations are the Chinese Yuan Renminbi, Euro, British Pound, Argentinian Peso, Mexican Peso, Brazilian Real, Indian Rupee and Japanese Yen. Our most significant foreign currency exposure is to the Chinese Yuan Renminbi as this is the functional currency of our China-based factories where the majority of our products are manufactured. If the Chinese Yuan Renminbi were to strengthen against the U.S. Dollar, our manufacturing costs would increase. We are generally a net payor of the Euro, Mexican Peso, Indian Rupee and Japanese Yen and therefore benefit from a stronger U.S. Dollar and are adversely affected by a weaker U.S. Dollar relative to the foreign currency. For the British Pound, Argentinian Peso and Brazilian Real, we are generally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sensitivity of earnings and cash flows to variability in exchange rates is assessed by applying an approximate range of potential rate fluctuations to our assets, obligations and projected results of operations denominated in foreign currency with all other variables held constant. The analysis includes all of our foreign currency contracts offset by the underlying exposures. Based on our overall foreign currency rate exposure at June 30, 2017, we believe that movements in foreign currency rates may have a material effect on our financial position and results of operations. We estimate that if the exchange rates for the Chinese Yuan Renminbi, Euro, British Pound, Argentinian Peso, Mexican Peso, Brazilian Real, Indian Rupee and Japanese Yen relative to the U.S. Dollar fluctuate 10% from June 30, 2017, net income in the third quarter of 2017 would fluctuate by approximately $10.4 million.</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4" w:right="239" w:bottom="1440" w:gutter="0" w:footer="0" w:header="0"/>
        </w:sectPr>
      </w:pPr>
    </w:p>
    <w:bookmarkStart w:id="32" w:name="page33"/>
    <w:bookmarkEnd w:id="32"/>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to allow timely decisions regarding required disclosures.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internal controls or in other factors that may significantly affect our internal controls during the fiscal quarter covered by this Quarterly Report on Form 10-Q.</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4" w:right="239" w:bottom="1440" w:gutter="0" w:footer="0" w:header="0"/>
        </w:sectPr>
      </w:pPr>
    </w:p>
    <w:bookmarkStart w:id="33" w:name="page34"/>
    <w:bookmarkEnd w:id="3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subject to lawsuits arising out of the conduct of our business. The discussion of our litigation matters contained in "Notes to Consolidated Financial Statements - Note 10"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reader should carefully consider, in connection with the other information in this report, the factors discussed in "Part I, Item</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1A: Risk Factors" of the Company's 2016 Annual Report on Form 10-K incorporated herein by reference. These factors may cause our actual results to differ materially from those stated in forward-looking statements contained in this document and elsewhere.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June 30, 2017, we repurchased 54,350 shares of our issued and outstanding common stock for $3.5 million. We make stock repurchases under ongoing and systematic programs approved by our Board of Directors to manage the dilution created by shares issued under our stock incentive plans or when we deem a repurchase is a good use of our cash and the price to be paid is at or below a threshold approved by our Board from time to time. On June 30, 2017, we had 148,853 shares available for repurchase on the open market under the Board's authorizations. On July 26, 2017, our Board increased these repurchase authorizations by 51,147 shares bringing the total authorizations as of the approval date to 200,000 shares. Shares may also be tendered by employees to satisfy tax withholding obligations in connection with the vesting of restricted stock.</w:t>
      </w:r>
    </w:p>
    <w:p>
      <w:pPr>
        <w:spacing w:after="0" w:line="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three months ended June 30, 2017, our total stock repurchases, average price paid per share and the maximum number of shares that may yet be purchased on the open market under our plans or programs: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vMerge w:val="restart"/>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195"/>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Shares Purchased </w:t>
            </w:r>
            <w:r>
              <w:rPr>
                <w:rFonts w:ascii="Times New Roman" w:cs="Times New Roman" w:eastAsia="Times New Roman" w:hAnsi="Times New Roman"/>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 xml:space="preserve">per Share </w:t>
            </w:r>
            <w:r>
              <w:rPr>
                <w:rFonts w:ascii="Times New Roman" w:cs="Times New Roman" w:eastAsia="Times New Roman" w:hAnsi="Times New Roman"/>
                <w:sz w:val="8"/>
                <w:szCs w:val="8"/>
                <w:b w:val="1"/>
                <w:bCs w:val="1"/>
                <w:color w:val="auto"/>
              </w:rPr>
              <w:t>(2)</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8"/>
                <w:szCs w:val="8"/>
                <w:b w:val="1"/>
                <w:bCs w:val="1"/>
                <w:color w:val="auto"/>
              </w:rPr>
              <w:t>(3)</w:t>
            </w:r>
          </w:p>
        </w:tc>
        <w:tc>
          <w:tcPr>
            <w:tcW w:w="0" w:type="dxa"/>
            <w:vAlign w:val="bottom"/>
          </w:tcPr>
          <w:p>
            <w:pPr>
              <w:spacing w:after="0"/>
              <w:rPr>
                <w:sz w:val="1"/>
                <w:szCs w:val="1"/>
                <w:color w:val="auto"/>
              </w:rPr>
            </w:pPr>
          </w:p>
        </w:tc>
      </w:tr>
      <w:tr>
        <w:trPr>
          <w:trHeight w:val="249"/>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April 1, 2017 - April 30, 2017</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1,354</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67.89</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May 1, 2017 - May 31, 2017</w:t>
            </w: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52,392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64.20</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51,147</w:t>
            </w:r>
          </w:p>
        </w:tc>
        <w:tc>
          <w:tcPr>
            <w:tcW w:w="20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148,853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1, 2017 - June 30, 2017</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67.11</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148,853</w:t>
            </w:r>
          </w:p>
        </w:tc>
        <w:tc>
          <w:tcPr>
            <w:tcW w:w="0" w:type="dxa"/>
            <w:vAlign w:val="bottom"/>
          </w:tcPr>
          <w:p>
            <w:pPr>
              <w:spacing w:after="0"/>
              <w:rPr>
                <w:sz w:val="1"/>
                <w:szCs w:val="1"/>
                <w:color w:val="auto"/>
              </w:rPr>
            </w:pPr>
          </w:p>
        </w:tc>
      </w:tr>
      <w:tr>
        <w:trPr>
          <w:trHeight w:val="257"/>
        </w:trPr>
        <w:tc>
          <w:tcPr>
            <w:tcW w:w="42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54,350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64.33</w:t>
            </w:r>
          </w:p>
        </w:tc>
        <w:tc>
          <w:tcPr>
            <w:tcW w:w="100" w:type="dxa"/>
            <w:vAlign w:val="bottom"/>
          </w:tcPr>
          <w:p>
            <w:pPr>
              <w:spacing w:after="0"/>
              <w:rPr>
                <w:sz w:val="22"/>
                <w:szCs w:val="22"/>
                <w:color w:val="auto"/>
              </w:rPr>
            </w:pPr>
          </w:p>
        </w:tc>
        <w:tc>
          <w:tcPr>
            <w:tcW w:w="19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51,147</w:t>
            </w:r>
          </w:p>
        </w:tc>
        <w:tc>
          <w:tcPr>
            <w:tcW w:w="20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148,853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328"/>
        <w:spacing w:after="0" w:line="218" w:lineRule="auto"/>
        <w:tabs>
          <w:tab w:leader="none" w:pos="660" w:val="left"/>
        </w:tabs>
        <w:numPr>
          <w:ilvl w:val="0"/>
          <w:numId w:val="1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Of the repurchases in April, May and June, 1,354, 1,245 and 604 shares, respectively, represent common shares of the company that were owned and tendered by employees to satisfy tax withholding obligations in connection with the vesting of restricted shares.</w:t>
      </w:r>
    </w:p>
    <w:p>
      <w:pPr>
        <w:spacing w:after="0" w:line="91" w:lineRule="exact"/>
        <w:rPr>
          <w:rFonts w:ascii="Times New Roman" w:cs="Times New Roman" w:eastAsia="Times New Roman" w:hAnsi="Times New Roman"/>
          <w:sz w:val="25"/>
          <w:szCs w:val="25"/>
          <w:color w:val="auto"/>
          <w:vertAlign w:val="superscript"/>
        </w:rPr>
      </w:pPr>
    </w:p>
    <w:p>
      <w:pPr>
        <w:ind w:left="660" w:right="20" w:hanging="328"/>
        <w:spacing w:after="0" w:line="218" w:lineRule="auto"/>
        <w:tabs>
          <w:tab w:leader="none" w:pos="660" w:val="left"/>
        </w:tabs>
        <w:numPr>
          <w:ilvl w:val="0"/>
          <w:numId w:val="1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For shares tendered in connection with the vesting of restricted shares, the average price paid per share is an average calculated using the daily high and low of the Company's common stock at the time of vesting.</w:t>
      </w:r>
    </w:p>
    <w:p>
      <w:pPr>
        <w:spacing w:after="0" w:line="91" w:lineRule="exact"/>
        <w:rPr>
          <w:rFonts w:ascii="Times New Roman" w:cs="Times New Roman" w:eastAsia="Times New Roman" w:hAnsi="Times New Roman"/>
          <w:sz w:val="25"/>
          <w:szCs w:val="25"/>
          <w:color w:val="auto"/>
          <w:vertAlign w:val="superscript"/>
        </w:rPr>
      </w:pPr>
    </w:p>
    <w:p>
      <w:pPr>
        <w:ind w:left="660" w:hanging="328"/>
        <w:spacing w:after="0" w:line="218" w:lineRule="auto"/>
        <w:tabs>
          <w:tab w:leader="none" w:pos="660" w:val="left"/>
        </w:tabs>
        <w:numPr>
          <w:ilvl w:val="0"/>
          <w:numId w:val="1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Company may purchase shares from time to time in open market purchases. The Company may make all or part of the purchases pursuant to accelerated share repurchases or Rule 10b5-1 plans.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4" w:right="239" w:bottom="1440" w:gutter="0" w:footer="0" w:header="0"/>
        </w:sectPr>
      </w:pPr>
    </w:p>
    <w:bookmarkStart w:id="34" w:name="page35"/>
    <w:bookmarkEnd w:id="34"/>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91"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8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95"/>
              </w:rPr>
              <w:t>10.1</w:t>
            </w:r>
          </w:p>
        </w:tc>
        <w:tc>
          <w:tcPr>
            <w:tcW w:w="9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Ninth Amendment to Amended and Restated Credit Agreement dated as of June 20, 2017 between Universal Electronics Inc. and</w:t>
            </w:r>
          </w:p>
        </w:tc>
      </w:tr>
      <w:tr>
        <w:trPr>
          <w:trHeight w:val="234"/>
        </w:trPr>
        <w:tc>
          <w:tcPr>
            <w:tcW w:w="860" w:type="dxa"/>
            <w:vAlign w:val="bottom"/>
          </w:tcPr>
          <w:p>
            <w:pPr>
              <w:spacing w:after="0"/>
              <w:rPr>
                <w:sz w:val="20"/>
                <w:szCs w:val="20"/>
                <w:color w:val="auto"/>
              </w:rPr>
            </w:pPr>
          </w:p>
        </w:tc>
        <w:tc>
          <w:tcPr>
            <w:tcW w:w="9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U.S. Bank National Association (filed herewith)</w:t>
            </w:r>
          </w:p>
        </w:tc>
      </w:tr>
      <w:tr>
        <w:trPr>
          <w:trHeight w:val="373"/>
        </w:trPr>
        <w:tc>
          <w:tcPr>
            <w:tcW w:w="8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95"/>
              </w:rPr>
              <w:t>31.1</w:t>
            </w:r>
          </w:p>
        </w:tc>
        <w:tc>
          <w:tcPr>
            <w:tcW w:w="9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Rule 13a-14(a) Certifications of Paul D. Arling, Chief Executive Officer (principal executive officer) of Universal Electronics</w:t>
            </w:r>
          </w:p>
        </w:tc>
      </w:tr>
      <w:tr>
        <w:trPr>
          <w:trHeight w:val="234"/>
        </w:trPr>
        <w:tc>
          <w:tcPr>
            <w:tcW w:w="860" w:type="dxa"/>
            <w:vAlign w:val="bottom"/>
          </w:tcPr>
          <w:p>
            <w:pPr>
              <w:spacing w:after="0"/>
              <w:rPr>
                <w:sz w:val="20"/>
                <w:szCs w:val="20"/>
                <w:color w:val="auto"/>
              </w:rPr>
            </w:pPr>
          </w:p>
        </w:tc>
        <w:tc>
          <w:tcPr>
            <w:tcW w:w="9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Inc.</w:t>
            </w:r>
          </w:p>
        </w:tc>
      </w:tr>
      <w:tr>
        <w:trPr>
          <w:trHeight w:val="373"/>
        </w:trPr>
        <w:tc>
          <w:tcPr>
            <w:tcW w:w="8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95"/>
              </w:rPr>
              <w:t>31.2</w:t>
            </w:r>
          </w:p>
        </w:tc>
        <w:tc>
          <w:tcPr>
            <w:tcW w:w="9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Rule 13a-14(a) Certifications of Bryan M. Hackworth, Chief Financial Officer (principal financial officer and principal</w:t>
            </w:r>
          </w:p>
        </w:tc>
      </w:tr>
      <w:tr>
        <w:trPr>
          <w:trHeight w:val="234"/>
        </w:trPr>
        <w:tc>
          <w:tcPr>
            <w:tcW w:w="860" w:type="dxa"/>
            <w:vAlign w:val="bottom"/>
          </w:tcPr>
          <w:p>
            <w:pPr>
              <w:spacing w:after="0"/>
              <w:rPr>
                <w:sz w:val="20"/>
                <w:szCs w:val="20"/>
                <w:color w:val="auto"/>
              </w:rPr>
            </w:pPr>
          </w:p>
        </w:tc>
        <w:tc>
          <w:tcPr>
            <w:tcW w:w="9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accounting officer) of Universal Electronics Inc.</w:t>
            </w:r>
          </w:p>
        </w:tc>
      </w:tr>
    </w:tbl>
    <w:p>
      <w:pPr>
        <w:spacing w:after="0" w:line="157" w:lineRule="exact"/>
        <w:rPr>
          <w:sz w:val="20"/>
          <w:szCs w:val="20"/>
          <w:color w:val="auto"/>
        </w:rPr>
      </w:pPr>
    </w:p>
    <w:p>
      <w:pPr>
        <w:jc w:val="both"/>
        <w:ind w:left="1800" w:hanging="1414"/>
        <w:spacing w:after="0" w:line="266"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pacing w:after="0" w:line="136"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9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9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9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9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9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8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80"/>
          </w:cols>
          <w:pgMar w:left="240" w:top="114" w:right="479" w:bottom="1440" w:gutter="0" w:footer="0" w:header="0"/>
        </w:sectPr>
      </w:pPr>
    </w:p>
    <w:bookmarkStart w:id="35" w:name="page36"/>
    <w:bookmarkEnd w:id="35"/>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Dated:August 8, 2017</w:t>
            </w:r>
          </w:p>
        </w:tc>
        <w:tc>
          <w:tcPr>
            <w:tcW w:w="764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UNIVERSAL ELECTRONICS INC.</w:t>
            </w:r>
          </w:p>
        </w:tc>
      </w:tr>
      <w:tr>
        <w:trPr>
          <w:trHeight w:val="392"/>
        </w:trPr>
        <w:tc>
          <w:tcPr>
            <w:tcW w:w="3740" w:type="dxa"/>
            <w:vAlign w:val="bottom"/>
          </w:tcPr>
          <w:p>
            <w:pPr>
              <w:spacing w:after="0"/>
              <w:rPr>
                <w:sz w:val="24"/>
                <w:szCs w:val="24"/>
                <w:color w:val="auto"/>
              </w:rPr>
            </w:pPr>
          </w:p>
        </w:tc>
        <w:tc>
          <w:tcPr>
            <w:tcW w:w="25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Bryan M. Hackworth</w:t>
            </w:r>
          </w:p>
        </w:tc>
      </w:tr>
      <w:tr>
        <w:trPr>
          <w:trHeight w:val="27"/>
        </w:trPr>
        <w:tc>
          <w:tcPr>
            <w:tcW w:w="37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Bryan M. Hackworth</w:t>
            </w:r>
          </w:p>
        </w:tc>
      </w:tr>
      <w:tr>
        <w:trPr>
          <w:trHeight w:val="270"/>
        </w:trPr>
        <w:tc>
          <w:tcPr>
            <w:tcW w:w="37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r>
        <w:trPr>
          <w:trHeight w:val="270"/>
        </w:trPr>
        <w:tc>
          <w:tcPr>
            <w:tcW w:w="37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principal accounting officer)</w:t>
            </w:r>
          </w:p>
        </w:tc>
      </w:tr>
      <w:tr>
        <w:trPr>
          <w:trHeight w:val="864"/>
        </w:trPr>
        <w:tc>
          <w:tcPr>
            <w:tcW w:w="3740" w:type="dxa"/>
            <w:vAlign w:val="bottom"/>
          </w:tcPr>
          <w:p>
            <w:pPr>
              <w:spacing w:after="0"/>
              <w:rPr>
                <w:sz w:val="24"/>
                <w:szCs w:val="24"/>
                <w:color w:val="auto"/>
              </w:rPr>
            </w:pPr>
          </w:p>
        </w:tc>
        <w:tc>
          <w:tcPr>
            <w:tcW w:w="25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36</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36" w:name="page37"/>
    <w:bookmarkEnd w:id="36"/>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35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89"/>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3"/>
        </w:trPr>
        <w:tc>
          <w:tcPr>
            <w:tcW w:w="13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9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Ninth Amendment to Amended and Restated Credit Agreement dated as of June 20, 2017 between Universal Electronics Inc. and U.S.</w:t>
            </w:r>
          </w:p>
        </w:tc>
      </w:t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National Association (filed herewith)</w:t>
            </w:r>
          </w:p>
        </w:tc>
      </w:tr>
      <w:tr>
        <w:trPr>
          <w:trHeight w:val="392"/>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9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Rule 13a-14(a) Certifications of Paul D. Arling, Chief Executive Officer (principal executive officer) of Universal Electronics Inc.</w:t>
            </w:r>
          </w:p>
        </w:tc>
      </w:tr>
      <w:tr>
        <w:trPr>
          <w:trHeight w:val="373"/>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9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Rule 13a-14(a) Certifications of Bryan M. Hackworth, Chief Financial Officer (principal financial officer and principal accounting</w:t>
            </w:r>
          </w:p>
        </w:tc>
      </w:t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 of Universal Electronics Inc.</w:t>
            </w:r>
          </w:p>
        </w:tc>
      </w:tr>
      <w:tr>
        <w:trPr>
          <w:trHeight w:val="373"/>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9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1350 Certifications of Paul D. Arling, Chief Executive Officer (principal executive officer) of Universal Electronics Inc., and</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Bryan M. Hackworth, Chief Financial Officer (principal financial officer and principal accounting officer) of Universal Electronics Inc.</w:t>
            </w:r>
          </w:p>
        </w:tc>
      </w:t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pursuant to 18 U.S.C. Section 1350</w:t>
            </w:r>
          </w:p>
        </w:tc>
      </w:tr>
      <w:tr>
        <w:trPr>
          <w:trHeight w:val="392"/>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9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92"/>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9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92"/>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9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92"/>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9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92"/>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9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92"/>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9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60"/>
          </w:cols>
          <w:pgMar w:left="240" w:top="114" w:right="29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NINTH 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CREDIT AGREEMENT</w:t>
      </w:r>
    </w:p>
    <w:p>
      <w:pPr>
        <w:spacing w:after="0" w:line="207"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This Ninth Amendment to Amended and Restated Credit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June 20, 2017, is by and between UNIVERSAL ELECTRONICS INC., a corporation organized under the laws of the State of Delaware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and U.S. BANK NATIONAL ASSOCIATION, a national banking association (the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20" w:firstLine="656"/>
        <w:spacing w:after="0" w:line="255"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the Lender have entered into an Amended and Restated Credit Agreement dated as of October 2, 2012, as amended by the First Amendment to Amended and Restated Credit Agreement dated as of October 9, 2014, the Second Amendment to Amended and Restated Credit Agreement dated as of September 3, 2015, the Third Amendment to Amended and Restated Credit Agreement dated as of November 10, 2015, the Fourth Amendment to Amended and Restated Credit Agreement dated as of February 3, 2016, the Fifth Amendment to Amended and Restated Credit Agreement dated as of September 19, 2016, the Sixth Amendment to Amended and Restated Credit Agreement dated as of January 18, 2017, the Seventh Amendment to Amended and Restated Credit Agreement dated as of April 14, 2017 and the Eighth Amendment to Amended and Restated Credit Agreement dated as of May 5, 2017 (together, as amended, restated, supplemented, or otherwise modified prior to the date hereof,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100" w:firstLine="656"/>
        <w:spacing w:after="0" w:line="282" w:lineRule="auto"/>
        <w:tabs>
          <w:tab w:leader="none" w:pos="99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requested that the Lender make certain amendments to the Credit Agreement and the Lender is willing to do so, on the terms and subject to the conditions set forth herein.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mutual promises herein set forth and for other good and valuable consideration, the Borrower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agree as follows:</w:t>
      </w:r>
    </w:p>
    <w:p>
      <w:pPr>
        <w:spacing w:after="0" w:line="203"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b w:val="1"/>
          <w:bCs w:val="1"/>
          <w:u w:val="single" w:color="auto"/>
          <w:color w:val="auto"/>
        </w:rPr>
        <w:t>Capitalized Terms</w:t>
      </w:r>
      <w:r>
        <w:rPr>
          <w:rFonts w:ascii="Times New Roman" w:cs="Times New Roman" w:eastAsia="Times New Roman" w:hAnsi="Times New Roman"/>
          <w:sz w:val="18"/>
          <w:szCs w:val="18"/>
          <w:color w:val="auto"/>
        </w:rPr>
        <w:t>. Capitalized terms used herein and not otherwise defined herein shall have the meanings assigned to them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Agreement, unless the context shall otherwise require.</w:t>
      </w:r>
    </w:p>
    <w:p>
      <w:pPr>
        <w:spacing w:after="0" w:line="155" w:lineRule="exact"/>
        <w:rPr>
          <w:sz w:val="20"/>
          <w:szCs w:val="20"/>
          <w:color w:val="auto"/>
        </w:rPr>
      </w:pPr>
    </w:p>
    <w:p>
      <w:pPr>
        <w:ind w:left="66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Section 2.</w:t>
      </w:r>
      <w:r>
        <w:rPr>
          <w:sz w:val="20"/>
          <w:szCs w:val="20"/>
          <w:color w:val="auto"/>
        </w:rPr>
        <w:tab/>
      </w:r>
      <w:r>
        <w:rPr>
          <w:rFonts w:ascii="Times New Roman" w:cs="Times New Roman" w:eastAsia="Times New Roman" w:hAnsi="Times New Roman"/>
          <w:sz w:val="17"/>
          <w:szCs w:val="17"/>
          <w:b w:val="1"/>
          <w:bCs w:val="1"/>
          <w:u w:val="single" w:color="auto"/>
          <w:color w:val="auto"/>
        </w:rPr>
        <w:t>Amendments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 xml:space="preserve"> </w:t>
      </w:r>
      <w:r>
        <w:rPr>
          <w:rFonts w:ascii="Times New Roman" w:cs="Times New Roman" w:eastAsia="Times New Roman" w:hAnsi="Times New Roman"/>
          <w:sz w:val="17"/>
          <w:szCs w:val="17"/>
          <w:color w:val="auto"/>
        </w:rPr>
        <w:t>The Credit Agreement is hereby amended as follows:</w:t>
      </w:r>
    </w:p>
    <w:p>
      <w:pPr>
        <w:spacing w:after="0" w:line="225" w:lineRule="exact"/>
        <w:rPr>
          <w:sz w:val="20"/>
          <w:szCs w:val="20"/>
          <w:color w:val="auto"/>
        </w:rPr>
      </w:pPr>
    </w:p>
    <w:p>
      <w:pPr>
        <w:ind w:left="122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Section 1.1 of the Credit Agreement is amended by:</w:t>
      </w:r>
    </w:p>
    <w:p>
      <w:pPr>
        <w:spacing w:after="0" w:line="229" w:lineRule="exact"/>
        <w:rPr>
          <w:sz w:val="20"/>
          <w:szCs w:val="20"/>
          <w:color w:val="auto"/>
        </w:rPr>
      </w:pPr>
    </w:p>
    <w:p>
      <w:pPr>
        <w:ind w:left="1960"/>
        <w:spacing w:after="0"/>
        <w:tabs>
          <w:tab w:leader="none" w:pos="23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Amending and restating the definition of “</w:t>
      </w:r>
      <w:r>
        <w:rPr>
          <w:rFonts w:ascii="Times New Roman" w:cs="Times New Roman" w:eastAsia="Times New Roman" w:hAnsi="Times New Roman"/>
          <w:sz w:val="17"/>
          <w:szCs w:val="17"/>
          <w:u w:val="single" w:color="auto"/>
          <w:color w:val="auto"/>
        </w:rPr>
        <w:t>Revolving Commitment Amount</w:t>
      </w:r>
      <w:r>
        <w:rPr>
          <w:rFonts w:ascii="Times New Roman" w:cs="Times New Roman" w:eastAsia="Times New Roman" w:hAnsi="Times New Roman"/>
          <w:sz w:val="17"/>
          <w:szCs w:val="17"/>
          <w:color w:val="auto"/>
        </w:rPr>
        <w:t>” contained therein, to read in its entirety as</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ind w:left="1960" w:right="38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 Amount</w:t>
      </w:r>
      <w:r>
        <w:rPr>
          <w:rFonts w:ascii="Times New Roman" w:cs="Times New Roman" w:eastAsia="Times New Roman" w:hAnsi="Times New Roman"/>
          <w:sz w:val="18"/>
          <w:szCs w:val="18"/>
          <w:color w:val="auto"/>
        </w:rPr>
        <w:t>”: $125,000,000, or such increased amount as agreed to between the Borrower and the Bank from time to time pursuant to Section 2.22 of this Agreement.</w:t>
      </w:r>
    </w:p>
    <w:p>
      <w:pPr>
        <w:spacing w:after="0" w:line="162" w:lineRule="exact"/>
        <w:rPr>
          <w:sz w:val="20"/>
          <w:szCs w:val="20"/>
          <w:color w:val="auto"/>
        </w:rPr>
      </w:pPr>
    </w:p>
    <w:p>
      <w:pPr>
        <w:ind w:left="1960"/>
        <w:spacing w:after="0"/>
        <w:tabs>
          <w:tab w:leader="none" w:pos="2320" w:val="left"/>
        </w:tabs>
        <w:rPr>
          <w:sz w:val="20"/>
          <w:szCs w:val="20"/>
          <w:color w:val="auto"/>
        </w:rPr>
      </w:pPr>
      <w:r>
        <w:rPr>
          <w:rFonts w:ascii="Times New Roman" w:cs="Times New Roman" w:eastAsia="Times New Roman" w:hAnsi="Times New Roman"/>
          <w:sz w:val="18"/>
          <w:szCs w:val="18"/>
          <w:color w:val="auto"/>
        </w:rPr>
        <w:t>(b)</w:t>
        <w:tab/>
        <w:t>Amending and restating the definition of “</w:t>
      </w:r>
      <w:r>
        <w:rPr>
          <w:rFonts w:ascii="Times New Roman" w:cs="Times New Roman" w:eastAsia="Times New Roman" w:hAnsi="Times New Roman"/>
          <w:sz w:val="18"/>
          <w:szCs w:val="18"/>
          <w:u w:val="single" w:color="auto"/>
          <w:color w:val="auto"/>
        </w:rPr>
        <w:t>Revolving Commitment Ending Date</w:t>
      </w:r>
      <w:r>
        <w:rPr>
          <w:rFonts w:ascii="Times New Roman" w:cs="Times New Roman" w:eastAsia="Times New Roman" w:hAnsi="Times New Roman"/>
          <w:sz w:val="18"/>
          <w:szCs w:val="18"/>
          <w:color w:val="auto"/>
        </w:rPr>
        <w:t>” contained therein, to read in its entirety as</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 Ending Date</w:t>
      </w:r>
      <w:r>
        <w:rPr>
          <w:rFonts w:ascii="Times New Roman" w:cs="Times New Roman" w:eastAsia="Times New Roman" w:hAnsi="Times New Roman"/>
          <w:sz w:val="18"/>
          <w:szCs w:val="18"/>
          <w:color w:val="auto"/>
        </w:rPr>
        <w:t>”: November 1, 2019.</w:t>
      </w:r>
    </w:p>
    <w:p>
      <w:pPr>
        <w:spacing w:after="0" w:line="221" w:lineRule="exact"/>
        <w:rPr>
          <w:sz w:val="20"/>
          <w:szCs w:val="20"/>
          <w:color w:val="auto"/>
        </w:rPr>
      </w:pPr>
    </w:p>
    <w:p>
      <w:pPr>
        <w:ind w:left="66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Section 3.</w:t>
      </w:r>
      <w:r>
        <w:rPr>
          <w:sz w:val="20"/>
          <w:szCs w:val="20"/>
          <w:color w:val="auto"/>
        </w:rPr>
        <w:tab/>
      </w:r>
      <w:r>
        <w:rPr>
          <w:rFonts w:ascii="Times New Roman" w:cs="Times New Roman" w:eastAsia="Times New Roman" w:hAnsi="Times New Roman"/>
          <w:sz w:val="17"/>
          <w:szCs w:val="17"/>
          <w:b w:val="1"/>
          <w:bCs w:val="1"/>
          <w:u w:val="single" w:color="auto"/>
          <w:color w:val="auto"/>
        </w:rPr>
        <w:t>Conditions and Effectiveness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 xml:space="preserve"> </w:t>
      </w:r>
      <w:r>
        <w:rPr>
          <w:rFonts w:ascii="Times New Roman" w:cs="Times New Roman" w:eastAsia="Times New Roman" w:hAnsi="Times New Roman"/>
          <w:sz w:val="17"/>
          <w:szCs w:val="17"/>
          <w:color w:val="auto"/>
        </w:rPr>
        <w:t>This Amendment shall become effective only upon satisfaction of the following conditions:</w:t>
      </w:r>
    </w:p>
    <w:p>
      <w:pPr>
        <w:spacing w:after="0" w:line="225" w:lineRule="exact"/>
        <w:rPr>
          <w:sz w:val="20"/>
          <w:szCs w:val="20"/>
          <w:color w:val="auto"/>
        </w:rPr>
      </w:pPr>
    </w:p>
    <w:p>
      <w:pPr>
        <w:ind w:left="122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7"/>
          <w:szCs w:val="17"/>
          <w:color w:val="auto"/>
        </w:rPr>
        <w:t>The Borrower shall have duly executed and delivered to the Lender this Amendment.</w:t>
      </w:r>
    </w:p>
    <w:p>
      <w:pPr>
        <w:sectPr>
          <w:pgSz w:w="11900" w:h="16838" w:orient="portrait"/>
          <w:cols w:equalWidth="0" w:num="1">
            <w:col w:w="11420"/>
          </w:cols>
          <w:pgMar w:left="240" w:top="360" w:right="239" w:bottom="1440" w:gutter="0" w:footer="0" w:header="0"/>
        </w:sectPr>
      </w:pPr>
    </w:p>
    <w:bookmarkStart w:id="38" w:name="page39"/>
    <w:bookmarkEnd w:id="38"/>
    <w:p>
      <w:pPr>
        <w:ind w:left="122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color w:val="auto"/>
        </w:rPr>
        <w:t>The Borrower shall have delivered to the Lender a certification by the Secretary or Assistant Secretary of the Borrower certifying as to</w:t>
      </w:r>
    </w:p>
    <w:p>
      <w:pPr>
        <w:spacing w:after="0" w:line="31" w:lineRule="exact"/>
        <w:rPr>
          <w:sz w:val="20"/>
          <w:szCs w:val="20"/>
          <w:color w:val="auto"/>
        </w:rPr>
      </w:pPr>
    </w:p>
    <w:p>
      <w:pPr>
        <w:ind w:left="580" w:right="180" w:hanging="5"/>
        <w:spacing w:after="0" w:line="254" w:lineRule="auto"/>
        <w:tabs>
          <w:tab w:leader="none" w:pos="7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and complete copies of the Borrower’s Restated Certificate of Incorporation and Amended and Restated Bylaws attached thereto, (ii) resolutions of the Borrower’s Board of Directors authorizing the execution, delivery and performance of this Amendment, and (iii) the incumbency, names, titles, and signatures of each officer of the Borrower authorized to execute this Amendment and any other instrument or agreement executed by the Borrower in connection with this Amendment.</w:t>
      </w:r>
    </w:p>
    <w:p>
      <w:pPr>
        <w:spacing w:after="0" w:line="182" w:lineRule="exact"/>
        <w:rPr>
          <w:sz w:val="20"/>
          <w:szCs w:val="20"/>
          <w:color w:val="auto"/>
        </w:rPr>
      </w:pPr>
    </w:p>
    <w:p>
      <w:pPr>
        <w:ind w:left="580" w:right="4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color w:val="auto"/>
        </w:rPr>
        <w:t>The Borrower shall have satisfied any other conditions as specified by the Lender, including payment of all unpaid legal fees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incurred by the Lender through the date of this Amendment in connection with the Credit Agreement.</w:t>
      </w:r>
    </w:p>
    <w:p>
      <w:pPr>
        <w:spacing w:after="0" w:line="155" w:lineRule="exact"/>
        <w:rPr>
          <w:sz w:val="20"/>
          <w:szCs w:val="20"/>
          <w:color w:val="auto"/>
        </w:rPr>
      </w:pPr>
    </w:p>
    <w:p>
      <w:pPr>
        <w:ind w:left="66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Section 4.</w:t>
      </w:r>
      <w:r>
        <w:rPr>
          <w:sz w:val="20"/>
          <w:szCs w:val="20"/>
          <w:color w:val="auto"/>
        </w:rPr>
        <w:tab/>
      </w:r>
      <w:r>
        <w:rPr>
          <w:rFonts w:ascii="Times New Roman" w:cs="Times New Roman" w:eastAsia="Times New Roman" w:hAnsi="Times New Roman"/>
          <w:sz w:val="17"/>
          <w:szCs w:val="17"/>
          <w:b w:val="1"/>
          <w:bCs w:val="1"/>
          <w:u w:val="single" w:color="auto"/>
          <w:color w:val="auto"/>
        </w:rPr>
        <w:t>Representations, Warranties, Authority, No Adverse Claim</w:t>
      </w:r>
      <w:r>
        <w:rPr>
          <w:rFonts w:ascii="Times New Roman" w:cs="Times New Roman" w:eastAsia="Times New Roman" w:hAnsi="Times New Roman"/>
          <w:sz w:val="17"/>
          <w:szCs w:val="17"/>
          <w:b w:val="1"/>
          <w:bCs w:val="1"/>
          <w:color w:val="auto"/>
        </w:rPr>
        <w:t>.</w:t>
      </w:r>
    </w:p>
    <w:p>
      <w:pPr>
        <w:spacing w:after="0" w:line="225" w:lineRule="exact"/>
        <w:rPr>
          <w:sz w:val="20"/>
          <w:szCs w:val="20"/>
          <w:color w:val="auto"/>
        </w:rPr>
      </w:pPr>
    </w:p>
    <w:p>
      <w:pPr>
        <w:ind w:left="580" w:right="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u w:val="single" w:color="auto"/>
          <w:color w:val="auto"/>
        </w:rPr>
        <w:t>Reassertion of Representations and Warranties, No Default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Borrower hereby represents that on and as of the date hereof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giving effect to this Amendment (a) all of the representations and warranties contained in the Credit Agreement are true, correct and complete in all respects as of the date hereof as though made on and as of such date, except for changes permitted by the terms of the Credit Agreement, and (b) there will exist no Event of Default under the Credit Agreement as amended by this Amendment on such date which has not been waived by the Lender.</w:t>
      </w:r>
    </w:p>
    <w:p>
      <w:pPr>
        <w:spacing w:after="0" w:line="180" w:lineRule="exact"/>
        <w:rPr>
          <w:sz w:val="20"/>
          <w:szCs w:val="20"/>
          <w:color w:val="auto"/>
        </w:rPr>
      </w:pPr>
    </w:p>
    <w:p>
      <w:pPr>
        <w:ind w:left="58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u w:val="single" w:color="auto"/>
          <w:color w:val="auto"/>
        </w:rPr>
        <w:t>Authority, No Conflict, No Consent Required, Enforceability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Borrower represents and warrants that the Borrower has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 and legal right and authority to enter into this Amendment and any other instrument or agreement executed by the Borrower in connection with this Amendment (collectively, the “</w:t>
      </w:r>
      <w:r>
        <w:rPr>
          <w:rFonts w:ascii="Times New Roman" w:cs="Times New Roman" w:eastAsia="Times New Roman" w:hAnsi="Times New Roman"/>
          <w:sz w:val="18"/>
          <w:szCs w:val="18"/>
          <w:u w:val="single" w:color="auto"/>
          <w:color w:val="auto"/>
        </w:rPr>
        <w:t>Amendment Documents</w:t>
      </w:r>
      <w:r>
        <w:rPr>
          <w:rFonts w:ascii="Times New Roman" w:cs="Times New Roman" w:eastAsia="Times New Roman" w:hAnsi="Times New Roman"/>
          <w:sz w:val="18"/>
          <w:szCs w:val="18"/>
          <w:color w:val="auto"/>
        </w:rPr>
        <w:t>”) and has duly authorized as appropriate the execution and delivery of the Amendment Documents and other agreements and documents executed and delivered by the Borrower in connection herewith or therewith by proper company action, and none of the Amendment Documents nor the agreements contained herein or therein contravenes or constitutes a default under any agreement, instrument or indenture to which the Borrower is a party or a signatory or a provision of the Borrower’s articles of organization, Bylaws or any other agreement or requirement of law, or result in the imposition of any lien on any of its property under any agreement binding on or applicable to the Borrower or any of its property except, if any, in favor of the Lender. The Borrower represents and warrants that no consent, approval or authorization of or registration or declaration with any entity, including but not limited to any governmental authority, is required in connection with the execution and delivery by the Borrower of the Amendment Documents or other agreements and documents executed and delivered by the Borrower in connection therewith or the performance of obligations of the Borrower therein described, except for those which the Borrower has obtained or provided and as to which the Borrower has delivered certified copies of documents evidencing each such action to the Lender. The Borrower represents and warrants that this Amendment constitutes the legal, valid and binding obligations of the Borrower, enforceable against the Borrower in accordance with its terms, subject to limitations as to enforceability which might result from bankruptcy, insolvency, moratorium and other similar laws affecting creditors’ rights generally and subject to limitations on the availability of equitable remedies.</w:t>
      </w:r>
    </w:p>
    <w:p>
      <w:pPr>
        <w:spacing w:after="0" w:line="184" w:lineRule="exact"/>
        <w:rPr>
          <w:sz w:val="20"/>
          <w:szCs w:val="20"/>
          <w:color w:val="auto"/>
        </w:rPr>
      </w:pPr>
    </w:p>
    <w:p>
      <w:pPr>
        <w:ind w:left="580" w:right="2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b w:val="1"/>
          <w:bCs w:val="1"/>
          <w:u w:val="single" w:color="auto"/>
          <w:color w:val="auto"/>
        </w:rPr>
        <w:t>No Adverse Claim</w:t>
      </w:r>
      <w:r>
        <w:rPr>
          <w:rFonts w:ascii="Times New Roman" w:cs="Times New Roman" w:eastAsia="Times New Roman" w:hAnsi="Times New Roman"/>
          <w:sz w:val="18"/>
          <w:szCs w:val="18"/>
          <w:color w:val="auto"/>
        </w:rPr>
        <w:t>. The Borrower warrants, acknowledges and agrees that no events have taken place and no circumstances exist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hereof which would give the Borrower a basis to assert a defense, offset or counterclaim to any claim of the Lender with respect to the Borrower’s obligations under the Credit Agreement as amended by this Amendment.</w:t>
      </w:r>
    </w:p>
    <w:p>
      <w:pPr>
        <w:spacing w:after="0" w:line="171"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b w:val="1"/>
          <w:bCs w:val="1"/>
          <w:u w:val="single" w:color="auto"/>
          <w:color w:val="auto"/>
        </w:rPr>
        <w:t>Affirmation of Credit Agreement, Further References, Affirmation of Security Interest</w:t>
      </w:r>
      <w:r>
        <w:rPr>
          <w:rFonts w:ascii="Times New Roman" w:cs="Times New Roman" w:eastAsia="Times New Roman" w:hAnsi="Times New Roman"/>
          <w:sz w:val="18"/>
          <w:szCs w:val="18"/>
          <w:color w:val="auto"/>
        </w:rPr>
        <w:t>. The Lender and the Borrower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 and affirm that the Credit Agreement, as hereby amended, is hereby ratified and confirmed in all respects and all terms, conditions and provisions of the Credit Agreement, except as amended by this Amendment, shall remain unmodified and in full force and effect. All references in any document or instrument to the Credit Agreement are hereby amended and shall refer to the Credit Agreement as amended by this Amendment. The Borrower confirms to the Lender that the Borrower’s obligations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00"/>
          </w:cols>
          <w:pgMar w:left="240" w:top="360" w:right="259" w:bottom="1440" w:gutter="0" w:footer="0" w:header="0"/>
        </w:sectPr>
      </w:pPr>
    </w:p>
    <w:bookmarkStart w:id="39" w:name="page40"/>
    <w:bookmarkEnd w:id="39"/>
    <w:p>
      <w:pPr>
        <w:ind w:right="20"/>
        <w:spacing w:after="0" w:line="258" w:lineRule="auto"/>
        <w:rPr>
          <w:sz w:val="20"/>
          <w:szCs w:val="20"/>
          <w:color w:val="auto"/>
        </w:rPr>
      </w:pPr>
      <w:r>
        <w:rPr>
          <w:rFonts w:ascii="Times New Roman" w:cs="Times New Roman" w:eastAsia="Times New Roman" w:hAnsi="Times New Roman"/>
          <w:sz w:val="18"/>
          <w:szCs w:val="18"/>
          <w:color w:val="auto"/>
        </w:rPr>
        <w:t>under the Credit Agreement, as amended by this Amendment, are and continue to be secured by the security interest granted by the Borrower in favor of the Lender under that certain Borrower’s Security Agreement dated as of October 2, 2012 and made by the Borrower in favor of the Lender, and all of the terms, conditions, provisions, agreements, requirements, promises, obligations, duties, covenants and representations of the Borrower under such documents and any and all other documents and agreements entered into with respect to the obligations under the Credit Agreement are incorporated herein by reference and are hereby ratified and affirmed in all respects by the Borrower.</w:t>
      </w:r>
    </w:p>
    <w:p>
      <w:pPr>
        <w:spacing w:after="0" w:line="180" w:lineRule="exact"/>
        <w:rPr>
          <w:sz w:val="20"/>
          <w:szCs w:val="20"/>
          <w:color w:val="auto"/>
        </w:rPr>
      </w:pPr>
    </w:p>
    <w:p>
      <w:pPr>
        <w:ind w:right="1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6. </w:t>
      </w:r>
      <w:r>
        <w:rPr>
          <w:rFonts w:ascii="Times New Roman" w:cs="Times New Roman" w:eastAsia="Times New Roman" w:hAnsi="Times New Roman"/>
          <w:sz w:val="18"/>
          <w:szCs w:val="18"/>
          <w:b w:val="1"/>
          <w:bCs w:val="1"/>
          <w:u w:val="single" w:color="auto"/>
          <w:color w:val="auto"/>
        </w:rPr>
        <w:t>Merger and Integration, Superseding Effect</w:t>
      </w:r>
      <w:r>
        <w:rPr>
          <w:rFonts w:ascii="Times New Roman" w:cs="Times New Roman" w:eastAsia="Times New Roman" w:hAnsi="Times New Roman"/>
          <w:sz w:val="18"/>
          <w:szCs w:val="18"/>
          <w:color w:val="auto"/>
        </w:rPr>
        <w:t>. This Amendment, from and after the date hereof, embodies the entire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understanding between the parties hereto and supersedes and has merged into this Amendment all prior oral and written agreements on the same subjects by and between the parties hereto with the effect that this Amendment shall control with respect to the specific subjects hereof and thereof.</w:t>
      </w:r>
    </w:p>
    <w:p>
      <w:pPr>
        <w:spacing w:after="0" w:line="171"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7.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possible, each provision of this Amendment and any other statement, instrument or transaction contemplated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or thereby or relating hereto or thereto shall be interpreted in such manner as to be effective, valid and enforceable under the applicable law of any jurisdiction, but, if any provision of this Amendment, or any other statement, instrument or transaction contemplated hereby or thereby or relating hereto or thereto shall be held to be prohibited, invalid or unenforceable under the applicable law, such provision shall be ineffective in such jurisdiction only to the extent of such prohibition, invalidity or unenforceability, without invalidating or rendering unenforceable the remainder of such provision or the remaining provisions of this Amendment, or any other statement, instrument or transaction contemplated hereby or thereby or relating hereto or thereto in such jurisdiction, or affecting the effectiveness, validity or enforceability of such provision in any other jurisdiction.</w:t>
      </w:r>
    </w:p>
    <w:p>
      <w:pPr>
        <w:spacing w:after="0" w:line="183"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 </w:t>
      </w:r>
      <w:r>
        <w:rPr>
          <w:rFonts w:ascii="Times New Roman" w:cs="Times New Roman" w:eastAsia="Times New Roman" w:hAnsi="Times New Roman"/>
          <w:sz w:val="18"/>
          <w:szCs w:val="18"/>
          <w:b w:val="1"/>
          <w:bCs w:val="1"/>
          <w:u w:val="single" w:color="auto"/>
          <w:color w:val="auto"/>
        </w:rPr>
        <w:t>Successors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shall be binding upon the Borrower and the Lender and their respective successors and assigns,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inure to the benefit of the Borrower and the Lender and the successors and assigns of the Lender.</w:t>
      </w:r>
    </w:p>
    <w:p>
      <w:pPr>
        <w:spacing w:after="0" w:line="15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9. </w:t>
      </w:r>
      <w:r>
        <w:rPr>
          <w:rFonts w:ascii="Times New Roman" w:cs="Times New Roman" w:eastAsia="Times New Roman" w:hAnsi="Times New Roman"/>
          <w:sz w:val="18"/>
          <w:szCs w:val="18"/>
          <w:b w:val="1"/>
          <w:bCs w:val="1"/>
          <w:u w:val="single" w:color="auto"/>
          <w:color w:val="auto"/>
        </w:rPr>
        <w:t>Legal Expenses</w:t>
      </w:r>
      <w:r>
        <w:rPr>
          <w:rFonts w:ascii="Times New Roman" w:cs="Times New Roman" w:eastAsia="Times New Roman" w:hAnsi="Times New Roman"/>
          <w:sz w:val="18"/>
          <w:szCs w:val="18"/>
          <w:color w:val="auto"/>
        </w:rPr>
        <w:t>. As provided in Section 8.2 of the Credit Agreement, the Borrower agrees to pay or reimburse the Lender,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execution of this Amendment, for all reasonable out-of-pocket expenses paid or incurred by the Lender, including filing and recording costs and fees, charges and disbursements of outside counsel to the Lender and/or the allocated costs of in-house counsel incurred from time to time, in connection with the Credit Agreement, including in connection with the negotiation, preparation, execution, collection and enforcement of the Amendment Documents and all other documents negotiated, prepared and executed in connection with the Amendment Documents, and in enforcing the obligations of the Borrower under the Amendment Documents, and to pay and save the Lender harmless from all liability for, any stamp or other taxes which may be payable with respect to the execution or delivery of the Amendment Documents, which obligations of the Borrower shall survive any termination of the Credit Agreement.</w:t>
      </w:r>
    </w:p>
    <w:p>
      <w:pPr>
        <w:spacing w:after="0" w:line="183"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headings of various sections of this Amendment have been inserted for reference only and shall not be deemed to be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 of this Amendment.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may be executed in several counterparts as deemed necessary or convenient, each of which, when 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shall be deemed an original, provided that all such counterparts shall be regarded as one and the same document, and either party to the Amendment may execute any such agreement by executing a counterpart of such agreement.</w:t>
      </w:r>
    </w:p>
    <w:p>
      <w:pPr>
        <w:spacing w:after="0" w:line="171" w:lineRule="exact"/>
        <w:rPr>
          <w:sz w:val="20"/>
          <w:szCs w:val="20"/>
          <w:color w:val="auto"/>
        </w:rPr>
      </w:pPr>
    </w:p>
    <w:p>
      <w:pPr>
        <w:jc w:val="both"/>
        <w:ind w:right="5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THE AMENDMENT DOCUMENTS SHALL BE GOVERNED BY THE INTERNAL LAWS OF THE STATE OF CALIFORNIA, WITHOUT GIVING EFFECT TO CONFLICT OF LAW PRINCIPLES THEREOF, BUT GIVING EFFECT TO FEDERAL LAWS APPLICABLE TO NATIONAL BANKS, THEIR HOLDING COMPANIES AND THEIR AFFILIATES.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364" w:right="239" w:bottom="1440" w:gutter="0" w:footer="0" w:header="0"/>
        </w:sectPr>
      </w:pPr>
    </w:p>
    <w:bookmarkStart w:id="40" w:name="page41"/>
    <w:bookmarkEnd w:id="40"/>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Amendment to be executed by their officers thereunto duly authorized as of the date first above written.</w:t>
      </w:r>
    </w:p>
    <w:p>
      <w:pPr>
        <w:spacing w:after="0" w:line="32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UNIVERSAL ELECTRONICS INC.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528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Bryan M. Hackworth</w:t>
            </w:r>
          </w:p>
        </w:tc>
      </w:tr>
      <w:tr>
        <w:trPr>
          <w:trHeight w:val="27"/>
        </w:trPr>
        <w:tc>
          <w:tcPr>
            <w:tcW w:w="700" w:type="dxa"/>
            <w:vAlign w:val="bottom"/>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39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Bryan M. Hackworth</w:t>
            </w:r>
          </w:p>
        </w:tc>
      </w:tr>
      <w:tr>
        <w:trPr>
          <w:trHeight w:val="27"/>
        </w:trPr>
        <w:tc>
          <w:tcPr>
            <w:tcW w:w="700" w:type="dxa"/>
            <w:vAlign w:val="bottom"/>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39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Sr. Vice President and CFO</w:t>
            </w:r>
          </w:p>
        </w:tc>
      </w:tr>
      <w:tr>
        <w:trPr>
          <w:trHeight w:val="27"/>
        </w:trPr>
        <w:tc>
          <w:tcPr>
            <w:tcW w:w="700" w:type="dxa"/>
            <w:vAlign w:val="bottom"/>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UNIVERSAL ELECTRONICS INC.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528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Andrew Williams</w:t>
            </w:r>
          </w:p>
        </w:tc>
      </w:tr>
      <w:tr>
        <w:trPr>
          <w:trHeight w:val="27"/>
        </w:trPr>
        <w:tc>
          <w:tcPr>
            <w:tcW w:w="700" w:type="dxa"/>
            <w:vAlign w:val="bottom"/>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39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Williams</w:t>
            </w:r>
          </w:p>
        </w:tc>
      </w:tr>
      <w:tr>
        <w:trPr>
          <w:trHeight w:val="27"/>
        </w:trPr>
        <w:tc>
          <w:tcPr>
            <w:tcW w:w="700" w:type="dxa"/>
            <w:vAlign w:val="bottom"/>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39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7"/>
        </w:trPr>
        <w:tc>
          <w:tcPr>
            <w:tcW w:w="700" w:type="dxa"/>
            <w:vAlign w:val="bottom"/>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[Signature Page to Ninth Amendment to Amended and Restated Credit Agreement]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240" w:top="621" w:right="41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D. Arling, certify that:</w:t>
      </w:r>
    </w:p>
    <w:p>
      <w:pPr>
        <w:spacing w:after="0" w:line="171"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Universal Electronics Inc.;</w:t>
      </w:r>
    </w:p>
    <w:p>
      <w:pPr>
        <w:spacing w:after="0" w:line="17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rFonts w:ascii="Times New Roman" w:cs="Times New Roman" w:eastAsia="Times New Roman" w:hAnsi="Times New Roman"/>
          <w:sz w:val="18"/>
          <w:szCs w:val="18"/>
          <w:color w:val="auto"/>
        </w:rPr>
      </w:pPr>
    </w:p>
    <w:p>
      <w:pPr>
        <w:jc w:val="both"/>
        <w:ind w:left="340" w:firstLine="154"/>
        <w:spacing w:after="0" w:line="313" w:lineRule="auto"/>
        <w:tabs>
          <w:tab w:leader="none" w:pos="86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left="340" w:firstLine="154"/>
        <w:spacing w:after="0" w:line="313" w:lineRule="auto"/>
        <w:tabs>
          <w:tab w:leader="none" w:pos="89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340" w:firstLine="154"/>
        <w:spacing w:after="0" w:line="329" w:lineRule="auto"/>
        <w:tabs>
          <w:tab w:leader="none" w:pos="89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340" w:firstLine="154"/>
        <w:spacing w:after="0" w:line="328" w:lineRule="auto"/>
        <w:tabs>
          <w:tab w:leader="none" w:pos="87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53" w:lineRule="exact"/>
        <w:rPr>
          <w:rFonts w:ascii="Times New Roman" w:cs="Times New Roman" w:eastAsia="Times New Roman" w:hAnsi="Times New Roman"/>
          <w:sz w:val="18"/>
          <w:szCs w:val="18"/>
          <w:color w:val="auto"/>
        </w:rPr>
      </w:pPr>
    </w:p>
    <w:p>
      <w:pPr>
        <w:ind w:left="340" w:firstLine="154"/>
        <w:spacing w:after="0" w:line="329" w:lineRule="auto"/>
        <w:tabs>
          <w:tab w:leader="none" w:pos="8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340" w:right="20" w:firstLine="154"/>
        <w:spacing w:after="0" w:line="329" w:lineRule="auto"/>
        <w:tabs>
          <w:tab w:leader="none" w:pos="87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2017</w:t>
      </w:r>
    </w:p>
    <w:p>
      <w:pPr>
        <w:spacing w:after="0" w:line="3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2924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Paul D. Arling</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Bryan M. Hackworth, certify that:</w:t>
      </w:r>
    </w:p>
    <w:p>
      <w:pPr>
        <w:spacing w:after="0" w:line="171"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Universal Electronics Inc.;</w:t>
      </w:r>
    </w:p>
    <w:p>
      <w:pPr>
        <w:spacing w:after="0" w:line="17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340" w:firstLine="154"/>
        <w:spacing w:after="0" w:line="313" w:lineRule="auto"/>
        <w:tabs>
          <w:tab w:leader="none" w:pos="86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jc w:val="both"/>
        <w:ind w:left="340" w:firstLine="154"/>
        <w:spacing w:after="0" w:line="313" w:lineRule="auto"/>
        <w:tabs>
          <w:tab w:leader="none" w:pos="89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ind w:left="340" w:firstLine="154"/>
        <w:spacing w:after="0" w:line="329" w:lineRule="auto"/>
        <w:tabs>
          <w:tab w:leader="none" w:pos="89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340" w:firstLine="154"/>
        <w:spacing w:after="0" w:line="328" w:lineRule="auto"/>
        <w:tabs>
          <w:tab w:leader="none" w:pos="87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53" w:lineRule="exact"/>
        <w:rPr>
          <w:rFonts w:ascii="Times New Roman" w:cs="Times New Roman" w:eastAsia="Times New Roman" w:hAnsi="Times New Roman"/>
          <w:sz w:val="18"/>
          <w:szCs w:val="18"/>
          <w:color w:val="auto"/>
        </w:rPr>
      </w:pPr>
    </w:p>
    <w:p>
      <w:pPr>
        <w:ind w:left="340" w:firstLine="154"/>
        <w:spacing w:after="0" w:line="329" w:lineRule="auto"/>
        <w:tabs>
          <w:tab w:leader="none" w:pos="86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340" w:right="20" w:firstLine="154"/>
        <w:spacing w:after="0" w:line="329" w:lineRule="auto"/>
        <w:tabs>
          <w:tab w:leader="none" w:pos="87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2017</w:t>
      </w: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2924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Bryan M. Hackworth</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and principal accounting officer)</w:t>
      </w:r>
    </w:p>
    <w:p>
      <w:pPr>
        <w:sectPr>
          <w:pgSz w:w="11900" w:h="16838" w:orient="portrait"/>
          <w:cols w:equalWidth="0" w:num="1">
            <w:col w:w="11420"/>
          </w:cols>
          <w:pgMar w:left="240" w:top="576" w:right="2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1350 CERTIFICATIONS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each of the undersigned officers of Universal Electronics Inc. (the “Company”), hereby certifies that the (i) Company’s Form 10-Q for the fiscal quarter ended June 30, 2017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820" w:val="left"/>
          <w:tab w:leader="none" w:pos="8040" w:val="left"/>
          <w:tab w:leader="none" w:pos="84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August 8,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35560</wp:posOffset>
            </wp:positionV>
            <wp:extent cx="17837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9"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Paul D. Arling</w:t>
      </w:r>
    </w:p>
    <w:p>
      <w:pPr>
        <w:spacing w:after="0" w:line="63"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85" w:lineRule="exact"/>
        <w:rPr>
          <w:sz w:val="20"/>
          <w:szCs w:val="20"/>
          <w:color w:val="auto"/>
        </w:rPr>
      </w:pPr>
    </w:p>
    <w:p>
      <w:pPr>
        <w:ind w:left="8060"/>
        <w:spacing w:after="0"/>
        <w:tabs>
          <w:tab w:leader="none" w:pos="84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35560</wp:posOffset>
            </wp:positionV>
            <wp:extent cx="17837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9"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Bryan M. Hackworth</w:t>
      </w:r>
    </w:p>
    <w:p>
      <w:pPr>
        <w:spacing w:after="0" w:line="63"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27"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32"/>
    </w:lvl>
  </w:abstractNum>
  <w:abstractNum w:abstractNumId="15">
    <w:nsid w:val="431BD7B7"/>
    <w:multiLevelType w:val="hybridMultilevel"/>
    <w:lvl w:ilvl="0">
      <w:lvlJc w:val="left"/>
      <w:lvlText w:val="%1."/>
      <w:numFmt w:val="upperLetter"/>
      <w:start w:val="1"/>
    </w:lvl>
  </w:abstractNum>
  <w:abstractNum w:abstractNumId="16">
    <w:nsid w:val="3F2DBA31"/>
    <w:multiLevelType w:val="hybridMultilevel"/>
    <w:lvl w:ilvl="0">
      <w:lvlJc w:val="left"/>
      <w:lvlText w:val="%1."/>
      <w:numFmt w:val="upperLetter"/>
      <w:start w:val="3"/>
    </w:lvl>
  </w:abstractNum>
  <w:abstractNum w:abstractNumId="17">
    <w:nsid w:val="7C83E458"/>
    <w:multiLevelType w:val="hybridMultilevel"/>
    <w:lvl w:ilvl="0">
      <w:lvlJc w:val="left"/>
      <w:lvlText w:val="(%1)"/>
      <w:numFmt w:val="lowerRoman"/>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2019-12-29T05:32:19Z</dcterms:created>
  <dcterms:modified xsi:type="dcterms:W3CDTF">2019-12-29T05:32:19Z</dcterms:modified>
</cp:coreProperties>
</file>