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ANNUAL AND TRANSITION REPORTS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SECTIONS 13 OR</w:t>
      </w:r>
    </w:p>
    <w:p>
      <w:pPr>
        <w:jc w:val="center"/>
        <w:spacing w:after="0"/>
        <w:rPr>
          <w:sz w:val="20"/>
          <w:szCs w:val="20"/>
          <w:color w:val="auto"/>
        </w:rPr>
      </w:pPr>
      <w:r>
        <w:rPr>
          <w:rFonts w:ascii="Arial" w:cs="Arial" w:eastAsia="Arial" w:hAnsi="Arial"/>
          <w:sz w:val="22"/>
          <w:szCs w:val="22"/>
          <w:b w:val="1"/>
          <w:bCs w:val="1"/>
          <w:color w:val="auto"/>
        </w:rPr>
        <w:t>15(d) OF THE SECURITIES EXCHANGE ACT OF 1934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113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500" w:type="dxa"/>
            <w:vAlign w:val="bottom"/>
          </w:tcPr>
          <w:p>
            <w:pPr>
              <w:ind w:left="560"/>
              <w:spacing w:after="0"/>
              <w:rPr>
                <w:sz w:val="20"/>
                <w:szCs w:val="20"/>
                <w:color w:val="auto"/>
              </w:rPr>
            </w:pPr>
            <w:r>
              <w:rPr>
                <w:rFonts w:ascii="Arial" w:cs="Arial" w:eastAsia="Arial" w:hAnsi="Arial"/>
                <w:sz w:val="18"/>
                <w:szCs w:val="18"/>
                <w:color w:val="auto"/>
              </w:rPr>
              <w:t>(State or Other Jurisdiction</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92"/>
              </w:rPr>
              <w:t>(I.R.S. Employer</w:t>
            </w:r>
          </w:p>
        </w:tc>
      </w:tr>
      <w:tr>
        <w:trPr>
          <w:trHeight w:val="230"/>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2"/>
              </w:rPr>
              <w:t>of Incorporation or Organization)</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2"/>
              </w:rPr>
              <w:t>6101 Gateway Drive</w:t>
            </w:r>
          </w:p>
        </w:tc>
        <w:tc>
          <w:tcPr>
            <w:tcW w:w="4700" w:type="dxa"/>
            <w:vAlign w:val="bottom"/>
          </w:tcPr>
          <w:p>
            <w:pPr>
              <w:spacing w:after="0"/>
              <w:rPr>
                <w:sz w:val="24"/>
                <w:szCs w:val="24"/>
                <w:color w:val="auto"/>
              </w:rPr>
            </w:pPr>
          </w:p>
        </w:tc>
      </w:tr>
      <w:tr>
        <w:trPr>
          <w:trHeight w:val="216"/>
        </w:trPr>
        <w:tc>
          <w:tcPr>
            <w:tcW w:w="45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Cypress, California</w:t>
            </w:r>
          </w:p>
        </w:tc>
        <w:tc>
          <w:tcPr>
            <w:tcW w:w="4700" w:type="dxa"/>
            <w:vAlign w:val="bottom"/>
          </w:tcPr>
          <w:p>
            <w:pPr>
              <w:jc w:val="right"/>
              <w:ind w:right="1330"/>
              <w:spacing w:after="0"/>
              <w:rPr>
                <w:sz w:val="20"/>
                <w:szCs w:val="20"/>
                <w:color w:val="auto"/>
              </w:rPr>
            </w:pPr>
            <w:r>
              <w:rPr>
                <w:rFonts w:ascii="Arial" w:cs="Arial" w:eastAsia="Arial" w:hAnsi="Arial"/>
                <w:sz w:val="18"/>
                <w:szCs w:val="18"/>
                <w:b w:val="1"/>
                <w:bCs w:val="1"/>
                <w:color w:val="auto"/>
              </w:rPr>
              <w:t>90630</w:t>
            </w:r>
          </w:p>
        </w:tc>
      </w:tr>
      <w:tr>
        <w:trPr>
          <w:trHeight w:val="234"/>
        </w:trPr>
        <w:tc>
          <w:tcPr>
            <w:tcW w:w="450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r>
              <w:rPr>
                <w:rFonts w:ascii="Arial" w:cs="Arial" w:eastAsia="Arial" w:hAnsi="Arial"/>
                <w:sz w:val="18"/>
                <w:szCs w:val="18"/>
                <w:b w:val="1"/>
                <w:bCs w:val="1"/>
                <w:color w:val="auto"/>
                <w:w w:val="92"/>
              </w:rPr>
              <w:t>)</w:t>
            </w:r>
          </w:p>
        </w:tc>
        <w:tc>
          <w:tcPr>
            <w:tcW w:w="470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r>
        <w:trPr>
          <w:trHeight w:val="432"/>
        </w:trPr>
        <w:tc>
          <w:tcPr>
            <w:tcW w:w="920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(714) 820-1000</w:t>
            </w:r>
          </w:p>
        </w:tc>
      </w:tr>
      <w:tr>
        <w:trPr>
          <w:trHeight w:val="432"/>
        </w:trPr>
        <w:tc>
          <w:tcPr>
            <w:tcW w:w="9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18"/>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Common Stock, par value $.01 per share</w:t>
            </w:r>
          </w:p>
        </w:tc>
        <w:tc>
          <w:tcPr>
            <w:tcW w:w="470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30"/>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3"/>
              </w:rPr>
              <w:t>(Title of Class)</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ind w:left="5280" w:right="2260" w:hanging="5271"/>
        <w:spacing w:after="0" w:line="288" w:lineRule="exact"/>
        <w:rPr>
          <w:sz w:val="20"/>
          <w:szCs w:val="20"/>
          <w:color w:val="auto"/>
        </w:rPr>
      </w:pPr>
      <w:r>
        <w:rPr>
          <w:rFonts w:ascii="Arial" w:cs="Arial" w:eastAsia="Arial" w:hAnsi="Arial"/>
          <w:sz w:val="18"/>
          <w:szCs w:val="18"/>
          <w:color w:val="auto"/>
        </w:rPr>
        <w:t xml:space="preserve">Indicate by check mark if whether the registrant is a well-known seasoned issuer (as defined in Rule 405 of the Securities Act). Yes o No </w:t>
      </w:r>
      <w:r>
        <w:rPr>
          <w:rFonts w:ascii="MS PGothic" w:cs="MS PGothic" w:eastAsia="MS PGothic" w:hAnsi="MS PGothic"/>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91"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3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o</w:t>
      </w:r>
    </w:p>
    <w:p>
      <w:pPr>
        <w:spacing w:after="0" w:line="117"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0"/>
          <w:szCs w:val="20"/>
          <w:color w:val="auto"/>
        </w:rPr>
      </w:pPr>
    </w:p>
    <w:p>
      <w:pPr>
        <w:ind w:left="3160" w:right="160" w:hanging="5009"/>
        <w:spacing w:after="0" w:line="239" w:lineRule="exact"/>
        <w:tabs>
          <w:tab w:leader="none" w:pos="31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 (Do not check if a smaller reporting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91"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122" w:right="239" w:bottom="0" w:gutter="0" w:footer="0" w:header="0"/>
        </w:sectPr>
      </w:pPr>
    </w:p>
    <w:bookmarkStart w:id="2" w:name="page3"/>
    <w:bookmarkEnd w:id="2"/>
    <w:p>
      <w:pPr>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2010, the last business day of the registrant’s most recently completed third fiscal quarter was $183,312,690 based upon the closing sale price as reported on the NASDAQ Global Select Market for that 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2011, 14,980,213 shares of Common Stock, par value $.01 per share, of the registrant were outstanding.</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2010 are incorporated by reference into Part III of this Form 10-K. The Proxy Statement will be filed with the Securities and Exchange Commission no later than April 30, 2011.</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Except as otherwise stated, the information contained in this Form 10-K is as of December 31, 2010.</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 appears on page 95. This document contains 98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20" w:type="dxa"/>
            <w:vAlign w:val="bottom"/>
            <w:gridSpan w:val="14"/>
          </w:tcPr>
          <w:p>
            <w:pPr>
              <w:jc w:val="center"/>
              <w:ind w:right="2260"/>
              <w:spacing w:after="0"/>
              <w:rPr>
                <w:sz w:val="20"/>
                <w:szCs w:val="20"/>
                <w:color w:val="auto"/>
              </w:rPr>
            </w:pPr>
            <w:r>
              <w:rPr>
                <w:rFonts w:ascii="Arial" w:cs="Arial" w:eastAsia="Arial" w:hAnsi="Arial"/>
                <w:sz w:val="18"/>
                <w:szCs w:val="18"/>
                <w:b w:val="1"/>
                <w:bCs w:val="1"/>
                <w:color w:val="auto"/>
              </w:rPr>
              <w:t>UNIVERSAL ELECTRONICS INC.</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gridSpan w:val="13"/>
          </w:tcPr>
          <w:p>
            <w:pPr>
              <w:jc w:val="center"/>
              <w:ind w:right="2960"/>
              <w:spacing w:after="0"/>
              <w:rPr>
                <w:sz w:val="20"/>
                <w:szCs w:val="20"/>
                <w:color w:val="auto"/>
              </w:rPr>
            </w:pPr>
            <w:r>
              <w:rPr>
                <w:rFonts w:ascii="Arial" w:cs="Arial" w:eastAsia="Arial" w:hAnsi="Arial"/>
                <w:sz w:val="18"/>
                <w:szCs w:val="18"/>
                <w:b w:val="1"/>
                <w:bCs w:val="1"/>
                <w:color w:val="auto"/>
                <w:w w:val="93"/>
              </w:rPr>
              <w:t>Annual Report on Form 10-K</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20" w:type="dxa"/>
            <w:vAlign w:val="bottom"/>
            <w:gridSpan w:val="14"/>
          </w:tcPr>
          <w:p>
            <w:pPr>
              <w:jc w:val="center"/>
              <w:ind w:right="2280"/>
              <w:spacing w:after="0"/>
              <w:rPr>
                <w:sz w:val="20"/>
                <w:szCs w:val="20"/>
                <w:color w:val="auto"/>
              </w:rPr>
            </w:pPr>
            <w:r>
              <w:rPr>
                <w:rFonts w:ascii="Arial" w:cs="Arial" w:eastAsia="Arial" w:hAnsi="Arial"/>
                <w:sz w:val="18"/>
                <w:szCs w:val="18"/>
                <w:b w:val="1"/>
                <w:bCs w:val="1"/>
                <w:color w:val="auto"/>
                <w:w w:val="90"/>
              </w:rPr>
              <w:t>For the Fiscal Year Ended December 31, 2010</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2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9"/>
          </w:tcPr>
          <w:p>
            <w:pPr>
              <w:jc w:val="center"/>
              <w:ind w:right="3460"/>
              <w:spacing w:after="0"/>
              <w:rPr>
                <w:sz w:val="20"/>
                <w:szCs w:val="20"/>
                <w:color w:val="auto"/>
              </w:rPr>
            </w:pPr>
            <w:r>
              <w:rPr>
                <w:rFonts w:ascii="Arial" w:cs="Arial" w:eastAsia="Arial" w:hAnsi="Arial"/>
                <w:sz w:val="18"/>
                <w:szCs w:val="18"/>
                <w:b w:val="1"/>
                <w:bCs w:val="1"/>
                <w:color w:val="auto"/>
                <w:w w:val="89"/>
              </w:rPr>
              <w:t>Table of Contents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2"/>
        </w:trPr>
        <w:tc>
          <w:tcPr>
            <w:tcW w:w="10060" w:type="dxa"/>
            <w:vAlign w:val="bottom"/>
            <w:gridSpan w:val="32"/>
          </w:tcPr>
          <w:p>
            <w:pPr>
              <w:spacing w:after="0"/>
              <w:rPr>
                <w:sz w:val="20"/>
                <w:szCs w:val="20"/>
                <w:color w:val="auto"/>
              </w:rPr>
            </w:pPr>
            <w:r>
              <w:rPr>
                <w:rFonts w:ascii="Arial" w:cs="Arial" w:eastAsia="Arial" w:hAnsi="Arial"/>
                <w:sz w:val="14"/>
                <w:szCs w:val="14"/>
                <w:b w:val="1"/>
                <w:bCs w:val="1"/>
                <w:color w:val="auto"/>
              </w:rPr>
              <w:t>Item</w:t>
            </w:r>
          </w:p>
        </w:tc>
        <w:tc>
          <w:tcPr>
            <w:tcW w:w="580" w:type="dxa"/>
            <w:vAlign w:val="bottom"/>
          </w:tcPr>
          <w:p>
            <w:pPr>
              <w:spacing w:after="0"/>
              <w:rPr>
                <w:sz w:val="24"/>
                <w:szCs w:val="2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Page</w:t>
            </w:r>
          </w:p>
        </w:tc>
      </w:tr>
      <w:tr>
        <w:trPr>
          <w:trHeight w:val="171"/>
        </w:trPr>
        <w:tc>
          <w:tcPr>
            <w:tcW w:w="10060" w:type="dxa"/>
            <w:vAlign w:val="bottom"/>
            <w:tcBorders>
              <w:bottom w:val="single" w:sz="8" w:color="auto"/>
            </w:tcBorders>
            <w:gridSpan w:val="3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20" w:type="dxa"/>
            <w:vAlign w:val="bottom"/>
            <w:gridSpan w:val="9"/>
          </w:tcPr>
          <w:p>
            <w:pPr>
              <w:jc w:val="center"/>
              <w:ind w:right="4640"/>
              <w:spacing w:after="0" w:line="170"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4720" w:type="dxa"/>
            <w:vAlign w:val="bottom"/>
            <w:gridSpan w:val="22"/>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4640" w:type="dxa"/>
            <w:vAlign w:val="bottom"/>
            <w:gridSpan w:val="8"/>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1A Risk Factors</w:t>
              </w:r>
            </w:hyperlink>
          </w:p>
        </w:tc>
        <w:tc>
          <w:tcPr>
            <w:tcW w:w="8880" w:type="dxa"/>
            <w:vAlign w:val="bottom"/>
            <w:gridSpan w:val="25"/>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0060" w:type="dxa"/>
            <w:vAlign w:val="bottom"/>
            <w:gridSpan w:val="3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1B Unresolved Staff Comments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2</w:t>
              </w:r>
            </w:hyperlink>
          </w:p>
        </w:tc>
        <w:tc>
          <w:tcPr>
            <w:tcW w:w="76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Properties</w:t>
              </w:r>
            </w:hyperlink>
          </w:p>
        </w:tc>
        <w:tc>
          <w:tcPr>
            <w:tcW w:w="1420" w:type="dxa"/>
            <w:vAlign w:val="bottom"/>
            <w:tcBorders>
              <w:top w:val="single" w:sz="8" w:color="0000EE"/>
            </w:tcBorders>
            <w:gridSpan w:val="8"/>
          </w:tcPr>
          <w:p>
            <w:pPr>
              <w:spacing w:after="0"/>
              <w:rPr>
                <w:sz w:val="17"/>
                <w:szCs w:val="17"/>
                <w:color w:val="auto"/>
              </w:rPr>
            </w:pPr>
          </w:p>
        </w:tc>
        <w:tc>
          <w:tcPr>
            <w:tcW w:w="7760" w:type="dxa"/>
            <w:vAlign w:val="bottom"/>
            <w:gridSpan w:val="19"/>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3</w:t>
              </w:r>
            </w:hyperlink>
          </w:p>
        </w:tc>
        <w:tc>
          <w:tcPr>
            <w:tcW w:w="9940" w:type="dxa"/>
            <w:vAlign w:val="bottom"/>
            <w:gridSpan w:val="31"/>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412"/>
        </w:trPr>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0"/>
          </w:tcPr>
          <w:p>
            <w:pPr>
              <w:jc w:val="center"/>
              <w:ind w:right="4600"/>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20" w:type="dxa"/>
            <w:vAlign w:val="bottom"/>
            <w:tcBorders>
              <w:bottom w:val="single" w:sz="8" w:color="0000EE"/>
            </w:tcBorders>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4</w:t>
              </w:r>
            </w:hyperlink>
          </w:p>
        </w:tc>
        <w:tc>
          <w:tcPr>
            <w:tcW w:w="700" w:type="dxa"/>
            <w:vAlign w:val="bottom"/>
            <w:tcBorders>
              <w:bottom w:val="single" w:sz="8" w:color="0000EE"/>
            </w:tcBorders>
            <w:gridSpan w:val="3"/>
          </w:tcPr>
          <w:p>
            <w:pPr>
              <w:ind w:lef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Reserved</w:t>
              </w:r>
            </w:hyperlink>
          </w:p>
        </w:tc>
        <w:tc>
          <w:tcPr>
            <w:tcW w:w="3980" w:type="dxa"/>
            <w:vAlign w:val="bottom"/>
            <w:gridSpan w:val="18"/>
          </w:tcPr>
          <w:p>
            <w:pPr>
              <w:spacing w:after="0"/>
              <w:rPr>
                <w:sz w:val="24"/>
                <w:szCs w:val="24"/>
                <w:color w:val="auto"/>
              </w:rPr>
            </w:pPr>
          </w:p>
        </w:tc>
        <w:tc>
          <w:tcPr>
            <w:tcW w:w="660" w:type="dxa"/>
            <w:vAlign w:val="bottom"/>
            <w:tcBorders>
              <w:top w:val="single" w:sz="8" w:color="0000EE"/>
            </w:tcBorders>
            <w:gridSpan w:val="3"/>
          </w:tcPr>
          <w:p>
            <w:pPr>
              <w:spacing w:after="0"/>
              <w:rPr>
                <w:sz w:val="24"/>
                <w:szCs w:val="24"/>
                <w:color w:val="auto"/>
              </w:rPr>
            </w:pPr>
          </w:p>
        </w:tc>
        <w:tc>
          <w:tcPr>
            <w:tcW w:w="4600" w:type="dxa"/>
            <w:vAlign w:val="bottom"/>
            <w:gridSpan w:val="7"/>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12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5</w:t>
              </w:r>
            </w:hyperlink>
          </w:p>
        </w:tc>
        <w:tc>
          <w:tcPr>
            <w:tcW w:w="8100" w:type="dxa"/>
            <w:vAlign w:val="bottom"/>
            <w:tcBorders>
              <w:bottom w:val="single" w:sz="8" w:color="0000EE"/>
            </w:tcBorders>
            <w:gridSpan w:val="30"/>
          </w:tcPr>
          <w:p>
            <w:pPr>
              <w:ind w:left="20"/>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184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6</w:t>
              </w:r>
            </w:hyperlink>
          </w:p>
        </w:tc>
        <w:tc>
          <w:tcPr>
            <w:tcW w:w="9940" w:type="dxa"/>
            <w:vAlign w:val="bottom"/>
            <w:gridSpan w:val="31"/>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Selected Consolidated Financial Data</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7</w:t>
              </w:r>
            </w:hyperlink>
          </w:p>
        </w:tc>
        <w:tc>
          <w:tcPr>
            <w:tcW w:w="9940" w:type="dxa"/>
            <w:vAlign w:val="bottom"/>
            <w:gridSpan w:val="31"/>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6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7A Quantitative and Qualitative Disclosures About Market Risk</w:t>
              </w:r>
            </w:hyperlink>
          </w:p>
        </w:tc>
        <w:tc>
          <w:tcPr>
            <w:tcW w:w="1960" w:type="dxa"/>
            <w:vAlign w:val="bottom"/>
            <w:tcBorders>
              <w:top w:val="single" w:sz="8" w:color="0000EE"/>
            </w:tcBorders>
            <w:gridSpan w:val="8"/>
          </w:tcPr>
          <w:p>
            <w:pPr>
              <w:spacing w:after="0"/>
              <w:rPr>
                <w:sz w:val="17"/>
                <w:szCs w:val="17"/>
                <w:color w:val="auto"/>
              </w:rPr>
            </w:pPr>
          </w:p>
        </w:tc>
        <w:tc>
          <w:tcPr>
            <w:tcW w:w="3460" w:type="dxa"/>
            <w:vAlign w:val="bottom"/>
            <w:gridSpan w:val="4"/>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8</w:t>
              </w:r>
            </w:hyperlink>
          </w:p>
        </w:tc>
        <w:tc>
          <w:tcPr>
            <w:tcW w:w="336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Financial Statements and Supplementary Data</w:t>
              </w:r>
            </w:hyperlink>
          </w:p>
        </w:tc>
        <w:tc>
          <w:tcPr>
            <w:tcW w:w="6580" w:type="dxa"/>
            <w:vAlign w:val="bottom"/>
            <w:gridSpan w:val="15"/>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91">
              <w:r>
                <w:rPr>
                  <w:rFonts w:ascii="Arial" w:cs="Arial" w:eastAsia="Arial" w:hAnsi="Arial"/>
                  <w:sz w:val="18"/>
                  <w:szCs w:val="18"/>
                  <w:color w:val="0000EE"/>
                  <w:w w:val="99"/>
                </w:rPr>
                <w:t>9</w:t>
              </w:r>
            </w:hyperlink>
          </w:p>
        </w:tc>
        <w:tc>
          <w:tcPr>
            <w:tcW w:w="9940" w:type="dxa"/>
            <w:vAlign w:val="bottom"/>
            <w:gridSpan w:val="31"/>
          </w:tcPr>
          <w:p>
            <w:pPr>
              <w:ind w:left="20"/>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9A Controls and Procedures</w:t>
              </w:r>
            </w:hyperlink>
          </w:p>
        </w:tc>
        <w:tc>
          <w:tcPr>
            <w:tcW w:w="4560" w:type="dxa"/>
            <w:vAlign w:val="bottom"/>
            <w:tcBorders>
              <w:top w:val="single" w:sz="8" w:color="0000EE"/>
            </w:tcBorders>
            <w:gridSpan w:val="17"/>
          </w:tcPr>
          <w:p>
            <w:pPr>
              <w:spacing w:after="0"/>
              <w:rPr>
                <w:sz w:val="17"/>
                <w:szCs w:val="17"/>
                <w:color w:val="auto"/>
              </w:rPr>
            </w:pPr>
          </w:p>
        </w:tc>
        <w:tc>
          <w:tcPr>
            <w:tcW w:w="3440" w:type="dxa"/>
            <w:vAlign w:val="bottom"/>
            <w:gridSpan w:val="3"/>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0060" w:type="dxa"/>
            <w:vAlign w:val="bottom"/>
            <w:gridSpan w:val="3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9B Other Information</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w:t>
            </w:r>
          </w:p>
        </w:tc>
      </w:tr>
      <w:tr>
        <w:trPr>
          <w:trHeight w:val="412"/>
        </w:trPr>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III</w:t>
              </w:r>
            </w:hyperlink>
          </w:p>
        </w:tc>
        <w:tc>
          <w:tcPr>
            <w:tcW w:w="454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0060" w:type="dxa"/>
            <w:vAlign w:val="bottom"/>
            <w:gridSpan w:val="3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10 Directors, Executive Officers and Corporate Governance</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196"/>
        </w:trPr>
        <w:tc>
          <w:tcPr>
            <w:tcW w:w="2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11 Executive Compensation</w:t>
              </w:r>
            </w:hyperlink>
          </w:p>
        </w:tc>
        <w:tc>
          <w:tcPr>
            <w:tcW w:w="2280" w:type="dxa"/>
            <w:vAlign w:val="bottom"/>
            <w:tcBorders>
              <w:top w:val="single" w:sz="8" w:color="0000EE"/>
            </w:tcBorders>
            <w:gridSpan w:val="8"/>
          </w:tcPr>
          <w:p>
            <w:pPr>
              <w:spacing w:after="0"/>
              <w:rPr>
                <w:sz w:val="17"/>
                <w:szCs w:val="17"/>
                <w:color w:val="auto"/>
              </w:rPr>
            </w:pPr>
          </w:p>
        </w:tc>
        <w:tc>
          <w:tcPr>
            <w:tcW w:w="5740" w:type="dxa"/>
            <w:vAlign w:val="bottom"/>
            <w:gridSpan w:val="13"/>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10060" w:type="dxa"/>
            <w:vAlign w:val="bottom"/>
            <w:gridSpan w:val="3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12 Security Ownership of Certain Beneficial Owners and Management and Related Stockholder Matters</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75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13 Certain Relationships and Related Transactions</w:t>
              </w:r>
            </w:hyperlink>
          </w:p>
        </w:tc>
        <w:tc>
          <w:tcPr>
            <w:tcW w:w="2540" w:type="dxa"/>
            <w:vAlign w:val="bottom"/>
            <w:gridSpan w:val="2"/>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36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14 Principal Accountant Fees and Services</w:t>
              </w:r>
            </w:hyperlink>
          </w:p>
        </w:tc>
        <w:tc>
          <w:tcPr>
            <w:tcW w:w="6420" w:type="dxa"/>
            <w:vAlign w:val="bottom"/>
            <w:gridSpan w:val="14"/>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93</w:t>
            </w:r>
          </w:p>
        </w:tc>
      </w:tr>
      <w:tr>
        <w:trPr>
          <w:trHeight w:val="412"/>
        </w:trPr>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95">
              <w:r>
                <w:rPr>
                  <w:rFonts w:ascii="Arial" w:cs="Arial" w:eastAsia="Arial" w:hAnsi="Arial"/>
                  <w:sz w:val="18"/>
                  <w:szCs w:val="18"/>
                  <w:b w:val="1"/>
                  <w:bCs w:val="1"/>
                  <w:color w:val="0000EE"/>
                  <w:w w:val="98"/>
                </w:rPr>
                <w:t>PART IV</w:t>
              </w:r>
            </w:hyperlink>
          </w:p>
        </w:tc>
        <w:tc>
          <w:tcPr>
            <w:tcW w:w="456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34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15 Exhibits and Financial Statement Schedules</w:t>
              </w:r>
            </w:hyperlink>
          </w:p>
        </w:tc>
        <w:tc>
          <w:tcPr>
            <w:tcW w:w="6660" w:type="dxa"/>
            <w:vAlign w:val="bottom"/>
            <w:gridSpan w:val="16"/>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96">
              <w:r>
                <w:rPr>
                  <w:rFonts w:ascii="Arial" w:cs="Arial" w:eastAsia="Arial" w:hAnsi="Arial"/>
                  <w:sz w:val="18"/>
                  <w:szCs w:val="18"/>
                  <w:color w:val="0000EE"/>
                  <w:w w:val="85"/>
                </w:rPr>
                <w:t>Signatures</w:t>
              </w:r>
            </w:hyperlink>
          </w:p>
        </w:tc>
        <w:tc>
          <w:tcPr>
            <w:tcW w:w="9080" w:type="dxa"/>
            <w:vAlign w:val="bottom"/>
            <w:gridSpan w:val="26"/>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Exhibit Index</w:t>
              </w:r>
            </w:hyperlink>
          </w:p>
        </w:tc>
        <w:tc>
          <w:tcPr>
            <w:tcW w:w="8860" w:type="dxa"/>
            <w:vAlign w:val="bottom"/>
            <w:gridSpan w:val="24"/>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EX-10.27</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Annual Report on Form 10-K, including “ITEM 7. MANAGEMENT’S DISCUSSION AND ANALYSIS OF FINANCIAL CONDITION AND RESULTS OF OPERATIONS”, contains statements that may constitute forward-looking statements within the meaning of the Private Securities Litigation Reform Act of 1995. All statements other than statements of historical fact are statements that may be deemed forward-looking statements. Forward-looking statements include but are not limited to any projections of revenue, margins, expenses, tax provisions, earnings, cash flows, benefit obligations, share repurchases or other financial items; plans, strategies and objectives of management for future operations; expected development or relating to products or services; labor issues, particularly in Asia; future economic conditions or performance; pending claims or disputes; expectation or belief; and assumptions underlying any of the foregoing.</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forward-looking statements are based upon management’s assumptions. While we believe the forward-looking statements made in this report are based upon reasonable assumptions, any assumption is subject to a number of risks and uncertainties. If these risks and uncertainties ever materialize and management’s assumptions prove incorrect, our results may differ materially from those expressed or implied by these forward-looking statements and assumptions. Further, any forward-looking statement speaks only as of the date the statement is made. We are not obligated to update forward-looking statements to reflect unanticipated events or circumstances occurring after the date the statement was made. New factors emerge from time to time. It is not possible for management to predict or assess the impact of all factors on the business, or the extent they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assumptions that are subject to risks and uncertainties include those that are made about macroeconomic and geopolitical trends and events; foreign currency exchange rates; the execution and performance of contracts by customers, suppliers and partners; the challenges of managing asset levels, including inventory; the difficulty of aligning expense levels with revenue changes; the outcome of pending legislation and accounting pronouncements; and other risks described in this report, including those discussed in “ITEM 1A. RISK FACTORS”, and described in our Securities and Exchange Commission filings subsequent to this report.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UEI may be obtained at </w:t>
      </w:r>
      <w:r>
        <w:rPr>
          <w:rFonts w:ascii="Arial" w:cs="Arial" w:eastAsia="Arial" w:hAnsi="Arial"/>
          <w:sz w:val="18"/>
          <w:szCs w:val="18"/>
          <w:u w:val="single" w:color="auto"/>
          <w:color w:val="auto"/>
        </w:rPr>
        <w:t>www.uei.com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Enson Assets Limited</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November 3, 2010, our subsidiary, UEI Hong Kong Private Limited, entered into a stock purchase agreement with CG International Holdings Limited to acquire all of the issued shares in the capital of Enson Assets Limited (“Enson”) for total consideration of approximately $125.8 million. The consideration consisted of $95.0 million in cash and 1,460,000 of newly issued shares of UEI common stock.</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Enson is a leading manufacturer of remote controls. Prior to the acquisition, Enson was also one of our significant suppliers. During the years ended December 31, 2010, 2009 and 2008 Enson supplied 20.5%, 24.1% and 20.6% of our inventory purchases.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Enson corporate office, located in Hong Kong, is approximately 6,000 square feet and employs 50 people. Enson controls two factories located in the Peoples Republic of China (“PRC”).</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southern factory is located in Guang Dong Province, PRC within the city of Guang Zhou. The Guang Zhou factory is approximately 710,203 square feet and employs 787 people, with an additional 4,393 factory workers contracted through an agency agreement.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northern factory is located in Jiang Su Province, PRC within the city of Yang Zhou. The Yang Zhou factory is approximately 1,204,697 square feet and employs 418 people, with an additional 4,502 factory workers contracted through an agency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Universal Electronics Inc. develops and manufactures a broad line of products, software, and technologies that are marketed to enhance home entertainment systems. Our offerings include the following:</w:t>
      </w:r>
    </w:p>
    <w:p>
      <w:pPr>
        <w:spacing w:after="0" w:line="62" w:lineRule="exact"/>
        <w:rPr>
          <w:sz w:val="20"/>
          <w:szCs w:val="20"/>
          <w:color w:val="auto"/>
        </w:rPr>
      </w:pPr>
    </w:p>
    <w:p>
      <w:pPr>
        <w:ind w:left="660" w:right="700" w:hanging="314"/>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easy-to-use, pre-programmed universal infrared (“IR”) and radio frequency (“RF”) remote controls that are sold primarily to subscription broadcasting providers (cable and satellite), original equipment manufacturers (“OEMs”), consumers, internet protocol television (“IPTV”) providers, and private label customers;</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audio-video (“AV”) accessories sold to consumers;</w:t>
      </w:r>
    </w:p>
    <w:p>
      <w:pPr>
        <w:spacing w:after="0" w:line="130" w:lineRule="exact"/>
        <w:rPr>
          <w:rFonts w:ascii="Arial" w:cs="Arial" w:eastAsia="Arial" w:hAnsi="Arial"/>
          <w:sz w:val="18"/>
          <w:szCs w:val="18"/>
          <w:b w:val="1"/>
          <w:bCs w:val="1"/>
          <w:color w:val="auto"/>
        </w:rPr>
      </w:pPr>
    </w:p>
    <w:p>
      <w:pPr>
        <w:ind w:left="660" w:right="46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integrated circuits, on which our software and universal IR remote control database is embedded, sold primarily to OEMs, IPTV providers and private label customers;</w:t>
      </w:r>
    </w:p>
    <w:p>
      <w:pPr>
        <w:spacing w:after="0" w:line="75"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 and</w:t>
      </w:r>
    </w:p>
    <w:p>
      <w:pPr>
        <w:spacing w:after="0" w:line="75" w:lineRule="exact"/>
        <w:rPr>
          <w:rFonts w:ascii="Arial" w:cs="Arial" w:eastAsia="Arial" w:hAnsi="Arial"/>
          <w:sz w:val="18"/>
          <w:szCs w:val="18"/>
          <w:b w:val="1"/>
          <w:bCs w:val="1"/>
          <w:color w:val="auto"/>
        </w:rPr>
      </w:pPr>
    </w:p>
    <w:p>
      <w:pPr>
        <w:ind w:left="660" w:hanging="314"/>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software, firmware and technology solutions that can enable devices such as TVs, set-top boxes, stereos, automotive audio systems, cell phones and other consumer electronic devices to wirelessly connect and interact with home networks and interactive services to deliver digital entertainment and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markets include the subscription broadcasting, OEM, retail, and private label companies that operate in the consumer electronics market.</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subscription broadcasters and IPTV providers both domestically and internationally, with our universal remote control devices and integrated circuits, on which our software and IR code database is embedded, to support the demand associated with the deployment of digital set-top boxes that contain the latest technology and features. We also sell our universal remote control devices and integrated circuits, on which our software and IR code database is embedded, to OEMs that manufacture wirelessly controlled devices or digital set-top boxes.</w:t>
      </w:r>
    </w:p>
    <w:p>
      <w:pPr>
        <w:spacing w:after="0" w:line="7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For the years ended December 31, 2010, 2009, and 2008, our sales to DIRECTV and its sub-contractors collectively accounted for 13.7%, 21.1% and 19.3% of our net sales, respectively. Our sales to Comcast Communications, Inc. and its sub-contractors collectively accounted for 12.9%, 11.1% and 13.4% of our net sales for the years ended December 31, 2010, 2009 and 2008, respectively. No other single customer accounted for 10% or more of our net sales in 2010, 2009, or 2008.</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continue to pursue further penetration of the more traditional OEM consumer electronics markets. Customers in these markets generally package our wireless control devices for resale with their AV home entertainment products.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Growth in this market has been driven by the proliferation and increasing complexity of home entertainment equipment, emerging digital technology, multimedia and interactive internet applications, and the increasing number of OEMs. On November 4, 2010, we acquired Enson Assets Limited (“Enson”) for total consideration of approximately $125.8 million. This acquisition expanded the breadth and depth of our customer base in the OEM market, particularly in Asia.</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continue to place significant emphasis on expanding our sales and marketing efforts to subscription broadcasters and OEMs in Asia, Latin America and Europe. Our acquisition of Enson will enhance our ability to compete in the OEM and subscription broadcasting markets, particularly in Asia. In addition, during 2010 we opened a new subsidiary in Brazil, which will allow us to increase our reach and better compete in the Latin American subscription broadcast and IPTV markets. We will continue to add new sales and administrative people to support anticipated sales growth in these markets over the next few years.</w:t>
      </w:r>
    </w:p>
    <w:p>
      <w:pPr>
        <w:spacing w:after="0" w:line="4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the international retail markets, our </w:t>
      </w:r>
      <w:r>
        <w:rPr>
          <w:rFonts w:ascii="Arial" w:cs="Arial" w:eastAsia="Arial" w:hAnsi="Arial"/>
          <w:sz w:val="17"/>
          <w:szCs w:val="17"/>
          <w:i w:val="1"/>
          <w:iCs w:val="1"/>
          <w:color w:val="auto"/>
        </w:rPr>
        <w:t>One For All</w:t>
      </w:r>
      <w:r>
        <w:rPr>
          <w:rFonts w:ascii="Arial" w:cs="Arial" w:eastAsia="Arial" w:hAnsi="Arial"/>
          <w:sz w:val="14"/>
          <w:szCs w:val="14"/>
          <w:color w:val="auto"/>
        </w:rPr>
        <w:t>®</w:t>
      </w:r>
      <w:r>
        <w:rPr>
          <w:rFonts w:ascii="Arial" w:cs="Arial" w:eastAsia="Arial" w:hAnsi="Arial"/>
          <w:sz w:val="17"/>
          <w:szCs w:val="17"/>
          <w:color w:val="auto"/>
        </w:rPr>
        <w:t xml:space="preserve"> brand name remote control and accessories accounted for 12.4%, 12.6%, and 15.6% of our total net sales for the years ended December 31, 2010, 2009, and 2008, respectively. Throughout 2010, we continued our international retail sales and marketing efforts. Financial information relating to our international operations for the years ended December 31, 2010, 2009, and 2008 is included in “ITEM 8. FINANCIAL STATEMENTS AND SUPPLEMENTARY DATA-Notes to Consolidated Financial Statements-Note 15”.</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During the second quarter of 2008, we signed an agreement with Audiovox Accessories Corporation to be the exclusive supplier of embedded microcontrollers and infrared database software for Audiovox’s complete line of RCA universal remote controls sold in the North American retail market. We also agreed to develop remote controls in the future for existing brands in the Audiovox lineup and granted Audiovox an exclusive license to sell and distribute our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brand remote controls and accessories in North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hold a number of patents in the United States and abroad related to our products and technology, and have filed domestic and foreign applications for other patents that are pending. We had a total of 206 and 187 issued and pending United States patents at the end of 2010 and 2009, respectively. The increase in the number of issued and pending patents in the United States resulted from 32 new patent filings, offset by our abandonment of 4 patents and the expiration of 9 patents.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patents have remaining lives ranging from approximately one to eighteen years. We have also obtained copyright registration and claim copyright protection for certain proprietary software and libraries of IR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508,000 individual device functions and over 4,200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database is capable of controlling virtually all IR controlled TVs, VCRs, DVD players, cable converters, CD players, audio components and satellite receivers, as well as most other infrared remote controlled home entertainment devices and home automation control modules worldwide.</w:t>
      </w:r>
    </w:p>
    <w:p>
      <w:pPr>
        <w:spacing w:after="0" w:line="8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proprietary software and know-how permit us to compress IR codes before we load them into our products. This provides significant cost and space efficiencies that enable us to include more codes and features in the memory space of our wireless control devices than are included in the similarly priced products of our competitors.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today’s rapidly changing technology, upgradeability ensures the compatibility of our remote controls with future home entertainment devices. We have developed patented technology that provides users the capability to easily upgrade the memory of our remote controls with IR codes that were not originally included using their entertainment device, personal computer or telephone. These options utilize one or two-way communication to upgrade the remote controls’ IR codes or firmware depending on the requirements.</w:t>
      </w:r>
    </w:p>
    <w:p>
      <w:pPr>
        <w:spacing w:after="0" w:line="7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Each of our wireless control devices is designed to simplify the use of home entertainment and other equipment. To appeal to the mass market, the number of buttons is minimized to include only the most popular functions. Another ease of use feature we offer in several of our products is our user programmable macro key. This feature allows the user to program a sequence of commands onto a single key, to be played back each time that key is subsequently pressed.</w:t>
      </w:r>
    </w:p>
    <w:p>
      <w:pPr>
        <w:spacing w:after="0" w:line="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remote controls are also designed for easy set-up. For most of our products, the consumer simply inputs a four-digit code for each device to be controlled. During 2007, building on our strategy to develop new products and technologies to further simplify remote control set-up, we created the web-based EZ-RC</w:t>
      </w:r>
      <w:r>
        <w:rPr>
          <w:rFonts w:ascii="Arial" w:cs="Arial" w:eastAsia="Arial" w:hAnsi="Arial"/>
          <w:sz w:val="15"/>
          <w:szCs w:val="15"/>
          <w:color w:val="auto"/>
        </w:rPr>
        <w:t>TM</w:t>
      </w:r>
      <w:r>
        <w:rPr>
          <w:rFonts w:ascii="Arial" w:cs="Arial" w:eastAsia="Arial" w:hAnsi="Arial"/>
          <w:sz w:val="18"/>
          <w:szCs w:val="18"/>
          <w:color w:val="auto"/>
        </w:rPr>
        <w:t xml:space="preserve"> Remote Control Setup Wizard application. Once our wireless device is connected to a personal computer, our customers may utilize the EZ-RC</w:t>
      </w:r>
      <w:r>
        <w:rPr>
          <w:rFonts w:ascii="Arial" w:cs="Arial" w:eastAsia="Arial" w:hAnsi="Arial"/>
          <w:sz w:val="15"/>
          <w:szCs w:val="15"/>
          <w:color w:val="auto"/>
        </w:rPr>
        <w:t>TM</w:t>
      </w:r>
      <w:r>
        <w:rPr>
          <w:rFonts w:ascii="Arial" w:cs="Arial" w:eastAsia="Arial" w:hAnsi="Arial"/>
          <w:sz w:val="18"/>
          <w:szCs w:val="18"/>
          <w:color w:val="auto"/>
        </w:rPr>
        <w:t xml:space="preserve"> Remote Control Setup Wizard web-based application’s graphical interface to fully program the remote control. Each remote control user may create their own personal profile on the device with their favorite channels, custom functions, and more. We launched products utilizing the EZ-RC</w:t>
      </w:r>
      <w:r>
        <w:rPr>
          <w:rFonts w:ascii="Arial" w:cs="Arial" w:eastAsia="Arial" w:hAnsi="Arial"/>
          <w:sz w:val="15"/>
          <w:szCs w:val="15"/>
          <w:color w:val="auto"/>
        </w:rPr>
        <w:t>TM</w:t>
      </w:r>
      <w:r>
        <w:rPr>
          <w:rFonts w:ascii="Arial" w:cs="Arial" w:eastAsia="Arial" w:hAnsi="Arial"/>
          <w:sz w:val="18"/>
          <w:szCs w:val="18"/>
          <w:color w:val="auto"/>
        </w:rPr>
        <w:t xml:space="preserve"> Remote Control Setup Wizard web-based application into the international retail market during the fourth quarter of 2008 and the North American retail market during the third quarter of 2009. During 2010, we continued to enhance our EZ-RC™ Remote Control Setup Wizard application, and to release additional products capable of connecting to it.</w:t>
      </w:r>
    </w:p>
    <w:p>
      <w:pPr>
        <w:spacing w:after="0" w:line="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UEI QuickSet is a firmware application that may be embedded on an AV device, such as a set-top box. UEI QuickSet enables universal remote control set-up using guided on-screen instructions and a wireless two-way communication link between the remote and the UEI QuickSet embedded AV equipment. UEI’s XMP-2 technology, an extensible multimedia protocol, enables the two-way wireless communication between the universal remote control and the AV device, allowing IR code data and configuration settings to be sent to the remote control from the AV equipment. The user identifies the type and brand of the device to be controlled and then the UEI QuickSet application performs a test to confirm that the remote is controlling the equipment correctly. UEI QuickSet also saves the user-defined remote setting, enabling consumers to quickly transfer the setup configuration to a replacement remote. When the AV device has network connectivity, the IR code database and application may be continually updated to include the latest devices and functions.</w:t>
      </w:r>
    </w:p>
    <w:p>
      <w:pPr>
        <w:spacing w:after="0" w:line="5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During 2010, we released an upgrade to our UEI QuickSet application. The latest version of UEI QuickSet, version 1.5, utilizes data transmitted over HDMI to automatically detect a connected device and then determine and download the correct code into the remote control without the need for the user to enter in any additional information. The user does not need to know the model number or brand to setup the device in the remote. Any new device that is connected is recognized. Consumers can easily and quickly set-up their remotes to control multiple devices.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during 2010, we developed our Low Energy IR Engine (“LowEIR”). LowEIR uses a combination of silicon, hardware, and software to substantially reduce energy usage in IR remotes without sacrificing performance. With LowEIR, battery life may be extended by years on traditional two battery infrared remote control designs. LowEIR is compatible with all IR protocols and is especially efficient with our XMP</w:t>
      </w:r>
      <w:r>
        <w:rPr>
          <w:rFonts w:ascii="Arial" w:cs="Arial" w:eastAsia="Arial" w:hAnsi="Arial"/>
          <w:sz w:val="15"/>
          <w:szCs w:val="15"/>
          <w:color w:val="auto"/>
        </w:rPr>
        <w:t>®</w:t>
      </w:r>
      <w:r>
        <w:rPr>
          <w:rFonts w:ascii="Arial" w:cs="Arial" w:eastAsia="Arial" w:hAnsi="Arial"/>
          <w:sz w:val="18"/>
          <w:szCs w:val="18"/>
          <w:color w:val="auto"/>
        </w:rPr>
        <w:t xml:space="preserve"> and XMP-2 protocols. Implementation does not require any modifications to the target device and is scalable to support a wide range of performance requirements. Because LowEIR requires less energy, and potentially fewer batteries, this may reduce waste and tariffs, making it both an environmentally friendly option for consumers and a financially sound solution for device manufacturers and system operators.</w:t>
      </w:r>
    </w:p>
    <w:p>
      <w:pPr>
        <w:spacing w:after="0" w:line="8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Universal Remote Application Programming Interface (“UAPI”) is integrated into a remote and its target device, such as set-top box or television, allowing device manufacturers to extend existing remote control standards to deliver an enhanced consumer control experience. UAPI greatly reduces the time required to design and develop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advanced, custom features that require synchronization between the remote and target device. UAPI enables support for a variety of new interface technologies, such as capacitive touch or optical finger navigation. In addition, UAPI has native support for the UEI QuickSet application which delivers simplified device setup experience. UAPI focuses on consumer-centric applications around the home theater experience and delivers a risk-free path for OEMs to develop solutions that extend the interface into the hands of the user.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distribution methods for our remote control devices are dependent on the sales channel. We distribute remote control devices directly to subscription broadcasters and OEMs, both domestically and internationally. In the North American retail channel, we license our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brand name to Audiovox, who in turn sells products directly to certain domestic retailers and third party distributors. Outside of North America, we sell our wireless control devices and AV accessories under the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and private label brand names to retailers through our international subsidiaries. We utilize third party distributors for the retail channel in countries where we do not have subsidiaries.</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IR codes. We ship integrated circuits, on which our software and IR code database is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available through certain programs. We also make available a free web-based support resource, www.urcsupport.com, designed specifically for subscription broadcasters. This solution offers interactive online demos and tutorials to help users easily setup their remote and commands, and as a result reduces call volume at customer support centers. Additionally, ActiveSupport</w:t>
      </w:r>
      <w:r>
        <w:rPr>
          <w:rFonts w:ascii="Arial" w:cs="Arial" w:eastAsia="Arial" w:hAnsi="Arial"/>
          <w:sz w:val="14"/>
          <w:szCs w:val="14"/>
          <w:color w:val="auto"/>
        </w:rPr>
        <w:t>®</w:t>
      </w:r>
      <w:r>
        <w:rPr>
          <w:rFonts w:ascii="Arial" w:cs="Arial" w:eastAsia="Arial" w:hAnsi="Arial"/>
          <w:sz w:val="17"/>
          <w:szCs w:val="17"/>
          <w:color w:val="auto"/>
        </w:rPr>
        <w:t>, a call center, provides customer interaction management services from service and support to retention. Pre-repair calls, post-install surveys, and inbound calls to customers provide greater bottom-line efficiencies. We continue to review our programs to determine their value in improving the sales of our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twenty-four international subsidiaries are the following:</w:t>
      </w:r>
    </w:p>
    <w:p>
      <w:pPr>
        <w:spacing w:after="0" w:line="117" w:lineRule="exact"/>
        <w:rPr>
          <w:sz w:val="20"/>
          <w:szCs w:val="20"/>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Universal Electronics B.V., established in the Netherlands;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One For All GmbH, established in Germany;</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One for All Iberia S.L., established in Spain;</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One For All UK Ltd., established in the United Kingdom;</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One For All Argentina S.R.L., established in Argentina;</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One For All France S.A.S., established in France;</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Universal Electronics Italia S.R.L. established in Italy;</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UE Singapore Pte. Ltd., established in Singapore;</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UEI Hong Kong Pte. Ltd., established in Hong Kong</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UEI Electronics Pte. Ltd., established in India;</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UEI Cayman Inc., established in the Cayman Islands;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Ultra Control Consumer Electronics GmbH, established in Germany;</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UEI Hong Kong Holdings Co. Pte. Ltd., established in Hong Kong;</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Universal Electronics (Shenzhen) LLC., established in the PRC;</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UEI Brasil Controles Remotos Ltda., established in Brazil;</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Enson Assets Ltd., established in the British Virgin Islands;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C.G. Group Ltd., established in the British Virgin Islands;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C.G. Development Ltd., established in Hong Kong;</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Gemstar Technology (China) Co. Ltd., established in the PRC;</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Gemstar Technology (Yang Zhou) Co. Ltd., established in the PRC;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C.G. Technology Ltd., established in Hong Kong;</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Gemstar Polyfirst Ltd., established in Hong Kong;</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C.G. Timepiece Ltd., established in Hong Kong;</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C.G. Asia Ltd., established in the British Virgin Islands.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utilize our own manufacturing plants and third-party manufacturers and suppliers primarily located within the PRC to produce our wireless control products. In 2010, Computime and Samsung each provided more than 10% of our total inventory purchases. They collectively provided 34.2% of our total inventory purchases for 2010. In 2009 and 2008, Computime, C.G. Development, Samsung and Samjin each provided more than 10% of our total inventory purchases. They collectively provided 77.4% and 73.1% of our total inventory purchases for 2009 and 2008, respectively.</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Even though we own and operate two factories in the PRC, we continue to evaluate additional contract manufacturers and sources of supply. During 2010, we utilized multiple contract manufacturers and maintained duplicate tooling for certain of our products. Where possible we utilize standard parts and components, which are available from multiple sources. 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We expect this pattern to be repeated during 2011.</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“ITEM 8. FINANCIAL STATEMENTS AND SUPPLEMENTARY DATA — Notes to the Consolidated Financial Statements — Note 22” for further details regarding our quarterly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principal competitors in the subscription broadcasting market are Philips Consumer Electronics, Universal Remote Control and Contec. In the international retail and private label markets for wireless controls we compete with Philips Consumer Electronics, Logitech, Ruwido and Sony, as well as various manufacturers of wireless controls in Asia. Our primary competitors in the OEM market are the original equipment manufacturers themselves and wireless control manufacturers in Asia. We compete against Universal Remote Control, Logitech, and Ruwido in the IR database market. Our North American retail products compete against Universal Remote Control, Philips Consumer Electronics, Logitech, Sony and many others. We compete in our markets on the basis of product quality, features, price, intellectual property and customer support. We believe that we will need to continue to introduce new and innovative products to remain competitive and to recruit and retain competent personnel to successfully accomplish our future objectives.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2010, our engineering efforts focused on the following:</w:t>
      </w:r>
    </w:p>
    <w:p>
      <w:pPr>
        <w:spacing w:after="0" w:line="117"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broadening our product portfolio;</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modifying existing products and technologies to improve features and lower costs;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formulating measures to protect our proprietary technology and general know-how;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improving our software so that we may pre-program more codes into our memory chips;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simplifying the set-up and upgrade process for our wireless control products;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updating our library of IR codes to include IR codes for new features and devices introduced worldwide.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Our engineering efforts included the development of new remote controls that combine consumer friendly interfaces and intuitive setup with advance functions. These new products included our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SmartControl and Dolphin™ remotes released during 2010. The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SmartControl enables the user to control multiple devices without the need to switch between devices on the remote control. The </w:t>
      </w:r>
      <w:r>
        <w:rPr>
          <w:rFonts w:ascii="Arial" w:cs="Arial" w:eastAsia="Arial" w:hAnsi="Arial"/>
          <w:sz w:val="18"/>
          <w:szCs w:val="18"/>
          <w:i w:val="1"/>
          <w:iCs w:val="1"/>
          <w:color w:val="auto"/>
        </w:rPr>
        <w:t>One For All</w:t>
      </w:r>
      <w:r>
        <w:rPr>
          <w:rFonts w:ascii="Arial" w:cs="Arial" w:eastAsia="Arial" w:hAnsi="Arial"/>
          <w:sz w:val="18"/>
          <w:szCs w:val="18"/>
          <w:color w:val="auto"/>
        </w:rPr>
        <w:t>® SmartControl also leverages UEI SimpleSet technology and may be setup by simply identifying the target device type and brand. The Dolphin™ point-and-click, universal remote control addresses the connected and 3-D television markets. Equipped with advanced motion-detection technology, the ergonomic Dolphin controller enables fast, intuitive navigation through multiple menus, channels, or content selections by translating the user’s natural hand movements into on-screen cursor movements.</w:t>
      </w:r>
    </w:p>
    <w:p>
      <w:pPr>
        <w:spacing w:after="0" w:line="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2010, our engineering efforts also focused on developing solutions for our customers. These new products included our Universal Remote Application Programming Interface (“UAPI”) and Low Energy IR Engine (“LowEIR”). UAPI is integrated into a remote and its target device, allowing device manufacturers to significantly reduce the time required to design and develop advanced, custom features that require synchronization between the remote and target device. UAPI enables support for a variety of new interface technologies, such as capacitive touch or optical finger navigation and has native support for the UEI QuickSet application which delivers simplified device setup experience. Our LowEIR uses a combination of silicon, hardware, and software to significantly reduce energy usage in IR remotes without sacrificing performance. Because LowEIR requires less energy, and potentially fewer batteries, this may reduce waste and tariffs, making it both an environmentally friendly option for consumers and a financially sound solution for device manufacturers and system operators.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continued to improve our existing products during 2010. We released several software updates to our web based EZ-RC™ Remote Control Setup Wizard application. We also released an upgrade to our UEI QuickSet application during 2010. The latest version of UEI QuickSet, version 1.5, utilizes data transmitted over HDMI to automatically detect a connected device and then determine and download the correct code into the remote control without the need for the user to enter in any additional information.</w:t>
      </w:r>
    </w:p>
    <w:p>
      <w:pPr>
        <w:spacing w:after="0" w:line="7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and software tools. We also hired 116 of Zilog’s sales and engineering personnel, including all 107 of Zilog’s personnel located in India. The engineering personnel acquired from Zilog are focused on the capture of IR codes and the development of firmware leading to more complete solutions to customer needs, the conceptual formulation and design of possible alternatives, as well as the testing of process and product cost improvements. These efforts will enable us to provide customers with reductions in design cycle times, lower costs, and improvements in integrated circuit design, product quality and overall functional performance. These efforts will also enable us to further penetrate existing markets, pursue new markets more effectively and expand our business.</w:t>
      </w:r>
    </w:p>
    <w:p>
      <w:pPr>
        <w:spacing w:after="0" w:line="5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xml:space="preserve">Engineering </w:t>
            </w:r>
            <w:r>
              <w:rPr>
                <w:rFonts w:ascii="Arial" w:cs="Arial" w:eastAsia="Arial" w:hAnsi="Arial"/>
                <w:sz w:val="15"/>
                <w:szCs w:val="15"/>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engineering, research and development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Research and development expense for the years ended December 31, 2010, 2009, and 2008 includes $0.5 million, $0.4 million, and $0.4 million of stock-based compensation expense, respectively.</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Engineering costs are included in SG&amp;A.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 enacted the Waste Electrical and Electronic Equipment Directive (“WEEE”), which makes producers of electrical goods, including computers and printers, financially responsible for specified collection, recycling, treatment and disposal of past and future covered products. During 2007, the majority of our European subsidiaries became WEEE compliant. Our Italian subsidiary became compliant in February 2008. Similar legislation has been or may be enacted in other jurisdictions, including in the United States, Canada, Mexico, PRC and Japan.</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2010, 2009 and 2008,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At December 31, 2010, we employed 1,843 employees, of which 430 worked in engineering and research and development, 85 in sales and marketing, 118 in consumer service and support, 986 in operations and warehousing and 224 in executive and administrative functions.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November 4, 2010, we acquired Enson Assets Limited. As a result of this transaction, we acquired 1,255 of our 1,843 employees, of which 157 worked in engineering and research and development, 17 in sales and marketing, 933 in operations and warehousing and 148 in executive and administrative functions. In addition, Enson has an additional 8,895 factory workers contracted through agency agreements.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 of our employees are subject to a collective bargaining agreement or represented by a union. We consider our employee relations to be good.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2010, 2009 and 2008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make available free of charge through the website our annual report on Form 10-K, our quarterly reports on Form 10-Q, our current reports on Form 8-K and any amendments to these reports as soon as reasonably practical after we electronically file such reports with the Securities and Exchange Commission. These reports may be found on our website at www.uei.com under the caption “SEC Filings” on the Investor page. Investors may also obtain copies of our SEC filings from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15"/>
          <w:szCs w:val="15"/>
          <w:color w:val="auto"/>
        </w:rPr>
        <w:t>(1)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16,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684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color w:val="auto"/>
              </w:rPr>
              <w:t>Paul D. Arling</w:t>
            </w:r>
          </w:p>
        </w:tc>
        <w:tc>
          <w:tcPr>
            <w:tcW w:w="120" w:type="dxa"/>
            <w:vAlign w:val="bottom"/>
          </w:tcPr>
          <w:p>
            <w:pPr>
              <w:spacing w:after="0"/>
              <w:rPr>
                <w:sz w:val="16"/>
                <w:szCs w:val="16"/>
                <w:color w:val="auto"/>
              </w:rPr>
            </w:pPr>
          </w:p>
        </w:tc>
        <w:tc>
          <w:tcPr>
            <w:tcW w:w="400" w:type="dxa"/>
            <w:vAlign w:val="bottom"/>
          </w:tcPr>
          <w:p>
            <w:pPr>
              <w:jc w:val="center"/>
              <w:spacing w:after="0" w:line="195" w:lineRule="exact"/>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Paul J.M. Bennett</w:t>
            </w:r>
          </w:p>
        </w:tc>
        <w:tc>
          <w:tcPr>
            <w:tcW w:w="5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Managing Director, Europe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Mark S. Kopaskie</w:t>
            </w:r>
          </w:p>
        </w:tc>
        <w:tc>
          <w:tcPr>
            <w:tcW w:w="5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General Manager U.S. Operations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Richard A. Firehammer, Jr.</w:t>
            </w:r>
          </w:p>
        </w:tc>
        <w:tc>
          <w:tcPr>
            <w:tcW w:w="5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Bryan M. Hackworth</w:t>
            </w:r>
          </w:p>
        </w:tc>
        <w:tc>
          <w:tcPr>
            <w:tcW w:w="5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pursuant to Instruction 3 to Item 401(b) of Regulation S-K.</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COO in September 1998, was promoted to Chief Executive Officer in October 2000 and appointed as Chairman in July 2001. At the 2010 Annual Meeting of Stockholders, Mr. Arling was re-elected as our Chairman to serve until the 2011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Mark S. Kopaskie </w:t>
      </w:r>
      <w:r>
        <w:rPr>
          <w:rFonts w:ascii="Arial" w:cs="Arial" w:eastAsia="Arial" w:hAnsi="Arial"/>
          <w:sz w:val="17"/>
          <w:szCs w:val="17"/>
          <w:color w:val="auto"/>
        </w:rPr>
        <w:t>is our Executive Vice President and General Manager, U.S. Operations. He rejoined us in September 2006 as our Senior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 October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to Chief Financial Officer in August 2006. Mr. Hackworth</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2004 as Corporate Controller and subsequently assumed the role of Chief Accounting Officer in May 2006. Before joining us in 2004, he spent five years at Mars, Inc.,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 xml:space="preserve">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13"/>
          <w:szCs w:val="13"/>
          <w:color w:val="auto"/>
        </w:rPr>
        <w:t>®</w:t>
      </w:r>
      <w:r>
        <w:rPr>
          <w:rFonts w:ascii="Arial" w:cs="Arial" w:eastAsia="Arial" w:hAnsi="Arial"/>
          <w:sz w:val="16"/>
          <w:szCs w:val="16"/>
          <w:color w:val="auto"/>
        </w:rPr>
        <w:t xml:space="preserve"> Brand) and various other financial management positions. Prior to joining Mars Inc.,</w:t>
      </w:r>
    </w:p>
    <w:p>
      <w:pPr>
        <w:spacing w:after="0"/>
        <w:rPr>
          <w:sz w:val="20"/>
          <w:szCs w:val="20"/>
          <w:color w:val="auto"/>
        </w:rPr>
      </w:pPr>
      <w:r>
        <w:rPr>
          <w:rFonts w:ascii="Arial" w:cs="Arial" w:eastAsia="Arial" w:hAnsi="Arial"/>
          <w:sz w:val="18"/>
          <w:szCs w:val="18"/>
          <w:color w:val="auto"/>
        </w:rPr>
        <w:t>Mr. Hackworth spent six years at Deloitte &amp; Touche LLP as an auditor, specializing in the manufacturing and retail industries.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in “ITEM 7. MANAGEMENT’S DISCUSSION AND ANALYSIS OF FINANCIAL CONDITION AND RESULTS OF OPERATIONS,” as well as those factors discussed elsewhere in this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of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 our inability to add profitable complementary products which are accepted by the marketplace; our inability to attract and retain quality workforce at adequate levels in all regions of the world, and particularly Asia; our inability to continue to maintain our operating costs at acceptable levels through our cost containment efforts; our inability to realize tax benefits from various tax projects initiated from time to time; our inability to continue selling our products or licensing our technologies at higher or profitable margins; our inability to obtain orders or maintain our order volume with new and existing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business operations may be adversely affected by the current and future political environment in the PRC. The PRC has operated as a socialist state since the mid-1900s and is controlled by the PRC’s Communist Party. The Chinese government exerts substantial influence and control over the manner in which we must conduct our business activities. The PRC has only permitted provincial and local economic autonomy and private economic activities since 1988.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property and other matters. Under current leadership, the government of the PRC has been pursuing economic reform policies that encourage private economic activity and greater economic decentralization. There is no assurance, however, that the government of the PRC will continue to pursue these policies, or that it will not significantly alter these policies from time to time without notice.</w:t>
      </w:r>
    </w:p>
    <w:p>
      <w:pPr>
        <w:spacing w:after="0" w:line="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PRC’s economy is in a transition from a planned economy to a market oriented economy subject to five-year and annual plans adopted by the government that set national economic development goals. Policies of the PRC government may have significant effects on the economic conditions of the PRC. The PRC government has confirmed that economic development will follow the model of a market economy. Under this direction, we believe that the PRC will continue to strengthen its economic and trading relationships with foreign countries and business development in the PRC will follow market forces. While we believe that this trend will continue, there can be no assurance that this will be the case.</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change in policies by the PRC government may adversely affect our interests by, among other factors: changes in laws, regulations or the interpretation thereof, confiscatory taxation, restrictions on currency conversion, imports or sources of supplies, or the expropriation or nationalization of private enterprises. Although the PRC government has been pursuing economic reform policies for more than two decades, there is no assurance that the government will continue to pursue such policies or that such policies may not be significantly altered, especially in the event of a change in leadership, social or political disruption, or other circumstances affecting the PRC’s political, economic and social life.</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PRC laws and regulations governing our current business operations are sometimes vague and uncertain. The PRC’s legal system is a civil law system based on written statutes, in which decided legal cases have little value as precedents unlike the common law system prevalent in the United States. 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The Chinese government has been developing a comprehensive system of commercial laws, and considerable progress has been made in introducing laws and regulations dealing with economic matters such as foreign investment, corporate organization and governance, labor and social insurance, commerce, taxation and trade. However, because these laws and regulations are relatively new, and because of the limited volume of published cases and judicial interpretation and their lack of force as precedents, interpretation and enforcement of these laws and regulations involve significant uncertainties. New laws and regulations that affect existing and proposed future businesses may also be applied retroactively. We are considered a foreign person or foreign funded enterprise under PRC laws, and as a result, we are required to comply with PRC laws and regulations. We cannot predict what effect the interpretation of existing or new PRC laws or regulations may have on our businesses. If the relevant authorities find that we are in violation of PRC laws or regulations, they would have broad discretion in dealing with such a violation, including, without limitation:</w:t>
      </w:r>
    </w:p>
    <w:p>
      <w:pPr>
        <w:spacing w:after="0" w:line="61" w:lineRule="exact"/>
        <w:rPr>
          <w:sz w:val="20"/>
          <w:szCs w:val="20"/>
          <w:color w:val="auto"/>
        </w:rPr>
      </w:pPr>
    </w:p>
    <w:p>
      <w:pPr>
        <w:ind w:left="1000" w:hanging="317"/>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levying fines;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revoking our business and other licenses;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requiring that we restructure our ownership or operations; and</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requiring that we discontinue any portion or all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21, 2005, the PRC government changed its decade-old policy of pegging the value of the Chinese Yuan Renminbi to the U.S. dollar. Under the new policy, the Chinese Yuan Renminbi is permitted to fluctuate within a narrow and managed band against a basket of certain foreign currencies. This change in policy has resulted in an approximately 23.1% appreciation of the Chinese Yuan Renminbi against the U.S. dollar as of December 31, 2010. While the international reaction to the Chinese Yuan Renminbi revaluation has generally been positive, there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remains significant international pressure on the PRC government to adopt an even more flexible currency policy, which could result in a further and more significant appreciation of the Chinese Yuan Renminbi against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PRC legal and judicial system may negatively impact foreign investors. In 1982, the National People’s Congress amended the Constitution of the PRC to authorize foreign investment and guarantee the “lawful rights and interests” of foreign investors in the PRC. However, the PRC’s system of laws is not yet comprehensive. The legal and judicial systems in the PRC are still rudimentary, and enforcement of existing laws is inconsistent. The PRC judiciary is relatively inexperienced in enforcing the laws that do exist, resulting in judicial decision-making that is more uncertain than would be expected in a more developed country. It may be impossible to obtain swift and equitable enforcement of laws that do exist, or to obtain enforcement of the judgment of one court by a court of another jurisdiction. The PRC’s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promulgation of new laws, changes to existing laws and the pre-emption of local regulations by national laws may adversely affect foreign investors. However, the trend of legislation over the last 20 years has significantly enhanced the protection of foreign investment and allowed for more control by foreign parties of their investments in Chinese enterprises. There can be no assurance that a change in leadership, social or political disruption, or unforeseen circumstances affecting the PRC’s political, economic or social life, will not affect the PRC government’s ability to continue to support and pursue these reforms. Such a shift may have a material adverse effect on our business and prospects.</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practical effect of the PRC legal system on our business operations in the PRC may be viewed from two separate but intertwined considerations. First, as a matter of substantive law, the Foreign Invested Enterprise laws provide significant protection from government interference. In addition, these laws guarantee the full enjoyment of the benefits of corporate Articles and contracts to Foreign Invested Enterprise participants. These laws, however, do impose standards concerning corporate formation and governance, which are qualitatively different from the general corporation laws of the United States. Similarly, the PRC accounting laws mandate accounting practices, which are not consistent with U.S. generally accepted accounting principles. PRC’s accounting laws require that an annual “statutory audit” be performed in accordance with PRC accounting standards and that the books of account of Foreign Invested Enterprises are maintained in accordance with Chinese accounting laws. Article 14 of the People’s Republic of China Wholly Foreign-Owned Enterprise Law requires a wholly foreign-owned enterprise to submit certain periodic fiscal reports and statements to designated financial and tax authorities, at the risk of business license revocation. While the enforcement of substantive rights may appear less clear than United States procedures, the Foreign Invested Enterprises and Wholly Foreign-Owned Enterprises are Chinese registered companies, which enjoy the same status as other Chinese registered companies in business-to-business dispute resolution. Any award rendered by an arbitration tribunal is enforceable in accordance with the United Nations Convention on the Recognition and Enforcement of Foreign Arbitral Awards (1958). Therefore, as a practical matter, although no assurances can be given, the Chinese legal infrastructure, while different in operation from its United States counterpart, should not present any significant impediment to the operation of Foreign Invested Enterprises.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Presently, the vast majority of workers at our newly acquired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In addition, as the PRC market continues to open up and grow, with the advent of more companies opening plants and businesses in the PRC, we could experience an increase in competing for the same workers, resulting in either an inability to attract and retain an adequate number of qualified workers or an increase in our employment costs to obtain these workers.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in the PRC</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 term land lease that is common in the PRC.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recurrence of severe acute respiratory syndrome, or SARS, or another widespread public health problem, could harm our operations.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 renewed outbreak of SARS or another widespread public health problem (such as bird flu) in the PRC, could significantly harm our operations. Our operations may be impacted by a number of health-related factors, including quarantines or closures of some of our offices that would adversely disrupt our operations. Any of the foregoing events or other unforeseen consequences of public health problems could significantly harm our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the Recent Financial Crisis and Severe Tightening in the Global Credit Markets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General economic conditions, both domestic and international, have an impact on our business and financial results. The ongoing global financial crisis affecting the banking system and financial markets has resulted in a severe tightening in the credit markets, a low level of liquidity in many financial markets, and extreme volatility in credit and equity markets. This financial crisis may impact our business in a number of ways, including: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if the financial crisis results in insolvencies for our customers, it may adversely impact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11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Credit market conditions may slow our collection efforts as customers experience increased difficulty in obtaining requisite financing, leading to higher than normal accounts receivable balances and longer DSOs. This may result in greater expense associated with collection efforts and increased bad debt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third-party dealers, distributors and retailers</w:t>
      </w:r>
    </w:p>
    <w:p>
      <w:pPr>
        <w:spacing w:after="0" w:line="11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the significant decrease in available credit that has resulted from the current financial crisis.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the financial crisis,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2010, Computime and Samsung each provided over 10% of our total inventory purchases. Purchases from these suppliers collectively amounted to $67.0 million, or 34.2%, of our total inventory purchases in 2010. During 2009 and 2008, Computime, C.G. Development, Samsung, and Samjin each provided over 10% of our total inventory purchases. Purchases from these suppliers collectively amounted to $147.8 million, or 77.4%, of our total inventory purchases in 2009. Purchases from these suppliers collectively amounted to $135.5 million, or 73.1%, of total inventory purchases during 2008.</w:t>
      </w:r>
    </w:p>
    <w:p>
      <w:pPr>
        <w:spacing w:after="0" w:line="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primarily three sources. To reduce our dependence on our integrated circuits suppliers we continually seek additional sources. We generally maintain inventories of our integrated circuits, which may be used in part to mitigate, but not eliminate, delays resulting from supply interruptions.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after our acquisition of the factories in the PRC, third-party manufacturers located in the PRC will continue to manufacture a majority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and private label customers. We also supply our products to our wholly owned, non-U.S. subsidiaries and to independent foreign distributors, who in turn distribute our products worldwide, with Europe and Asia currently representing our principal foreign markets.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each of the years ended December 31, 2010, 2009 and 2008, we had sales to DIRECTV and its sub-contractors and to Comcast Communications Inc. and its sub-contractors, that when combined, each exceeded 10% of our net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sales. The loss of either of these customers or of any other key customer, either in the United States or abroad or our inability to maintain order volume with these customers, may have an adverse effect on our operating results, financial condition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Warranty Claim Costs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rely on third-party companies to service a large portion of our customer warranty claims. If the cost to service these warranty claims increases unexpectedly, or these outside services cease to be available, we may be required to increase our estimate of future claim costs, which may have a material adverse effect on our operating results, financial condition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employ a small number of personnel to develop and market additional products that are part of the Nevo® platform as well as products that are based on the Zigbee®, Z-Wave® and other radio frequency technology. Even after these hires, we continue to use outside resources to assist us in the development of these products. While we believe that such outside services will continue to be available to us, if they cease to be available, the development of these products may be substantially delayed, which may have a material adverse effect on our operating results, financial condition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may be obtained on commercially reasonable terms; however, there can be no guarantee that such licenses may be obtained on such terms or at all. Because of technological changes in the wireless and home control industry, current extensive patent coverage, and the rapid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 xml:space="preserve">rate of issuance of new patents, it is possible certain components of our products and business methods may unknowingly infringe upon the patents of others. </w:t>
      </w:r>
      <w:r>
        <w:rPr>
          <w:rFonts w:ascii="Arial" w:cs="Arial" w:eastAsia="Arial" w:hAnsi="Arial"/>
          <w:sz w:val="18"/>
          <w:szCs w:val="18"/>
          <w:i w:val="1"/>
          <w:iCs w:val="1"/>
          <w:u w:val="single" w:color="auto"/>
          <w:color w:val="auto"/>
        </w:rPr>
        <w:t>Potential for Litigation</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Risks of doing business internationally may adversely affect our sales, operations, earnings and cash flows due to a variety of factors, including, but not limited to:</w:t>
      </w:r>
    </w:p>
    <w:p>
      <w:pPr>
        <w:spacing w:after="0" w:line="62" w:lineRule="exact"/>
        <w:rPr>
          <w:sz w:val="20"/>
          <w:szCs w:val="20"/>
          <w:color w:val="auto"/>
        </w:rPr>
      </w:pPr>
    </w:p>
    <w:p>
      <w:pPr>
        <w:ind w:left="340" w:right="380" w:hanging="332"/>
        <w:spacing w:after="0" w:line="277"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a country or region’s economic or political conditions, including inflation, recession, interest rate fluctuations, forced political actions or elections, coops, and actual or anticipated military conflicts;</w:t>
      </w:r>
    </w:p>
    <w:p>
      <w:pPr>
        <w:spacing w:after="0" w:line="75" w:lineRule="exact"/>
        <w:rPr>
          <w:rFonts w:ascii="Arial" w:cs="Arial" w:eastAsia="Arial" w:hAnsi="Arial"/>
          <w:sz w:val="18"/>
          <w:szCs w:val="18"/>
          <w:b w:val="1"/>
          <w:bCs w:val="1"/>
          <w:color w:val="auto"/>
        </w:rPr>
      </w:pPr>
    </w:p>
    <w:p>
      <w:pPr>
        <w:ind w:left="340" w:right="180" w:hanging="332"/>
        <w:spacing w:after="0" w:line="277"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British Pound, and the Chinese Yuan Renminbi which contribute to variations in sales of products and services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340" w:right="340" w:hanging="332"/>
        <w:spacing w:after="0" w:line="277"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Renminbi , which contribute to variances in costs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30" w:lineRule="exact"/>
        <w:rPr>
          <w:rFonts w:ascii="Arial" w:cs="Arial" w:eastAsia="Arial" w:hAnsi="Arial"/>
          <w:sz w:val="18"/>
          <w:szCs w:val="18"/>
          <w:b w:val="1"/>
          <w:bCs w:val="1"/>
          <w:color w:val="auto"/>
        </w:rPr>
      </w:pPr>
    </w:p>
    <w:p>
      <w:pPr>
        <w:ind w:left="340" w:right="320" w:hanging="332"/>
        <w:spacing w:after="0" w:line="277"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related to making foreign direct investments, which may affect our ability to obtain favorable terms for components or lead to penalties or restrictions;</w:t>
      </w:r>
    </w:p>
    <w:p>
      <w:pPr>
        <w:spacing w:after="0" w:line="75"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 and</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Securities and Exchange Commission. Any such action may adversely affect our financial results and the market price of our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Generally Accepted Accounting Principles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These principles are subject to revision and interpretation by various governing bodies, including the FASB and the SEC. A change in current accounting standards or their interpretation may have a significant adverse effect on our operating results, financial condition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Provisions or Income Tax Liabilities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income taxes in the United States and numerous foreign jurisdictions. Our tax liabilities are affected by the amounts we charge for inventory and other items in intercompany transactions.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Inability to Use Deferred Tax Assets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deferred tax assets that we may not be able to use under certain circumstances. If we are unable to generate sufficient future taxable income in certain jurisdictions, or if there is a significant change in the actual effective tax rates or a significant change in the time period within which the underlying temporary differences become taxable or deductible, we may be required to increase our valuation allowances against our deferred tax assets resulting in an increase in our effective tax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With the passage of the European Union’s Restriction of Hazardous Substances Directive, which makes producers of electrical goods responsible for collection, recycling, treatment and disposal of recovered products, similar restrictions in the PRC effective March 2007 and the European Union’s Waste Electrical and Electronic Equipment Directive, we may face significant costs and liabilities in complying with these laws and any future laws and regulations or enforcement policies that may have a material adverse effect upon our operating results, financial condition,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currently derive substantial revenue from the sale of wireless remote controls based on IR technology. Other control technologies exist or may be developed that may compete with IR. In addition, we develop and maintain our own database of IR and RF codes. There are competing IR and RF libraries offered by companies that we compete with in the marketplace. The advantage that we may have compared to our competitors is difficult to measure. If other wireless control technology gains acceptance and starts to be integrated into home electronics devices currently controlled through our IR remote controllers, demand for our products may decrease, resulting in decreased operating results, financial condition,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ability to achieve growth in the future will depend, in part, on our success at recruiting, hiring, and retaining highly skilled engineering, managerial, operational, sales and marketing personnel. Our corporate office, including our advanced technology engineering group, is based in Southern California. The high cost of living in Southern California makes it difficult to attract talent from outside the region and may also put pressure on overall employment related expense. Additionally, our competitors seek to recruit and hire the same key personnel. Therefore, if we fail to stay competitive in salary and benefits within the industry it may negatively impact our ability to hire and retain key personnel. The inability to recruit, hire, and retain qualified personnel in a timely manner, or the loss of any key personnel, may make it difficult to meet key objectives, such as timely and effective product introductions.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Even after our recent acquisition of the PRC factories, we will continue to rely on third-party manufacturers to build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ship products from our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4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we have an exposure to oil prices due to the use of oil-based materials in our products, which are primarily the plastics and other components that we include in our finished products, the cost of delivery and freight, which would be passed on by the carriers that we use in the form of higher rates, political unrest in oil producing contries that could casue a cessation of production and/or delivery of oil resulting in higher costs. We record freight-in as a cost of sales and freight-out in operating expenses. Rising oil prices may have an adverse effect on cost of sales and operating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permanent withdrawal from a product or market, damage to our reputation, increased inventory costs, or product reengineering expenses, any of which may have a material impact on our operating results, financial condition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generally subject to specific accounting guidelines that may adversely affect our financial condition, results of operations and cash flow. For instance, business acquisitions must be accounted for as purchases and, because most technology-related acquisitions involve the purchase of significant intangible assets, these acquisitions typically result in substantial amortization charges, which may have a material adverse effect on our results of operations. There can be no assurance that any such strategic business transactions will occur or, if such transactions do occur, that the integration will be successful or that the customer bases, products or technologies will generate sufficient revenue to offset the associated costs or effects.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the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 regarding future events and the financial performance of the company, including those involving:</w:t>
      </w:r>
    </w:p>
    <w:p>
      <w:pPr>
        <w:spacing w:after="0" w:line="10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benefits the company expects as a result of the development and success of products and technologies, including new products and technologies;</w:t>
      </w:r>
    </w:p>
    <w:p>
      <w:pPr>
        <w:spacing w:after="0" w:line="153" w:lineRule="exact"/>
        <w:rPr>
          <w:rFonts w:ascii="Arial" w:cs="Arial" w:eastAsia="Arial" w:hAnsi="Arial"/>
          <w:sz w:val="16"/>
          <w:szCs w:val="16"/>
          <w:b w:val="1"/>
          <w:bCs w:val="1"/>
          <w:color w:val="auto"/>
        </w:rPr>
      </w:pPr>
    </w:p>
    <w:p>
      <w:pPr>
        <w:ind w:left="340" w:hanging="332"/>
        <w:spacing w:after="0" w:line="277"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benefits expected by entering into emerging markets such as Asia and Brazil, without which, we may not be able to recover the costs we incur to enter into such markets;</w:t>
      </w:r>
    </w:p>
    <w:p>
      <w:pPr>
        <w:spacing w:after="0" w:line="75"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recently announced new contracts with new and existing customers and new market penetrations;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growth expected as a result of the digital from analog conversion;</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expected continued growth in digital TVs, PVRs and overall growth in the company’s industry; and</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effects we may experience due to the continued softness in worldwide markets driven by the current economic environment.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on the filing date of this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Cypress, California. We utilize the following office facilities: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46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Purpose or Use</w:t>
            </w:r>
          </w:p>
        </w:tc>
        <w:tc>
          <w:tcPr>
            <w:tcW w:w="120" w:type="dxa"/>
            <w:vAlign w:val="bottom"/>
          </w:tcPr>
          <w:p>
            <w:pPr>
              <w:spacing w:after="0"/>
              <w:rPr>
                <w:sz w:val="14"/>
                <w:szCs w:val="14"/>
                <w:color w:val="auto"/>
              </w:rPr>
            </w:pPr>
          </w:p>
        </w:tc>
        <w:tc>
          <w:tcPr>
            <w:tcW w:w="1600" w:type="dxa"/>
            <w:vAlign w:val="bottom"/>
          </w:tcPr>
          <w:p>
            <w:pPr>
              <w:jc w:val="right"/>
              <w:ind w:right="502"/>
              <w:spacing w:after="0"/>
              <w:rPr>
                <w:sz w:val="20"/>
                <w:szCs w:val="20"/>
                <w:color w:val="auto"/>
              </w:rPr>
            </w:pPr>
            <w:r>
              <w:rPr>
                <w:rFonts w:ascii="Arial" w:cs="Arial" w:eastAsia="Arial" w:hAnsi="Arial"/>
                <w:sz w:val="14"/>
                <w:szCs w:val="14"/>
                <w:b w:val="1"/>
                <w:bCs w:val="1"/>
                <w:color w:val="auto"/>
              </w:rPr>
              <w:t>Square</w:t>
            </w:r>
          </w:p>
        </w:tc>
        <w:tc>
          <w:tcPr>
            <w:tcW w:w="120" w:type="dxa"/>
            <w:vAlign w:val="bottom"/>
          </w:tcPr>
          <w:p>
            <w:pPr>
              <w:spacing w:after="0"/>
              <w:rPr>
                <w:sz w:val="14"/>
                <w:szCs w:val="14"/>
                <w:color w:val="auto"/>
              </w:rPr>
            </w:pPr>
          </w:p>
        </w:tc>
        <w:tc>
          <w:tcPr>
            <w:tcW w:w="28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Feet</w:t>
            </w:r>
          </w:p>
        </w:tc>
        <w:tc>
          <w:tcPr>
            <w:tcW w:w="120" w:type="dxa"/>
            <w:vAlign w:val="bottom"/>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rPr>
              <w:t>Cypress, California</w:t>
            </w:r>
          </w:p>
        </w:tc>
        <w:tc>
          <w:tcPr>
            <w:tcW w:w="10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w w:val="88"/>
              </w:rPr>
              <w:t>Corporate headquarters, engineering, research and development</w:t>
            </w:r>
          </w:p>
        </w:tc>
        <w:tc>
          <w:tcPr>
            <w:tcW w:w="120" w:type="dxa"/>
            <w:vAlign w:val="bottom"/>
          </w:tcPr>
          <w:p>
            <w:pPr>
              <w:spacing w:after="0"/>
              <w:rPr>
                <w:sz w:val="16"/>
                <w:szCs w:val="16"/>
                <w:color w:val="auto"/>
              </w:rPr>
            </w:pPr>
          </w:p>
        </w:tc>
        <w:tc>
          <w:tcPr>
            <w:tcW w:w="1600" w:type="dxa"/>
            <w:vAlign w:val="bottom"/>
          </w:tcPr>
          <w:p>
            <w:pPr>
              <w:jc w:val="right"/>
              <w:ind w:right="402"/>
              <w:spacing w:after="0" w:line="195" w:lineRule="exact"/>
              <w:rPr>
                <w:sz w:val="20"/>
                <w:szCs w:val="20"/>
                <w:color w:val="auto"/>
              </w:rPr>
            </w:pPr>
            <w:r>
              <w:rPr>
                <w:rFonts w:ascii="Arial" w:cs="Arial" w:eastAsia="Arial" w:hAnsi="Arial"/>
                <w:sz w:val="18"/>
                <w:szCs w:val="18"/>
                <w:color w:val="auto"/>
              </w:rPr>
              <w:t>34,080</w:t>
            </w:r>
          </w:p>
        </w:tc>
        <w:tc>
          <w:tcPr>
            <w:tcW w:w="120" w:type="dxa"/>
            <w:vAlign w:val="bottom"/>
          </w:tcPr>
          <w:p>
            <w:pPr>
              <w:spacing w:after="0"/>
              <w:rPr>
                <w:sz w:val="16"/>
                <w:szCs w:val="16"/>
                <w:color w:val="auto"/>
              </w:rPr>
            </w:pPr>
          </w:p>
        </w:tc>
        <w:tc>
          <w:tcPr>
            <w:tcW w:w="2840" w:type="dxa"/>
            <w:vAlign w:val="bottom"/>
          </w:tcPr>
          <w:p>
            <w:pPr>
              <w:spacing w:after="0" w:line="195" w:lineRule="exact"/>
              <w:rPr>
                <w:sz w:val="20"/>
                <w:szCs w:val="20"/>
                <w:color w:val="auto"/>
              </w:rPr>
            </w:pPr>
            <w:r>
              <w:rPr>
                <w:rFonts w:ascii="Arial" w:cs="Arial" w:eastAsia="Arial" w:hAnsi="Arial"/>
                <w:sz w:val="18"/>
                <w:szCs w:val="18"/>
                <w:color w:val="auto"/>
              </w:rPr>
              <w:t>Leased, expires January 31, 2012</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Twinsburg, Ohio</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Call center</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21,509</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Leased, expires May 31,2014</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Enschede, Netherlands</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European headquarters and call center</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18,292</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Leased, expires September 30, 2013</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Bangalore, India</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Engineering, research and development</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17,713</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Leased, expired January 31, 2011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Shenzhen, PRC</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w w:val="97"/>
              </w:rPr>
              <w:t>Engineering, quality assurance, research and development</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Leased, expires February 15, 2013</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San Mateo, California</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Engineering, research and development</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Leased, expires June 30, 2011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Hong Kong, China</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Operations and administrative services</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7"/>
              </w:rPr>
              <w:t>Leased, expires November 15, 2011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Hong Kong, China</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Asian headquarters</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Leased, expires on January 14, 2012</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Guang Zhou, China</w:t>
            </w:r>
            <w:r>
              <w:rPr>
                <w:rFonts w:ascii="Arial" w:cs="Arial" w:eastAsia="Arial" w:hAnsi="Arial"/>
                <w:sz w:val="15"/>
                <w:szCs w:val="15"/>
                <w:color w:val="auto"/>
              </w:rPr>
              <w:t>(1)</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Manufacturing facility</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710,203</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8"/>
              </w:rPr>
              <w:t>Land leased, expires June 30, 2044</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Yang Zhou, PRC</w:t>
            </w:r>
            <w:r>
              <w:rPr>
                <w:rFonts w:ascii="Arial" w:cs="Arial" w:eastAsia="Arial" w:hAnsi="Arial"/>
                <w:sz w:val="15"/>
                <w:szCs w:val="15"/>
                <w:color w:val="auto"/>
              </w:rPr>
              <w:t>(1)</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Manufacturing facility</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1,204,697</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Manaus, Brazil</w:t>
            </w: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Manufacturing facility under development</w:t>
            </w: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Leased, expires September 14,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80" w:hanging="452"/>
        <w:spacing w:after="0" w:line="27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Private ownership of land in the PRC is not allowed. All land in the PRC is owned by the government and cannot be sold to any individual or entity. These facilities were developed on land which we lease from the PRC government.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lease for the Bangalore office expired on January 31, 2011. We are negotiating a renewal. In addition, our lease for the San Mateo office expires on June 30, 2011. We are currently investigating alternative facilities. We believe we will obtain lease agreements under similar terms, however there can be no assurance that we will receive similar terms or that any offer to renew will be accepted.</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11, 2011 was $26.49. Our stockholders of record on March 11, 2011 numbered 131.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As part of the consideration paid by UEI for the acquisition of Enson Assets Limited, 1,460,000 newly issued shares of UEI common stock, par value $.01 per share, were delivered to CG International Holdings Limited (“CGI”). The shares were issued in reliance upon an exemption from registration under the Securities Act, pursuant to Regulation S promulgated under the Securities Act. UEI and UEI Hong Kong Private Limited complied with the conditions of Rule 903 of Regulation S, including, but not limited to, the following: (i) CGI is not a U.S. person and was offered and sold its shares in accordance with the provisions of Regulation S; (ii) an appropriate legend is required to be affixed to the shares in accordance with Regulation S; (iii) CGI represented that it is not acquiring the shares for the account or benefit of a U.S. person; (iv) CGI agreed to resell the shares only in accordance with the provisions of Regulation S, pursuant to a registration statement under the Securities Act of 1933, as amended or pursuant to an available exemption from registration; and</w:t>
      </w:r>
    </w:p>
    <w:p>
      <w:pPr>
        <w:spacing w:after="0" w:line="3" w:lineRule="exact"/>
        <w:rPr>
          <w:sz w:val="20"/>
          <w:szCs w:val="20"/>
          <w:color w:val="auto"/>
        </w:rPr>
      </w:pPr>
    </w:p>
    <w:p>
      <w:pPr>
        <w:ind w:right="60" w:firstLine="8"/>
        <w:spacing w:after="0" w:line="302"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CGI agreed not to engage in hedging activities involving UEI’s common stock. In the Stock Purchase Agreement among CGI, UEI and UEI Hong Kong Private Limited, CGI acknowledged that UEI will implement the restrictions on transfer contained in the Purchase Agreement, which preclude any transfer of the shares which is not made in accordance Regulation S, not registered under the Securities Act, or not made pursuant another available exemption.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26.55</w:t>
            </w: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20.25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19.80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10.85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Second Quarter</w:t>
            </w:r>
          </w:p>
        </w:tc>
        <w:tc>
          <w:tcPr>
            <w:tcW w:w="3980" w:type="dxa"/>
            <w:vAlign w:val="bottom"/>
            <w:gridSpan w:val="3"/>
          </w:tcPr>
          <w:p>
            <w:pPr>
              <w:jc w:val="right"/>
              <w:ind w:right="580"/>
              <w:spacing w:after="0"/>
              <w:rPr>
                <w:sz w:val="20"/>
                <w:szCs w:val="20"/>
                <w:color w:val="auto"/>
              </w:rPr>
            </w:pPr>
            <w:r>
              <w:rPr>
                <w:rFonts w:ascii="Arial" w:cs="Arial" w:eastAsia="Arial" w:hAnsi="Arial"/>
                <w:sz w:val="18"/>
                <w:szCs w:val="18"/>
                <w:color w:val="auto"/>
              </w:rPr>
              <w:t>23.90</w:t>
            </w: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16.49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17.27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20.93</w:t>
            </w: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Fourth Quarter</w:t>
            </w:r>
          </w:p>
        </w:tc>
        <w:tc>
          <w:tcPr>
            <w:tcW w:w="3980" w:type="dxa"/>
            <w:vAlign w:val="bottom"/>
            <w:gridSpan w:val="3"/>
          </w:tcPr>
          <w:p>
            <w:pPr>
              <w:jc w:val="right"/>
              <w:ind w:right="580"/>
              <w:spacing w:after="0"/>
              <w:rPr>
                <w:sz w:val="20"/>
                <w:szCs w:val="20"/>
                <w:color w:val="auto"/>
              </w:rPr>
            </w:pPr>
            <w:r>
              <w:rPr>
                <w:rFonts w:ascii="Arial" w:cs="Arial" w:eastAsia="Arial" w:hAnsi="Arial"/>
                <w:sz w:val="18"/>
                <w:szCs w:val="18"/>
                <w:color w:val="auto"/>
              </w:rPr>
              <w:t>30.27</w:t>
            </w: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20.04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24.07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19.80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Purchased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Publicly</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Price Paid</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Plans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Period</w:t>
            </w:r>
          </w:p>
        </w:tc>
        <w:tc>
          <w:tcPr>
            <w:tcW w:w="480" w:type="dxa"/>
            <w:vAlign w:val="bottom"/>
          </w:tcPr>
          <w:p>
            <w:pPr>
              <w:spacing w:after="0"/>
              <w:rPr>
                <w:sz w:val="14"/>
                <w:szCs w:val="14"/>
                <w:color w:val="auto"/>
              </w:rPr>
            </w:pPr>
          </w:p>
        </w:tc>
        <w:tc>
          <w:tcPr>
            <w:tcW w:w="16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or Programs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10/1/2010 —10/31/2010</w:t>
            </w: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5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11/1/2010 — 11/30/2010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27.32</w:t>
            </w:r>
          </w:p>
        </w:tc>
        <w:tc>
          <w:tcPr>
            <w:tcW w:w="16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12/1/2010 — 12/31/2010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28.70</w:t>
            </w:r>
          </w:p>
        </w:tc>
        <w:tc>
          <w:tcPr>
            <w:tcW w:w="1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Total during fourth quarter</w:t>
            </w:r>
          </w:p>
        </w:tc>
        <w:tc>
          <w:tcPr>
            <w:tcW w:w="4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24.96</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year ended December 31, 2010, we repurchased 505,692 shares of our issued and outstanding common stock for $10.1 million under an ongoing and systematic program approved by our Board of Directors on February 11, 2010. We make stock repurchases to manage the dilution created by shares issued under our stock incentive plans or when we deem a repurchase is a good use of our cash and the price to be paid is at or below a threshold approved by our Board from time to time. On December 31, 2010, we had 526,874 shares available for repurchase under our current Board authorization.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BENEFICIAL OWNERS AND MANAGEMENT AND RELATED STOCKHOLDER MATTERS” under the caption “Equity Compensation Plan Information” and “ITEM 8. FINANCIAL STATEMENTS AND SUPPLEMENTARY DATA — Notes to Consolidated Financial Statements — Note 16” under the caption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the Standard &amp; Poor’s Small Cap 600 (the “S&amp;P Small Cap 600”) and the NASDAQ Composite Index for the five year period ended December 31, 2010. The comparison assumes that $100 is invested on December 31, 2005 in each of our common stock, S&amp;P Small Cap 600 and the NASDAQ Composite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 Returns of 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 Cap 600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211455</wp:posOffset>
            </wp:positionV>
            <wp:extent cx="5145405" cy="1586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12/31/2005</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12/31/2006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12/31/2007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12/31/2008</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12/31/2009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12/31/2010</w:t>
            </w:r>
          </w:p>
        </w:tc>
        <w:tc>
          <w:tcPr>
            <w:tcW w:w="10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Universal Electronics Inc.</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S&amp;P Small Cap 600</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presented is as of the end of each calendar year for the period December 31, 2005 through 2010. This information shall not be deemed to be “solicited material” or to be “filed” with the Securities and Exchange Commission or subject to the liabilities of Section 18 of the Securities Exchange Act of 1934 (the “Exchange Act”) nor shall this information be incorporated by reference into any prior or future filings under the Securities Act of 1933 or the Exchange Act, except to the extent that we specifically incorporate it by reference into a filing.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understand further the factors that may affect the comparability of the financial data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331,780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317,550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287,100</w:t>
            </w: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272,680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235,846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21,301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21,947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20,761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26,451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18,517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14,675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20,230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13,764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13,667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14,015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14,410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13,818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14,432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dividend declared per common share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7"/>
              </w:rPr>
              <w:t>Selling, general, administrative, research and development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expenses as a % of net sales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Working capital</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66,101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127,086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122,303</w:t>
            </w:r>
          </w:p>
        </w:tc>
        <w:tc>
          <w:tcPr>
            <w:tcW w:w="5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140,330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106,179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Ratio of current assets to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372,533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233,307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217,555</w:t>
            </w:r>
          </w:p>
        </w:tc>
        <w:tc>
          <w:tcPr>
            <w:tcW w:w="5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217,285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178,608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54,249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29,016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75,238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86,610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66,075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211,204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169,730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153,353</w:t>
            </w: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168,242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134,217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15"/>
                <w:szCs w:val="15"/>
                <w:color w:val="auto"/>
              </w:rPr>
              <w:t>(a)</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14.13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12.40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11.55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Ratio of liabilities to liabilities and stockholders’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Book value per share is defined as stockholders’ equity divided by common shares issued less treasury stock.</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comparability of information between 2010 and prior years is affected by the acquisition of Enson Assets Limited during the fourth quarter of 2010. See “ITEM 7. MANAGEMENT’S DISCUSSION AND ANALYSIS OF FINANCIAL CONDITION AND RESULTS OF OPERATIONS” and “ITEM 8. FINANCIAL STATEMENTS AND SUPPLEMENTARY DATA — Notes to Consolidated Financial Statements — Note 21” for further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develop and manufacture a broad line of pre-programmed universal wireless control products, audio-video accessories, and software that are marketed to enhance home entertainment systems. Our customers operate in the consumer electronics market and include OEMs, subscription broadcasters, international retailers, custom installers,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cable converters, CD players, audio components and satellite receivers, as well as most other infrared remote controlled devices worldwide.</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508,000 individual device functions and over 4,200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operate as one business segment. We have twenty-four subsidiaries located in Argentina, Cayman Islands, France, Germany (2), Hong Kong (6), India, Italy, the Netherlands, Singapore, Spain, Brazil, British Virgin Islands (3), People’s Republic of China (3) and the United Kingdom.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2010:</w:t>
      </w:r>
    </w:p>
    <w:p>
      <w:pPr>
        <w:spacing w:after="0" w:line="117" w:lineRule="exact"/>
        <w:rPr>
          <w:sz w:val="20"/>
          <w:szCs w:val="20"/>
          <w:color w:val="auto"/>
        </w:rPr>
      </w:pPr>
    </w:p>
    <w:p>
      <w:pPr>
        <w:ind w:left="660" w:right="60" w:hanging="314"/>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net sales grew 4.5% from $317.6 million in 2009 to $331.8 million in 2010, due to the acquisition of Enson Assets Limited in November 2010, which added $25.0 million in revenue in 2010.</w:t>
      </w:r>
    </w:p>
    <w:p>
      <w:pPr>
        <w:spacing w:after="0" w:line="75" w:lineRule="exact"/>
        <w:rPr>
          <w:rFonts w:ascii="Arial" w:cs="Arial" w:eastAsia="Arial" w:hAnsi="Arial"/>
          <w:sz w:val="18"/>
          <w:szCs w:val="18"/>
          <w:b w:val="1"/>
          <w:bCs w:val="1"/>
          <w:color w:val="auto"/>
        </w:rPr>
      </w:pPr>
    </w:p>
    <w:p>
      <w:pPr>
        <w:ind w:left="660" w:right="260" w:hanging="314"/>
        <w:spacing w:after="0" w:line="279"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Excluding the Enson Assets Limited transaction, our revenue decreased 3.4% from $317.6 million for 2009 to $306.8 million for 2010. This decrease is primarily due to the loss of sales from a significant customer who returned to a more traditional dual sourcing arrangement beginning during the first quarter of 2010. This significant customer purchased the majority of its remote controls from us during 2009. We were able to partially offset this loss by acquiring new domestic and international customers in our business category throughout 2010.</w:t>
      </w:r>
    </w:p>
    <w:p>
      <w:pPr>
        <w:spacing w:after="0" w:line="76" w:lineRule="exact"/>
        <w:rPr>
          <w:rFonts w:ascii="Arial" w:cs="Arial" w:eastAsia="Arial" w:hAnsi="Arial"/>
          <w:sz w:val="17"/>
          <w:szCs w:val="17"/>
          <w:b w:val="1"/>
          <w:bCs w:val="1"/>
          <w:color w:val="auto"/>
        </w:rPr>
      </w:pPr>
    </w:p>
    <w:p>
      <w:pPr>
        <w:ind w:left="660" w:hanging="314"/>
        <w:spacing w:after="0" w:line="255"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2010 operating income decreased 2.9% to $21.3 million from $21.9 million in 2009. Our operating margin percentage decreased from 6.9% in 2009 to 6.4% in 2010 due primarily to the decrease in our gross margin percentage from 32.0% in 2009 to 31.3% in 2010. The decrease in our gross margin rate was due primarily to sales mix, as a higher percentage of our total sales was comprised of our lower-margin Business category. In addition, the weakening of both the Euro and the British Pound versus the U.S. dollar also contributed to the decline in our gross margin percentage. Partially offsetting the decrease in our gross margin percentage was a 20 basis point improvement in operating expenses as a percentage of net sales in 2010 compared to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2011 include the following:</w:t>
      </w:r>
    </w:p>
    <w:p>
      <w:pPr>
        <w:spacing w:after="0" w:line="117"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continue to integrate Enson Assets Limited;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decrease third party supplier purchases and increase Enson’s utilization of its existing factories;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place more operations, logistics, quality, program management, engineering, sales, and marketing personnel in the Asia region;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further penetrate the growing Asian and Latin American subscription broadcasting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Latin America and Asia in particular;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compensation expense. Actual results may differ from these judgments and estimates, and they may be adjusted as more information becomes available. Any adjustment may be significant.</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6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record a provision for estimated retail sales returns. The provision recorded for estimated sales returns and allowances is deducted from gross sales to arrive at net sales in the period the related revenue is recorded. These estimates are based on historical sales returns,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 The allowance for sales returns balance at December 31, 2010 and 2009 was $1.4 million and $2.0 million,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our current expectations, after considering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 If the financial condition of our customers deteriorate resulting in their inability to make payments, a larger allowance may be required resulting in a charge to selling, general, and administrative expense in the period in which we make this determination. We incurred $0.9 million of bad debt expense in 2010 to reflect certain customer accounts where collection was highly uncertain in the current economic environment.</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made any material changes in our methodology for recognizing revenue during the past three fiscal years. We do not believe there is a reasonable likelihood that there will be a material change in the estimates or assumptions we use to recognize revenue. However, if actual results are not consistent with our estimates or assumptions, we may be exposed to losses or gains that may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periods range up to three years. We estimate and recognize product warranty costs, which are included in cost of sales, as we sell the related products. Warranty costs are forecasted based on the best available information, primarily historical claims experience and the expected cost per claim. The costs we have incurred to service warranty claims have been minimal. Historically, product defects have been less than 0.5% of the net units sold. As a result the balance of our reserve for estimated warranty costs is not significant.</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made any material changes in our warranty reserve methodology during the past three fiscal years. We do not believe there is a reasonable likelihood that there will be a material change in the estimates or assumptions we use to calculate the warranty reserve. However, actual claim costs may differ from the amounts estimated. If a significant product defect were to be discovered on a high volume product, our financial statements may be materially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inventories consist primarily of wireless control devices, component parts, and raw materials, and are valued at the lower of cost or market value. The approximate cost is determined using the first-in, first-out basis. We write-down our inventory for the estimated difference between the inventory’s approximate cost and its estimated market value based upon our best estimates of market conditions.</w:t>
      </w:r>
    </w:p>
    <w:p>
      <w:pPr>
        <w:spacing w:after="0" w:line="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carry inventory in amounts necessary to satisfy our customers’ inventory requirements on a timely basis. We continually monitor our inventory status to control inventory levels and write-down any excess or obsolete inventories on hand. Our total excess and obsolete inventory reserve on December 31, 2010 and 2009 was $2.1 million and $1.8 million, respectively, or 3.2% and 4.1% of total inventory. The increase in our excess and obsolete reserve during 2010 was the result of $2.9 million of additional write-downs offset by $1.0 million of sell-through, $1.5 million of scrapping and foreign currency translation effects. This compared to additional write-downs of $3.3 million offset by $0.9 million of sell-through and $2.3 million of scrapping and foreign currency translation effects during 2009.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made any material changes in the accounting methodology used to establish our excess and obsolete inventory reserve during the past three fiscal years. We do not believe there is a reasonable likelihood that there will be a material change in the future estimates or assumptions we use to calculate our excess and obsolete inventory reserve.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$0.7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are required to allocate the purchase price of acquired companies to the tangible and intangible assets and the liabilities assumed, as well as in-process research and development (“IPR&amp;D”), based upon their estimated fair values. We engage independent third-party appraisal firms to assist us in determining the fair values of assets acquired and liabilities assumed. Such valuations require management to make significant fair value estimates and assumptions, especially with respect to intangible assets. Management estimates the fair value of certain intangible assets by utilizing the following (but not limited to):</w:t>
      </w:r>
    </w:p>
    <w:p>
      <w:pPr>
        <w:spacing w:after="0" w:line="46" w:lineRule="exact"/>
        <w:rPr>
          <w:sz w:val="20"/>
          <w:szCs w:val="20"/>
          <w:color w:val="auto"/>
        </w:rPr>
      </w:pPr>
    </w:p>
    <w:p>
      <w:pPr>
        <w:ind w:left="660" w:right="300" w:hanging="314"/>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future free cash flow from customer contracts, customer lists, distribution agreements, acquired developed technologies, trademarks, trade names and patents;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130"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discount rates utilized in discounted cash flow models.</w:t>
      </w:r>
    </w:p>
    <w:p>
      <w:pPr>
        <w:spacing w:after="0" w:line="11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11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38"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underperformance relative to historical or projected future operating results;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changes in the manner of use of the assets;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changes in the strategy of our overall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negative industry or economic trends;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decline in our stock price for a sustained period;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variance between our market capitalization relative to net book value.</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If the carrying value of the asset is larger than its undiscounted cash flows, the asset is impaired. We measure an impairment based on the projected discounted cash flow method using a discount rate determined by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management to be commensurate with the risk inherent in our current business model. In assessing the recoverability, we must make assumptions regarding estimated future cash flows and other factors to determine the fair value of the respective assets.</w:t>
      </w:r>
    </w:p>
    <w:p>
      <w:pPr>
        <w:spacing w:after="0" w:line="62"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We have not made any material changes in our impairment loss assessment methodology during the past three fiscal years. We do not believe there is a reasonable likelihood that there will be a material change in the estimates or assumptions we use to calculate the impairment of long-lived assets and intangible assets. However, if actual results are not consistent with our estimates and assumptions we may be exposed to material impairment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each balance sheet date, we compare the unamortized capitalized software development costs to the net realizable value of the related product. The amount by which the unamortized capitalized software development costs exceed the net realizable value of the related product is written off. The net realizable value is the estimated future gross revenues attributable to each product reduced by its estimated future completion and disposal costs. Any remaining amount of capitalized software development costs that have been written down are considered to be the cost for subsequent accounting purposes, and the amount of the write-down is not subsequently restored.</w:t>
      </w:r>
    </w:p>
    <w:p>
      <w:pPr>
        <w:spacing w:after="0" w:line="8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of net realizable value we use to test for impairment losses on capitalized software development costs. However, if actual results are not consistent with our estimates and assumptions we may be exposed to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 On December 31, 2010, we had goodwill of $30.4 million.</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evaluate whether goodwill is impaired,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amount of a reporting unit exceeds its fair value, the amount of the impairment loss must be measured.</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impairment loss would be calculated by comparing the implied fair value of goodwill to its carrying amount. In calculating the implied fair value of the reporting unit’s goodwill, the fair value of the reporting unit is allocated to all of the other assets and liabilities of that unit based on their fair values. The excess of the reporting unit’s fair value over the amount assigned to its other assets and liabilities is the implied fair value of goodwill. An impairment loss would be recognized when the carrying amount of goodwill exceeds its implied fair value.</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Determining the fair value of a reporting unit or an indefinite-lived purchased intangible asset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assumptions we believe to be reasonable but that are unpredictable and inherently uncertain. Actual future results may differ from those estimates.</w:t>
      </w:r>
    </w:p>
    <w:p>
      <w:pPr>
        <w:spacing w:after="0" w:line="1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not made any material changes in our impairment loss assessment methodology during the past three fiscal years. We continue to estimate the fair value of our reporting unit to be in excess of its carrying value, and therefore have not recorded any impairment. The amount by which the fair value of our reporting unit exceeded its book value utilizing the income and market approaches ranged from 46 percent to 66 percent and therefore we concluded our goodwill was not impaired at December 31, 2010. We do not believe there is a reasonable likelihood that there will be a material change in the future estimates or assumptions we use to test for impairment losses on goodwill. However, if actual results are not consistent with our estimates and assumptions we may be exposed to material impairment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 for U.S. federal and state provisions, respectively.</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5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recorded a liability for uncertain tax positions of $5.6 million at December 31, 2010. We believe that our reserve for uncertain tax positions, including related interest and penalties, is adequate. Our reserve for uncertain tax positions is primarily attributable to uncertainties concerning the tax treatment of our international operations, including the allocation of income among different jurisdictions, and any related interest.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years ended December 31, 2010, 2009 and 2008 is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Selling, general and administrative expense includes pre-tax stock-based compensation related to restricted stock awards granted to outside directors of $0.6 million, $0.5 million and $0.6 million for the years ended December 31, 2010, 2009 and 2008, respectively. We issue restricted stock awards to the outside directors for services performed. Compensation expense for these restricted stock awards is recognized on a straight-line basis over the requisite service period of one year.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 includes pre-tax stock-based compensation related to stock option awards granted to outside directors of</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$0.3 million, $0.3 million and $0.2 million for the years ended December 31, 2010, 2009 and 2008, respectively. We issue stock option awards to the outside directors for services performed. Compensation expense for these stock option awards is recognized on a straight-line basis over the requisite service period of three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year ended December 31, 2010, the Compensation Committee and Board of Directors granted 119,900 stock options to our employees with an aggregate grant date fair value of $1.3 million under various stock incentive plans. The stock options granted to employees during 2010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Grant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vMerge w:val="restart"/>
          </w:tcPr>
          <w:p>
            <w:pPr>
              <w:jc w:val="center"/>
              <w:ind w:right="1379"/>
              <w:spacing w:after="0"/>
              <w:rPr>
                <w:sz w:val="20"/>
                <w:szCs w:val="20"/>
                <w:color w:val="auto"/>
              </w:rPr>
            </w:pPr>
            <w:r>
              <w:rPr>
                <w:rFonts w:ascii="Arial" w:cs="Arial" w:eastAsia="Arial" w:hAnsi="Arial"/>
                <w:sz w:val="14"/>
                <w:szCs w:val="14"/>
                <w:b w:val="1"/>
                <w:bCs w:val="1"/>
                <w:color w:val="auto"/>
                <w:w w:val="94"/>
              </w:rPr>
              <w:t>Stock Option</w:t>
            </w:r>
          </w:p>
        </w:tc>
        <w:tc>
          <w:tcPr>
            <w:tcW w:w="5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Vesting Period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Borders>
              <w:bottom w:val="single" w:sz="8" w:color="auto"/>
            </w:tcBorders>
          </w:tcPr>
          <w:p>
            <w:pPr>
              <w:jc w:val="center"/>
              <w:ind w:right="1419"/>
              <w:spacing w:after="0"/>
              <w:rPr>
                <w:sz w:val="20"/>
                <w:szCs w:val="20"/>
                <w:color w:val="auto"/>
              </w:rPr>
            </w:pPr>
            <w:r>
              <w:rPr>
                <w:rFonts w:ascii="Arial" w:cs="Arial" w:eastAsia="Arial" w:hAnsi="Arial"/>
                <w:sz w:val="14"/>
                <w:szCs w:val="14"/>
                <w:b w:val="1"/>
                <w:bCs w:val="1"/>
                <w:color w:val="auto"/>
                <w:w w:val="97"/>
              </w:rPr>
              <w:t>Grant Date</w:t>
            </w:r>
          </w:p>
        </w:tc>
        <w:tc>
          <w:tcPr>
            <w:tcW w:w="5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January 25, 2010</w:t>
            </w:r>
          </w:p>
        </w:tc>
        <w:tc>
          <w:tcPr>
            <w:tcW w:w="1960" w:type="dxa"/>
            <w:vAlign w:val="bottom"/>
            <w:gridSpan w:val="3"/>
            <w:shd w:val="clear" w:color="auto" w:fill="CCEEFF"/>
          </w:tcPr>
          <w:p>
            <w:pPr>
              <w:jc w:val="right"/>
              <w:ind w:right="660"/>
              <w:spacing w:after="0" w:line="195" w:lineRule="exact"/>
              <w:rPr>
                <w:sz w:val="20"/>
                <w:szCs w:val="20"/>
                <w:color w:val="auto"/>
              </w:rPr>
            </w:pPr>
            <w:r>
              <w:rPr>
                <w:rFonts w:ascii="Arial" w:cs="Arial" w:eastAsia="Arial" w:hAnsi="Arial"/>
                <w:sz w:val="18"/>
                <w:szCs w:val="18"/>
                <w:color w:val="auto"/>
              </w:rPr>
              <w:t>99,900</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line="195" w:lineRule="exact"/>
              <w:rPr>
                <w:sz w:val="20"/>
                <w:szCs w:val="20"/>
                <w:color w:val="auto"/>
              </w:rPr>
            </w:pPr>
            <w:r>
              <w:rPr>
                <w:rFonts w:ascii="Arial" w:cs="Arial" w:eastAsia="Arial" w:hAnsi="Arial"/>
                <w:sz w:val="18"/>
                <w:szCs w:val="18"/>
                <w:color w:val="auto"/>
              </w:rPr>
              <w:t>1,134</w:t>
            </w:r>
          </w:p>
        </w:tc>
        <w:tc>
          <w:tcPr>
            <w:tcW w:w="46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w w:val="99"/>
              </w:rPr>
              <w:t>4</w:t>
            </w:r>
          </w:p>
        </w:tc>
        <w:tc>
          <w:tcPr>
            <w:tcW w:w="40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-Year Vesting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3"/>
              </w:rPr>
              <w:t>(0% each quarter during year 1 and 8.33% each quarter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5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during years 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July 14, 2010</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4</w:t>
            </w: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2010, we recognized $0.3 million of pre-tax stock-based compensation expense related to our 2010 stock option grants.</w:t>
      </w:r>
    </w:p>
    <w:p>
      <w:pPr>
        <w:spacing w:after="0" w:line="14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December 31, 2010, there was $2.2 million of unrecognized pre-tax stock-based compensation expense related to non-vested stock options which we expect to recognize over a weighted-average period of 2.3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year ended December 31, 2010, the Compensation Committee and Board of Directors granted 45,500 restricted stock awards under the 2006 Stock Incentive Plan to our employees with an aggregate grant date fair value of $1.1 million. The restricted stock awards granted to employees during 2010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Number</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Grant</w:t>
            </w:r>
          </w:p>
        </w:tc>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5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41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58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Granted</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25, 2010</w:t>
            </w:r>
          </w:p>
        </w:tc>
        <w:tc>
          <w:tcPr>
            <w:tcW w:w="58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45,500</w:t>
            </w:r>
          </w:p>
        </w:tc>
        <w:tc>
          <w:tcPr>
            <w:tcW w:w="68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  1,133</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4 -Year Vesting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w w:val="91"/>
              </w:rPr>
              <w:t>(0% each quarter during year 1 and 8.33% each quarter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during years 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addition to the grants to employees, 30,000 shares of restricted stock with a grant date fair value of $0.5 million were granted to our outside directors on July 1, 2010 as a part of their annual compensation package. These shares are subject to a one-year vesting period (25% each quarter).</w:t>
      </w:r>
    </w:p>
    <w:p>
      <w:pPr>
        <w:spacing w:after="0" w:line="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year ended December 31, 2010, we recognized $0.5 million of pre-tax stock-based compensation expense related to our 2010 restricted stock grants.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2010, there was $2.9 million of unrecognized pre-tax stock-based compensation expense related to non-vested restricted stock awards which we expect to recognize over a weighted-average period of 1.7 years.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and forfeiture rate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may be materially different in the future.</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believe it is reasonably likely that there will be a material change in the future estimates or assumptions used to determine stock-based compensation expense. However, if actual results are not consistent with our estimates and assumptions we may be exposed to material stock-based compensation expense. Refer to “ITEM 8. FINANCIAL STATEMENTS AND SUPPLEMENTARY DATA — Notes to Consolidated Financial Statements — Note 16” for additional disclosure regarding stock-based compensation expense.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331,780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317,550</w:t>
            </w:r>
          </w:p>
        </w:tc>
        <w:tc>
          <w:tcPr>
            <w:tcW w:w="1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287,100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227,931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215,938</w:t>
            </w:r>
          </w:p>
        </w:tc>
        <w:tc>
          <w:tcPr>
            <w:tcW w:w="120" w:type="dxa"/>
            <w:vAlign w:val="bottom"/>
          </w:tcPr>
          <w:p>
            <w:pPr>
              <w:spacing w:after="0"/>
              <w:rPr>
                <w:sz w:val="18"/>
                <w:szCs w:val="18"/>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190,910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103,849</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101,612</w:t>
            </w:r>
          </w:p>
        </w:tc>
        <w:tc>
          <w:tcPr>
            <w:tcW w:w="1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96,190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10,709</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8,691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8,160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71,839</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70,974</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67,269</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523</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21,858</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22,177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24,089</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6,777</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7,502</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8,283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15,081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14,675</w:t>
            </w:r>
          </w:p>
        </w:tc>
        <w:tc>
          <w:tcPr>
            <w:tcW w:w="1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comparability of information between 2010 and prior years is affected by the acquisition of Enson Assets Limited during the fourth quarter of 2010. See “ITEM 7. MANAGEMENT’S DISCUSSION AND ANALYSIS OF FINANCIAL CONDITION AND RESULTS OF OPERATIONS” and “ITEM 8. FINANCIAL STATEMENTS AND SUPPLEMENTARY DATA — Notes to Consolidated Financial Statements — Note 21” for further information.</w:t>
      </w:r>
    </w:p>
    <w:p>
      <w:pPr>
        <w:spacing w:after="0" w:line="162"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2010 Compared to Year Ended December 31, 2009 </w:t>
      </w:r>
      <w:r>
        <w:rPr>
          <w:rFonts w:ascii="Arial" w:cs="Arial" w:eastAsia="Arial" w:hAnsi="Arial"/>
          <w:sz w:val="18"/>
          <w:szCs w:val="18"/>
          <w:i w:val="1"/>
          <w:iCs w:val="1"/>
          <w:color w:val="auto"/>
        </w:rPr>
        <w:t>Consolidated</w:t>
      </w:r>
    </w:p>
    <w:p>
      <w:pPr>
        <w:ind w:right="20"/>
        <w:spacing w:after="0" w:line="277" w:lineRule="auto"/>
        <w:rPr>
          <w:sz w:val="20"/>
          <w:szCs w:val="20"/>
          <w:color w:val="auto"/>
        </w:rPr>
      </w:pPr>
      <w:r>
        <w:rPr>
          <w:rFonts w:ascii="Arial" w:cs="Arial" w:eastAsia="Arial" w:hAnsi="Arial"/>
          <w:sz w:val="18"/>
          <w:szCs w:val="18"/>
          <w:color w:val="auto"/>
        </w:rPr>
        <w:t>Net sales for the year ended December 31, 2010 were $331.8 million, an increase of 4% compared to $317.6 million for the same period last year. Net income for 2010 was $15.1 million or $1.07 per diluted share compared to $14.7 million or $1.05 per diluted share for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282.9</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331.8</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317.6</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85% of net sales for 2010 compared to approximately 83% for 2009. Net sales in our business lines for 2010 increased by approximately 8% to $282.9 million from $262.5 million in 2009. This increase in net sales resulted primarily from the November 2010 acquisition of Enson Assets Limited, which added several significant customers and contributed $25.0 million in sales in 2010. Excluding the net sales which resulted from the acquisition of Enson, the business category decreased by $4.6 million. This was the result of a significant customer returning to a more traditional dual source arrangement during the first quarter of 2010 after purchasing the majority of its remotes from us during 2009. We were able to partially offset this loss by acquiring new customers both domestically and internationally.</w:t>
      </w:r>
    </w:p>
    <w:p>
      <w:pPr>
        <w:spacing w:after="0" w:line="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retail, private label, custom installers, and direct import) were approximately 15% of net sales for 2010 compared to approximately 17% for 2009. Net sales in our Consumer lines for 2010 decreased by 11% to $48.9 million from $55.1 million in 2009. Net sales in North American retail decreased by $4.0 million, or 46%, from $8.8 million in 2009 to $4.8 million in 2010. In addition, our custom installer sales decreased by $3.3 million, from $6.2 million in 2009 to $2.9 million in 2010. Partially offsetting these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decreases was a $1.1 million increase in international retail sales, from $40.1 million in 2009 to $41.2 million in 2010. The 2010 net sales in our Consumer lines were negatively impacted by the weakening of the Euro and the British Pound compared to the U.S. dollar, which resulted in a decrease in net sales of approximately $1.4 million. Net of the unfavorable currency effect, international retail sales increased by $2.5 million due primarily to the analog to digital transition that took place in some European countries.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profit for 2010 was $103.8 million compared to $101.6 million for 2009. Gross profit as a percent of sales decreased to 31.3% in 2010 from 32.0% in 2009, due primarily to the following:</w:t>
      </w:r>
    </w:p>
    <w:p>
      <w:pPr>
        <w:spacing w:after="0" w:line="62" w:lineRule="exact"/>
        <w:rPr>
          <w:sz w:val="20"/>
          <w:szCs w:val="20"/>
          <w:color w:val="auto"/>
        </w:rPr>
      </w:pPr>
    </w:p>
    <w:p>
      <w:pPr>
        <w:ind w:left="660" w:right="260" w:hanging="314"/>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fair value adjustment made to inventory and fixed assets acquired in the Enson Assets Limited acquisition resulted in a decrease of 0.5% in the gross margin rate;</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increase in freight expense caused a decrease of 0.4% in the gross margin rate;</w:t>
      </w:r>
    </w:p>
    <w:p>
      <w:pPr>
        <w:spacing w:after="0" w:line="130"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Sales mix, as a higher percentage of our total sales was comprised of our lower margin Business category, resulted in a decrease of 0.3% in the gross margin rate;</w:t>
      </w:r>
    </w:p>
    <w:p>
      <w:pPr>
        <w:spacing w:after="0" w:line="75" w:lineRule="exact"/>
        <w:rPr>
          <w:rFonts w:ascii="Arial" w:cs="Arial" w:eastAsia="Arial" w:hAnsi="Arial"/>
          <w:sz w:val="18"/>
          <w:szCs w:val="18"/>
          <w:b w:val="1"/>
          <w:bCs w:val="1"/>
          <w:color w:val="auto"/>
        </w:rPr>
      </w:pPr>
    </w:p>
    <w:p>
      <w:pPr>
        <w:ind w:left="660" w:right="660" w:hanging="314"/>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0.2% in the gross margin rate, driven by the weakening of the Euro and British Pound as compared to the U.S. dollar;</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decrease in inventory scrap expense, resulting from a lower return rate, improved the gross margin rate by 0.4%;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decrease in sub-contract labor, resulting primarily from less rework, caused an increase of 0.3% in the gross margin.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Research and development expenses increased 23% from $8.7 million in 2009 to $10.7 million in 2010. The increase is primarily due to additional labor dedicated to general research &amp; development activities in an effort to continue to develop new technologies and products.</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Selling, general and administrative expenses increased 1% from $71.0 million in 2009 to $71.8 million in 2010. The weakening of the Euro compared to the U.S. dollar resulted in a decrease of $1.3 million; net of the currency effect, selling, general and administrative expenses increased by $2.1 million. This increase was driven primarily by an increase in employee bonus expense of $1.5 million. Additionally, travel expense increased $0.5 million; advertising expense increased by $0.4 million; and bad debt expense increased $0.4 million. Partially offsetting these increases was a decline in commission expense of $0.8 million, resulting from certain sales personnel not meeting or exceeding their sales targets during 2010.</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2010, we recorded $34 thousand of net interest income compared to $0.5 million for 2009. The decrease in interest income is due to significantly lower interest rates.</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recorded income tax expense of $6.8 million in 2010 compared to $7.5 million in 2009. Our effective tax rate was 31.0% in 2010 compared to 33.8% in 2009. The decrease in our effective tax rate was due primarily to a higher percentage of income earned in lower tax rate jurisdictions, the statute of limitations expiring during 2010 on certain tax positions recorded in the United States, and lower interest expense resulting from fewer uncertain tax positions.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2009 Compared to Year Ended December 31, 2008 </w:t>
      </w:r>
      <w:r>
        <w:rPr>
          <w:rFonts w:ascii="Arial" w:cs="Arial" w:eastAsia="Arial" w:hAnsi="Arial"/>
          <w:sz w:val="18"/>
          <w:szCs w:val="18"/>
          <w:i w:val="1"/>
          <w:iCs w:val="1"/>
          <w:color w:val="auto"/>
        </w:rPr>
        <w:t>Consolidated</w:t>
      </w:r>
    </w:p>
    <w:p>
      <w:pPr>
        <w:ind w:right="520"/>
        <w:spacing w:after="0" w:line="308" w:lineRule="auto"/>
        <w:rPr>
          <w:sz w:val="20"/>
          <w:szCs w:val="20"/>
          <w:color w:val="auto"/>
        </w:rPr>
      </w:pPr>
      <w:r>
        <w:rPr>
          <w:rFonts w:ascii="Arial" w:cs="Arial" w:eastAsia="Arial" w:hAnsi="Arial"/>
          <w:sz w:val="17"/>
          <w:szCs w:val="17"/>
          <w:color w:val="auto"/>
        </w:rPr>
        <w:t>Net sales for the year ended December 31, 2009 were $317.6 million, an increase of 11% compared to $287.1 million for the same period last year. Net income for 2009 was $14.7 million or $1.05 per diluted share compared to $15.8 million or $1.09 per diluted share for 2008.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262.5</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82.7%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317.6</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83% of net sales for 2009 compared to approximately 81% for 2008. Net sales in our business lines for 2009 increased by approximately 13% to $262.5 million from $231.5 million in 2008. This increase in net sales resulted primarily from an increase in the volume of remote control sales, which was partially offset by lower prices. The increase in remote control sales volume was attributable to the continued deployment of advanced function set-top boxes by the service operators, market share gains with a few key subscription broadcasting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5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retail, private label, custom installers, and direct import) were approximately 17% of net sales for 2009 compared to approximately 19% for 2008. Net sales in our consumer lines for 2009 decreased by 1% to $55.1 million from $55.6 million in 2008. The 2009 net sales were negatively impacted by the weakening of the Euro and the British Pound compared to the U.S. dollar, which resulted in a decrease in net sales of approximately $3.6 million. Net of the currency effect, net retail sales outside of the United States were down by an additional $0.9 million. Net private label sales in the United States decreased by $1.4 million, or 70%, to $0.6 million in 2009 from $2.0 million in 2008. In addition, net sales in the CEDIA market decreased by $0.8 million, or 11%, from $7.0 million in 2008 to $6.2 million in 2009. Partially offsetting these decreases was North American retail, which increased net sales by $6.2 million, from $2.0 million in 2008 to $8.2 million in 2009. The increase in North American retail was the result of our distribution agreement with Audiovox, which was signed during the second quarter of 2008.</w:t>
      </w:r>
    </w:p>
    <w:p>
      <w:pPr>
        <w:spacing w:after="0" w:line="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Gross profit for 2009 was $101.6 million compared to $96.2 million for 2008. Gross profit as a percent of sales decreased to 32.0% in 2009 from 33.5% in 2008, due primarily to the following:</w:t>
      </w:r>
    </w:p>
    <w:p>
      <w:pPr>
        <w:spacing w:after="0" w:line="62" w:lineRule="exact"/>
        <w:rPr>
          <w:sz w:val="20"/>
          <w:szCs w:val="20"/>
          <w:color w:val="auto"/>
        </w:rPr>
      </w:pPr>
    </w:p>
    <w:p>
      <w:pPr>
        <w:ind w:left="660" w:right="340" w:hanging="314"/>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Sales mix, as a higher percentage of our total sales was comprised of our lower margin Business category. In addition, sales mix within our sales categories also contributed to the decrease in our gross margin rate as consumers trended towards value-oriented products. Collectively, the aforementioned resulted in a decrease of 0.7% in the gross margin rate;</w:t>
      </w:r>
    </w:p>
    <w:p>
      <w:pPr>
        <w:spacing w:after="0" w:line="86" w:lineRule="exact"/>
        <w:rPr>
          <w:rFonts w:ascii="Arial" w:cs="Arial" w:eastAsia="Arial" w:hAnsi="Arial"/>
          <w:sz w:val="18"/>
          <w:szCs w:val="18"/>
          <w:b w:val="1"/>
          <w:bCs w:val="1"/>
          <w:color w:val="auto"/>
        </w:rPr>
      </w:pPr>
    </w:p>
    <w:p>
      <w:pPr>
        <w:ind w:left="660" w:right="720" w:hanging="314"/>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0.7% in the gross margin rate driven by the weakening of the Euro and British Pound as compared to the U.S. dollar;</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An increase in inventory scrap expense caused a decrease of 0.2% in the gross margin rate.</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Included within the sales mix calculation was the positive benefit of our relationship with Maxim Integrated Products which resulted in an increase in our gross margin percentage of approximately 1.0%. During 2009 we agreed to be Maxim’s sales agent in return for a sales agency fee. The sales agency fee during 2009 was $4.4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million. During 2010, as the transition from the Zilog chip platform to the Maxim chip platform progresses, we will begin to take over full sales and distribution rights, procuring and selling the chips directly to Zilog’s former customers. We anticipate this relationship will lead to growth in revenue and earnings going forward.</w:t>
      </w:r>
    </w:p>
    <w:p>
      <w:pPr>
        <w:spacing w:after="0" w:line="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Research and development expenses increased 7% from $8.2 million in 2008 to $8.7 million in 2009. The increase is primarily due to additional labor dedicated to general research &amp; development activities.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expenses increased 6% from $67.3 million in 2008 to $71.0 million in 2009. The weakening of the Euro compared to the U.S. dollar resulted in a decrease of $1.6 million; net of the currency effect, selling, general and administrative expenses increased by $5.3 million. Legal, accounting, and advisory professional service expense increased by $1.1 million, due to the acquisition of assets from Zilog, which was completed during the first quarter of 2009. The newly-acquired Zilog operations increased operating expenses by an additional $3.8 million. In addition, severance costs of approximately $0.9 million were incurred in 2009. During the fourth quarter of 2009, we also settled a copyright infringement lawsuit which increased operating expenses by approximately $0.6 million. Partially offsetting these increases was a decline in advertising and tradeshow expense which decreased by $1.1 million.</w:t>
      </w:r>
    </w:p>
    <w:p>
      <w:pPr>
        <w:spacing w:after="0" w:line="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2009, we recorded $0.5 million of net interest income compared to $3.0 million for 2008. The decrease in interest income is due to significantly lower interest rates.</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recorded income tax expense of $7.5 million in 2009 compared to $8.3 million in 2008. Our effective tax rate was 33.8% in 2009 compared to 34.4% in 2008. The decrease in our effective tax rate was due primarily to the completion of our Dutch tax audit for 2002 through 2006 which resulted in approximately $0.4 million of tax reserves being reversed and credited into income in the fourth quarter of 2009, offset partially by a higher percentage of income earned in higher tax rate jurisdictions in 2009 compared to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Year Ended</w:t>
            </w:r>
          </w:p>
        </w:tc>
        <w:tc>
          <w:tcPr>
            <w:tcW w:w="13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Increase</w:t>
            </w: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13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7"/>
              </w:rPr>
              <w:t>Increase</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2"/>
            <w:vMerge w:val="continue"/>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(Decrease)</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37,649</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$ 13,662</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23,987</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(6,165)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(34,705)</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31,386</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(66,091)</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(58,671)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financing activities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23,275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27,497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(4,222)</w:t>
            </w: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20,965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(986)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(1,090)</w:t>
            </w:r>
          </w:p>
        </w:tc>
        <w:tc>
          <w:tcPr>
            <w:tcW w:w="1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9,021</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December 31, 2010</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15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98"/>
              </w:rPr>
              <w:t>December 31, 2009</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4380" w:type="dxa"/>
            <w:vAlign w:val="bottom"/>
            <w:gridSpan w:val="4"/>
            <w:vMerge w:val="continue"/>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54,249</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$ 25,233</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Working capital</w:t>
            </w:r>
          </w:p>
        </w:tc>
        <w:tc>
          <w:tcPr>
            <w:tcW w:w="2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66,101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(60,985)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127,086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in 2010 was $37.6 million compared to $24.0 million during 2009. The improvement in cash flow from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from 2009 to 2010 is due primarily to the strong collection of receivables that were acquired in the acquisition of Enson Assets Limited. We acquired approximately $37.6 million of receivables from Enson Assets Limited on November 4, 2010; however, Enson’s receivable balance as of December 31, 2010 was approximately $26.0 million, reflecting cash inflows of approximately $11.6 million for the aforementioned two month period. Inventories increased from December 31, 2009 to December 31, 2010 as a result of anticipated increased demand in 2011. In addition, our fourth quarter 2010 net sales were towards the lower end of our expectations resulting in higher than expected inventories on December 31, 2010.</w:t>
      </w:r>
    </w:p>
    <w:p>
      <w:pPr>
        <w:spacing w:after="0" w:line="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Net cash provided by operating activities in 2009 was $24.0 million compared to $30.2 million during 2008. The decrease in cash flows from operating activities in 2009 compared to 2008 was primarily due to our deliberate effort to improve our vendor management which commenced during 2008 and resulted in a $15.6 million cash inflow by the end of 2008. As a result of the improved vendor terms being negotiated and implemented in 2008, there was minimal opportunity for improvement relating to accounts payable in 2009. Days in payables actually decreased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from 81 days at December 31, 2008 to 67 days at December 31, 2009 resulting in a cash outflow of approximately $2.1 million in 2009. In addition, during 2009 we had cash outflows related to accounts receivable of $4.2 million compared to cash outflows of $1.5 million during 2008 due primarily to higher net sales over the prior two years. Partially offsetting the aforementioned activity was an improvement in inventory turns from 4.4 turns in 2008 to 5.3 turns in 2009. Despite having higher sales, our inventory levels decreased from $43.7 million at December 31, 2008 to $40.9 million at December 31, 2009 compared to an inventory build of $8.8 million from December 31, 2007 to December 31, 2008.</w:t>
      </w:r>
    </w:p>
    <w:p>
      <w:pPr>
        <w:spacing w:after="0" w:line="6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during 2010 was $34.7 million as compared to $66.1 million and $7.4 million of net cash used during 2009 and 2008,</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decrease in cash used for investing activities during 2010 compared to 2009 was primarily due to our $49.2 million time deposit investment maturing during 2010 which was initially entered into during 2009. The cash proceeds from the time deposit were used to purchase Enson Assets Limited during 2010, which amounted to a $74.1 million cash outflow net of cash acquired. In addition, we acquired intangible assets and goodwill of $9.5 million from Zilog Inc. during 2009. There were no acquisitions during 2008, only typical annual investments in property, plant, and equipment as well as internally developed patents. Please refer to “ITEM 8. FINANCIAL STATEMENTS AND SUPPLEMENTARY DATA — Notes to Consolidated Financial Statements</w:t>
      </w:r>
    </w:p>
    <w:p>
      <w:pPr>
        <w:spacing w:after="0" w:line="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Notes 7 and 21” for additional disclosure regarding our acquisition of Enson Assets Limited and purchase of goodwill and intangible assets from Zilog Inc.</w:t>
      </w:r>
    </w:p>
    <w:p>
      <w:pPr>
        <w:spacing w:after="0" w:line="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Net cash provided by financing activities </w:t>
      </w:r>
      <w:r>
        <w:rPr>
          <w:rFonts w:ascii="Arial" w:cs="Arial" w:eastAsia="Arial" w:hAnsi="Arial"/>
          <w:sz w:val="16"/>
          <w:szCs w:val="16"/>
          <w:color w:val="auto"/>
        </w:rPr>
        <w:t>was $23.3 million during 2010 compared to cash used for financing activities of $4.2 million and $25.2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2009 and 2008, respectively. During 2010 we had proceeds from debt issuance of $41.0 million to fund our acquisition of Enson Assets Limited. During 2010 we made debt payments totaling $9.8 million. Proceeds from stock option exercises were $2.0 million during 2010 compared to proceeds of $3.3 million and $1.2 million during 2009 and 2008, respectively. In addition, we purchased 505,692 shares of our common stock at a cost of $10.1 million during 2010, compared to 404,643 and 1,118,318 shares at a cost of $7.7 million and $26.7 million during 2009 and 2008, respectively.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5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2010, we have repurchased 473,126 shares of our common stock under this authorization, leaving 526,874 shares available for repurchase.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1 - 3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4 - 5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3,509</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4660" w:hanging="5612"/>
        <w:spacing w:after="0" w:line="523" w:lineRule="auto"/>
        <w:tabs>
          <w:tab w:leader="none" w:pos="463" w:val="left"/>
        </w:tabs>
        <w:numPr>
          <w:ilvl w:val="0"/>
          <w:numId w:val="24"/>
        </w:numPr>
        <w:rPr>
          <w:rFonts w:ascii="Arial" w:cs="Arial" w:eastAsia="Arial" w:hAnsi="Arial"/>
          <w:sz w:val="14"/>
          <w:szCs w:val="14"/>
          <w:color w:val="auto"/>
        </w:rPr>
      </w:pPr>
      <w:r>
        <w:rPr>
          <w:rFonts w:ascii="Arial" w:cs="Arial" w:eastAsia="Arial" w:hAnsi="Arial"/>
          <w:sz w:val="17"/>
          <w:szCs w:val="17"/>
          <w:color w:val="auto"/>
        </w:rPr>
        <w:t>Purchase obligations primarily include contractual payments to purchase tooling assets.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1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generated from operations are sufficient to cover cash outlays expected during 2011.</w:t>
      </w:r>
    </w:p>
    <w:p>
      <w:pPr>
        <w:spacing w:after="0" w:line="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are able to supplement this near-term liquidity, if necessary, with credit line facilities made available by various foreign and domestic financial institutions. Our liquidity is subject to various risks including the market risks identified in the section entitled “Qualitative and Quantitative Disclosures about Market Risk” in Item 7A.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On December 31,</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$ 54,249</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$ 29,016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$ 75,238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Term deposit</w:t>
            </w:r>
          </w:p>
        </w:tc>
        <w:tc>
          <w:tcPr>
            <w:tcW w:w="28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49,246</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35,000</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Available borrowing resources</w:t>
            </w:r>
          </w:p>
        </w:tc>
        <w:tc>
          <w:tcPr>
            <w:tcW w:w="3780" w:type="dxa"/>
            <w:vAlign w:val="bottom"/>
            <w:gridSpan w:val="3"/>
          </w:tcPr>
          <w:p>
            <w:pPr>
              <w:jc w:val="right"/>
              <w:ind w:right="240"/>
              <w:spacing w:after="0"/>
              <w:rPr>
                <w:sz w:val="20"/>
                <w:szCs w:val="20"/>
                <w:color w:val="auto"/>
              </w:rPr>
            </w:pPr>
            <w:r>
              <w:rPr>
                <w:rFonts w:ascii="Arial" w:cs="Arial" w:eastAsia="Arial" w:hAnsi="Arial"/>
                <w:sz w:val="18"/>
                <w:szCs w:val="18"/>
                <w:color w:val="auto"/>
              </w:rPr>
              <w:t>33,766</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15,000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bl>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December 31, 2010, we had an outstanding balance of $35.0 million related to our U.S. Bank 1-year term loan facility. Our term loan, along with our line of credit and available cash, was utilized to finance the acquisition of Enson Assets Limited and to pay related transaction costs, fees, and expenses. Amounts paid or prepaid on the term loan may not be re-borrowed. The minimum principal payments for the term loan are $2.2 million each quarter. The first principal and interest payment was made on January 5, 2011. The remaining principal and interest payments are due on April 5, July 5, and October 5 of 2011. In addition, a final payment equal to the unpaid principal balance plus accrued interest is due on the term loan maturity date. The term loan maturity date is November 1, 2011. During 2011, we anticipate paying the principal balance down to zero prior to the term loan maturity date.</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debt covenants require that the percentage of our funded debt to EBITDA remain below 100%. On December 31, 2010, we were in breach of this covenant. This breach resulted from the timing of the Enson Assets Limited acquisition. On December 31, 2010, we carried a note payable of $35.0 million utilized to partially fund the acquisition; however our results of operations for the twelve months ended December 31, 2010, included less than two months of Enson Assets Limited EBITDA resulting in the breach. The acceleration of our $35.0 million obligation has been waived by U.S. Bank for the calculation performed on December 31, 2010. We do not anticipate that we will remain in breach of this covenant since going forward we will be able to include the full period of Enson Asset Limited’s EBITDA within the calculation. We were not in breach of any other debt covenants on December 31, 2010.</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working capital needs have typically been greatest during the third and fourth quarters when accounts receivable and inventories increase in connection with the fourth quarter holiday selling season. At December 31, 2010, we had $66.1 million of working capital compared to $127.1 million at December 31, 2009. The decrease in working capital was driven primarily by the Enson Asset Limited acquisition which resulted in cash consideration of $95.0 million, offset partially by net working capital acquired.</w:t>
      </w:r>
    </w:p>
    <w:p>
      <w:pPr>
        <w:spacing w:after="0" w:line="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cash balances are held in numerous locations throughout the world, including substantial amounts held outside of the United States.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31, 2010, we had approximately $6.5 million, $15.0 million, $27.8 million, $4.0 million, and $0.9 million of cash and cash equivalents in the United States, Europe, Asia, Cayman Islands and Brazil, respectively. We attempt to mitigate our exposure to liquidity, credit and other relevant risks by placing our cash, cash equivalents, and term deposit with financial institutions we believe are high quality.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regarding our credit facilities, see “ITEM 7A. QUANTITATIVE AND QUALITATIVE DISCLOSURES ABOUT MARKET RISK.”</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the cash generated from our operations and funds from our credit facilities will be sufficient to support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 business operations as well as anticipated growth at least through the end of 2011; however, there can be no assurance that such funds will be adequate for that purpose.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exposed to interest rate risk related to our debt. We may withdraw either U.S. dollars or foreign currencies from our credit facilities. Our market risk exposures in connection with the debt are primarily U.S. dollar LIBOR-based floating interest. On December 31, 2010, we had an outstanding balance of $35.0 million related to our U.S. Bank 1-year term loan facility. The term loan maturity date is November 1, 2011. Under the U.S. Bank secured revolving credit line, we may elect to pay interest based on the bank’s prime rate or LIBOR plus a fixed margin of 1.8%. The applicable LIBOR (1, 3, 6, or 12-month LIBOR) corresponds with the loan period we select. At December 31, 2010, the 12-month LIBOR plus the fixed margin was 2.6%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8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At December 31, 2010 we had wholly owned subsidiaries in the People’s Republic of China, Argentina, Brazil, Cayman Islands,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fiscal 2010 were the Euro, British Pound and Chinese Yuan Renminbi.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December 31, 2010, we believe that movements in foreign currency rates may have a material affect on our financial position. We estimate that if the exchange rates for the Euro, British Pound, Chinese Yuan Renminbi, Indian Rupee, and Singapore dollar relative to the U.S. dollar fluctuate 10% from December 31, 2010, net income and total cash flows in the first quarter of 2011 would fluctuate by approximately $2.4 million and $5.0 million, respectively.</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gridSpan w:val="7"/>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7"/>
            <w:vMerge w:val="continue"/>
          </w:tcPr>
          <w:p>
            <w:pPr>
              <w:spacing w:after="0"/>
              <w:rPr>
                <w:sz w:val="14"/>
                <w:szCs w:val="14"/>
                <w:color w:val="auto"/>
              </w:rPr>
            </w:pPr>
          </w:p>
        </w:tc>
        <w:tc>
          <w:tcPr>
            <w:tcW w:w="680" w:type="dxa"/>
            <w:vAlign w:val="bottom"/>
          </w:tcPr>
          <w:p>
            <w:pPr>
              <w:jc w:val="right"/>
              <w:ind w:right="113"/>
              <w:spacing w:after="0" w:line="170"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Balance Sheets on December 31, 2010 and 2009</w:t>
              </w:r>
            </w:hyperlink>
          </w:p>
        </w:tc>
        <w:tc>
          <w:tcPr>
            <w:tcW w:w="6140" w:type="dxa"/>
            <w:vAlign w:val="bottom"/>
            <w:gridSpan w:val="4"/>
          </w:tcPr>
          <w:p>
            <w:pPr>
              <w:spacing w:after="0"/>
              <w:rPr>
                <w:sz w:val="17"/>
                <w:szCs w:val="17"/>
                <w:color w:val="auto"/>
              </w:rPr>
            </w:pPr>
          </w:p>
        </w:tc>
        <w:tc>
          <w:tcPr>
            <w:tcW w:w="680" w:type="dxa"/>
            <w:vAlign w:val="bottom"/>
          </w:tcPr>
          <w:p>
            <w:pPr>
              <w:jc w:val="right"/>
              <w:ind w:right="113"/>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Income Statements for the years ended December 31, 2010, 2009 and 2008</w:t>
              </w:r>
            </w:hyperlink>
          </w:p>
        </w:tc>
        <w:tc>
          <w:tcPr>
            <w:tcW w:w="4220" w:type="dxa"/>
            <w:vAlign w:val="bottom"/>
            <w:gridSpan w:val="3"/>
          </w:tcPr>
          <w:p>
            <w:pPr>
              <w:spacing w:after="0"/>
              <w:rPr>
                <w:sz w:val="17"/>
                <w:szCs w:val="17"/>
                <w:color w:val="auto"/>
              </w:rPr>
            </w:pPr>
          </w:p>
        </w:tc>
        <w:tc>
          <w:tcPr>
            <w:tcW w:w="680" w:type="dxa"/>
            <w:vAlign w:val="bottom"/>
          </w:tcPr>
          <w:p>
            <w:pPr>
              <w:jc w:val="right"/>
              <w:ind w:right="113"/>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Stockholders’ Equity for the years ended December 31, 2010, 2009 and 2008</w:t>
              </w:r>
            </w:hyperlink>
          </w:p>
        </w:tc>
        <w:tc>
          <w:tcPr>
            <w:tcW w:w="3040" w:type="dxa"/>
            <w:vAlign w:val="bottom"/>
          </w:tcPr>
          <w:p>
            <w:pPr>
              <w:spacing w:after="0"/>
              <w:rPr>
                <w:sz w:val="17"/>
                <w:szCs w:val="17"/>
                <w:color w:val="auto"/>
              </w:rPr>
            </w:pPr>
          </w:p>
        </w:tc>
        <w:tc>
          <w:tcPr>
            <w:tcW w:w="680" w:type="dxa"/>
            <w:vAlign w:val="bottom"/>
          </w:tcPr>
          <w:p>
            <w:pPr>
              <w:jc w:val="right"/>
              <w:ind w:right="113"/>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Cash Flows for the years ended December 31, 2010, 2009 and 2008</w:t>
              </w:r>
            </w:hyperlink>
          </w:p>
        </w:tc>
        <w:tc>
          <w:tcPr>
            <w:tcW w:w="3720" w:type="dxa"/>
            <w:vAlign w:val="bottom"/>
            <w:gridSpan w:val="2"/>
          </w:tcPr>
          <w:p>
            <w:pPr>
              <w:spacing w:after="0"/>
              <w:rPr>
                <w:sz w:val="17"/>
                <w:szCs w:val="17"/>
                <w:color w:val="auto"/>
              </w:rPr>
            </w:pPr>
          </w:p>
        </w:tc>
        <w:tc>
          <w:tcPr>
            <w:tcW w:w="680" w:type="dxa"/>
            <w:vAlign w:val="bottom"/>
          </w:tcPr>
          <w:p>
            <w:pPr>
              <w:jc w:val="right"/>
              <w:ind w:right="113"/>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Notes to Consolidated Financial Statements</w:t>
              </w:r>
            </w:hyperlink>
          </w:p>
        </w:tc>
        <w:tc>
          <w:tcPr>
            <w:tcW w:w="7480" w:type="dxa"/>
            <w:vAlign w:val="bottom"/>
            <w:gridSpan w:val="6"/>
          </w:tcPr>
          <w:p>
            <w:pPr>
              <w:spacing w:after="0"/>
              <w:rPr>
                <w:sz w:val="17"/>
                <w:szCs w:val="17"/>
                <w:color w:val="auto"/>
              </w:rPr>
            </w:pPr>
          </w:p>
        </w:tc>
        <w:tc>
          <w:tcPr>
            <w:tcW w:w="680" w:type="dxa"/>
            <w:vAlign w:val="bottom"/>
          </w:tcPr>
          <w:p>
            <w:pPr>
              <w:jc w:val="right"/>
              <w:ind w:right="113"/>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620" w:right="740" w:hanging="5400"/>
        <w:spacing w:after="0" w:line="49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as of December 31, 2010 and 2009, and the related consolidated statements of income, stockholders’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Universal Electronics Inc. as of December 31, 2010 and 2009, and the results of its operations and its cash flows for each of the three years in the period ended December 31, 2010, in conformity with accounting principles generally accepted in the United States of America.</w:t>
      </w:r>
    </w:p>
    <w:p>
      <w:pPr>
        <w:spacing w:after="0" w:line="7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Universal Electronics Inc.’s internal control over financial reporting as of December 31, 2010, based on criteria established in Internal Control-Integrated Framework issued by the Committee of Sponsoring Organizations of the Treadway Commission (COSO) and our report dated March 16, 2011 expressed an unqualified opinion.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7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54,249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86,304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65,402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214,793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78,097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30,379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35,994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372,533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233,307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56,086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7,942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30,634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13,157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2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148,692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11,369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161,329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63,577</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20,877,248 and 19,140,232 shares issued at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2010 and 2009, respectively</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166,940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134,070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300,730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249,556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w w:val="95"/>
              </w:rPr>
              <w:t>Less cost of common stock in treasury, 5,926,071 and 5,449,962 shares at December 31, 2010 and 2009, respectively</w:t>
            </w:r>
          </w:p>
        </w:tc>
        <w:tc>
          <w:tcPr>
            <w:tcW w:w="10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(89,526)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211,204</w:t>
            </w:r>
          </w:p>
        </w:tc>
        <w:tc>
          <w:tcPr>
            <w:tcW w:w="3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372,533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233,307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331,780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317,550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287,100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227,931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215,938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190,910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103,849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101,612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96,190</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10,709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21,301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13,764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13,667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2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5"/>
          </w:tcPr>
          <w:p>
            <w:pPr>
              <w:jc w:val="right"/>
              <w:ind w:right="580"/>
              <w:spacing w:after="0" w:line="135" w:lineRule="exact"/>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w w:val="82"/>
              </w:rPr>
              <w:t>Issued</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in Treasury</w:t>
            </w:r>
          </w:p>
        </w:tc>
        <w:tc>
          <w:tcPr>
            <w:tcW w:w="18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1260" w:type="dxa"/>
            <w:vAlign w:val="bottom"/>
            <w:gridSpan w:val="4"/>
          </w:tcPr>
          <w:p>
            <w:pPr>
              <w:ind w:left="180"/>
              <w:spacing w:after="0"/>
              <w:rPr>
                <w:sz w:val="20"/>
                <w:szCs w:val="20"/>
                <w:color w:val="auto"/>
              </w:rPr>
            </w:pPr>
            <w:r>
              <w:rPr>
                <w:rFonts w:ascii="Arial" w:cs="Arial" w:eastAsia="Arial" w:hAnsi="Arial"/>
                <w:sz w:val="13"/>
                <w:szCs w:val="13"/>
                <w:b w:val="1"/>
                <w:bCs w:val="1"/>
                <w:color w:val="auto"/>
              </w:rPr>
              <w:t>Comprehensive</w:t>
            </w:r>
          </w:p>
        </w:tc>
        <w:tc>
          <w:tcPr>
            <w:tcW w:w="180" w:type="dxa"/>
            <w:vAlign w:val="bottom"/>
          </w:tcPr>
          <w:p>
            <w:pPr>
              <w:spacing w:after="0"/>
              <w:rPr>
                <w:sz w:val="13"/>
                <w:szCs w:val="13"/>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4"/>
              </w:rPr>
              <w:t>Comprehensive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rPr>
              <w:t>Shares</w:t>
            </w: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4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Capital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gridSpan w:val="2"/>
          </w:tcPr>
          <w:p>
            <w:pPr>
              <w:ind w:left="40"/>
              <w:spacing w:after="0" w:line="129" w:lineRule="exact"/>
              <w:rPr>
                <w:sz w:val="20"/>
                <w:szCs w:val="20"/>
                <w:color w:val="auto"/>
              </w:rPr>
            </w:pPr>
            <w:r>
              <w:rPr>
                <w:rFonts w:ascii="Arial" w:cs="Arial" w:eastAsia="Arial" w:hAnsi="Arial"/>
                <w:sz w:val="13"/>
                <w:szCs w:val="13"/>
                <w:b w:val="1"/>
                <w:bCs w:val="1"/>
                <w:color w:val="auto"/>
                <w:w w:val="93"/>
              </w:rPr>
              <w:t>Earnings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Totals</w:t>
            </w:r>
          </w:p>
        </w:tc>
        <w:tc>
          <w:tcPr>
            <w:tcW w:w="42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49"/>
              <w:spacing w:after="0" w:line="129"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2007</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18,547</w:t>
            </w:r>
          </w:p>
        </w:tc>
        <w:tc>
          <w:tcPr>
            <w:tcW w:w="660" w:type="dxa"/>
            <w:vAlign w:val="bottom"/>
            <w:gridSpan w:val="2"/>
            <w:shd w:val="clear" w:color="auto" w:fill="CCEEFF"/>
          </w:tcPr>
          <w:p>
            <w:pPr>
              <w:jc w:val="right"/>
              <w:ind w:right="137"/>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185</w:t>
            </w:r>
          </w:p>
        </w:tc>
        <w:tc>
          <w:tcPr>
            <w:tcW w:w="120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(3,975)</w:t>
            </w:r>
          </w:p>
        </w:tc>
        <w:tc>
          <w:tcPr>
            <w:tcW w:w="98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 (46,113)</w:t>
            </w:r>
          </w:p>
        </w:tc>
        <w:tc>
          <w:tcPr>
            <w:tcW w:w="1000" w:type="dxa"/>
            <w:vAlign w:val="bottom"/>
            <w:gridSpan w:val="3"/>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$ 114,441</w:t>
            </w:r>
          </w:p>
        </w:tc>
        <w:tc>
          <w:tcPr>
            <w:tcW w:w="34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11,221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88,508</w:t>
            </w:r>
          </w:p>
        </w:tc>
        <w:tc>
          <w:tcPr>
            <w:tcW w:w="90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$ 168,242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15,806</w:t>
            </w:r>
          </w:p>
        </w:tc>
        <w:tc>
          <w:tcPr>
            <w:tcW w:w="1360" w:type="dxa"/>
            <w:vAlign w:val="bottom"/>
            <w:gridSpan w:val="5"/>
            <w:shd w:val="clear" w:color="auto" w:fill="CCEEFF"/>
          </w:tcPr>
          <w:p>
            <w:pPr>
              <w:ind w:left="1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tcPr>
          <w:p>
            <w:pPr>
              <w:ind w:left="400"/>
              <w:spacing w:after="0" w:line="130" w:lineRule="exact"/>
              <w:rPr>
                <w:sz w:val="20"/>
                <w:szCs w:val="20"/>
                <w:color w:val="auto"/>
              </w:rPr>
            </w:pPr>
            <w:r>
              <w:rPr>
                <w:rFonts w:ascii="Arial" w:cs="Arial" w:eastAsia="Arial" w:hAnsi="Arial"/>
                <w:sz w:val="14"/>
                <w:szCs w:val="14"/>
                <w:color w:val="auto"/>
              </w:rPr>
              <w:t>Currency translation</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ind w:left="600"/>
              <w:spacing w:after="0"/>
              <w:rPr>
                <w:sz w:val="20"/>
                <w:szCs w:val="20"/>
                <w:color w:val="auto"/>
              </w:rPr>
            </w:pPr>
            <w:r>
              <w:rPr>
                <w:rFonts w:ascii="Arial" w:cs="Arial" w:eastAsia="Arial" w:hAnsi="Arial"/>
                <w:sz w:val="14"/>
                <w:szCs w:val="14"/>
                <w:color w:val="auto"/>
              </w:rPr>
              <w:t>adjustment</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(10,471)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(10,471)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Total comprehensive</w:t>
            </w: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income</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5"/>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5,335</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4"/>
                <w:szCs w:val="14"/>
                <w:color w:val="auto"/>
              </w:rPr>
              <w:t>Shares issued for employee benefit</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plan and compensation</w:t>
            </w:r>
          </w:p>
        </w:tc>
        <w:tc>
          <w:tcPr>
            <w:tcW w:w="560" w:type="dxa"/>
            <w:vAlign w:val="bottom"/>
          </w:tcPr>
          <w:p>
            <w:pPr>
              <w:jc w:val="right"/>
              <w:spacing w:after="0"/>
              <w:rPr>
                <w:sz w:val="20"/>
                <w:szCs w:val="20"/>
                <w:color w:val="auto"/>
              </w:rPr>
            </w:pPr>
            <w:r>
              <w:rPr>
                <w:rFonts w:ascii="Arial" w:cs="Arial" w:eastAsia="Arial" w:hAnsi="Arial"/>
                <w:sz w:val="14"/>
                <w:szCs w:val="14"/>
                <w:color w:val="auto"/>
              </w:rPr>
              <w:t>55</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rPr>
              <w:t>632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633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(1,118)</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(26,689)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(26,689)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1,157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353</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497"/>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4,243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4,243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from exercise of non-</w:t>
            </w: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qualified stock options and</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vested restricted stock</w:t>
            </w:r>
          </w:p>
        </w:tc>
        <w:tc>
          <w:tcPr>
            <w:tcW w:w="5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431</w:t>
            </w:r>
          </w:p>
        </w:tc>
        <w:tc>
          <w:tcPr>
            <w:tcW w:w="1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431</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60" w:type="dxa"/>
            <w:vAlign w:val="bottom"/>
            <w:gridSpan w:val="2"/>
          </w:tcPr>
          <w:p>
            <w:pPr>
              <w:spacing w:after="0" w:line="155" w:lineRule="exact"/>
              <w:rPr>
                <w:sz w:val="20"/>
                <w:szCs w:val="20"/>
                <w:color w:val="auto"/>
              </w:rPr>
            </w:pPr>
            <w:r>
              <w:rPr>
                <w:rFonts w:ascii="Arial" w:cs="Arial" w:eastAsia="Arial" w:hAnsi="Arial"/>
                <w:sz w:val="14"/>
                <w:szCs w:val="14"/>
                <w:color w:val="auto"/>
              </w:rPr>
              <w:t>Balance at December 31, 2008</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18,716</w:t>
            </w:r>
          </w:p>
        </w:tc>
        <w:tc>
          <w:tcPr>
            <w:tcW w:w="660" w:type="dxa"/>
            <w:vAlign w:val="bottom"/>
            <w:tcBorders>
              <w:bottom w:val="single" w:sz="8" w:color="auto"/>
            </w:tcBorders>
            <w:gridSpan w:val="2"/>
          </w:tcPr>
          <w:p>
            <w:pPr>
              <w:jc w:val="right"/>
              <w:ind w:right="137"/>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w:t>
            </w:r>
          </w:p>
        </w:tc>
        <w:tc>
          <w:tcPr>
            <w:tcW w:w="120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color w:val="auto"/>
              </w:rPr>
              <w:t>(5,070)</w:t>
            </w:r>
          </w:p>
        </w:tc>
        <w:tc>
          <w:tcPr>
            <w:tcW w:w="980" w:type="dxa"/>
            <w:vAlign w:val="bottom"/>
            <w:tcBorders>
              <w:bottom w:val="single" w:sz="8" w:color="auto"/>
            </w:tcBorders>
            <w:gridSpan w:val="3"/>
          </w:tcPr>
          <w:p>
            <w:pPr>
              <w:jc w:val="right"/>
              <w:ind w:right="200"/>
              <w:spacing w:after="0" w:line="155" w:lineRule="exact"/>
              <w:rPr>
                <w:sz w:val="20"/>
                <w:szCs w:val="20"/>
                <w:color w:val="auto"/>
              </w:rPr>
            </w:pPr>
            <w:r>
              <w:rPr>
                <w:rFonts w:ascii="Arial" w:cs="Arial" w:eastAsia="Arial" w:hAnsi="Arial"/>
                <w:sz w:val="14"/>
                <w:szCs w:val="14"/>
                <w:color w:val="auto"/>
              </w:rPr>
              <w:t>$ (72,449)</w:t>
            </w:r>
          </w:p>
        </w:tc>
        <w:tc>
          <w:tcPr>
            <w:tcW w:w="100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$ 120,551</w:t>
            </w:r>
          </w:p>
        </w:tc>
        <w:tc>
          <w:tcPr>
            <w:tcW w:w="340" w:type="dxa"/>
            <w:vAlign w:val="bottom"/>
            <w:tcBorders>
              <w:bottom w:val="single" w:sz="8" w:color="auto"/>
            </w:tcBorders>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color w:val="auto"/>
              </w:rPr>
              <w:t>750</w:t>
            </w:r>
          </w:p>
        </w:tc>
        <w:tc>
          <w:tcPr>
            <w:tcW w:w="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w w:val="94"/>
              </w:rPr>
              <w:t>104,314</w:t>
            </w:r>
          </w:p>
        </w:tc>
        <w:tc>
          <w:tcPr>
            <w:tcW w:w="9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rPr>
              <w:t>$ 153,353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40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14,675</w:t>
            </w:r>
          </w:p>
        </w:tc>
        <w:tc>
          <w:tcPr>
            <w:tcW w:w="1360" w:type="dxa"/>
            <w:vAlign w:val="bottom"/>
            <w:gridSpan w:val="5"/>
          </w:tcPr>
          <w:p>
            <w:pPr>
              <w:ind w:left="1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Currency translation</w:t>
            </w: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40" w:type="dxa"/>
            <w:vAlign w:val="bottom"/>
          </w:tcPr>
          <w:p>
            <w:pPr>
              <w:ind w:left="600"/>
              <w:spacing w:after="0" w:line="137" w:lineRule="exact"/>
              <w:rPr>
                <w:sz w:val="20"/>
                <w:szCs w:val="20"/>
                <w:color w:val="auto"/>
              </w:rPr>
            </w:pPr>
            <w:r>
              <w:rPr>
                <w:rFonts w:ascii="Arial" w:cs="Arial" w:eastAsia="Arial" w:hAnsi="Arial"/>
                <w:sz w:val="14"/>
                <w:szCs w:val="14"/>
                <w:color w:val="auto"/>
              </w:rPr>
              <w:t>Total comprehensive</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800"/>
              <w:spacing w:after="0"/>
              <w:rPr>
                <w:sz w:val="20"/>
                <w:szCs w:val="20"/>
                <w:color w:val="auto"/>
              </w:rPr>
            </w:pPr>
            <w:r>
              <w:rPr>
                <w:rFonts w:ascii="Arial" w:cs="Arial" w:eastAsia="Arial" w:hAnsi="Arial"/>
                <w:sz w:val="14"/>
                <w:szCs w:val="14"/>
                <w:color w:val="auto"/>
              </w:rPr>
              <w:t>income</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5"/>
          </w:tcPr>
          <w:p>
            <w:pPr>
              <w:ind w:left="1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Shares issued for employee benefit</w:t>
            </w: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 and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740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741</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Purchase of treasury shares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(405)</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(7,747)</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(7,747)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3,272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370</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(370)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right"/>
              <w:ind w:right="497"/>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4,312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4,312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tcPr>
          <w:p>
            <w:pPr>
              <w:spacing w:after="0" w:line="130" w:lineRule="exact"/>
              <w:rPr>
                <w:sz w:val="20"/>
                <w:szCs w:val="20"/>
                <w:color w:val="auto"/>
              </w:rPr>
            </w:pPr>
            <w:r>
              <w:rPr>
                <w:rFonts w:ascii="Arial" w:cs="Arial" w:eastAsia="Arial" w:hAnsi="Arial"/>
                <w:sz w:val="14"/>
                <w:szCs w:val="14"/>
                <w:color w:val="auto"/>
              </w:rPr>
              <w:t>Tax benefit from exercise of non-</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00"/>
              <w:spacing w:after="0" w:line="149" w:lineRule="exact"/>
              <w:rPr>
                <w:sz w:val="20"/>
                <w:szCs w:val="20"/>
                <w:color w:val="auto"/>
              </w:rPr>
            </w:pPr>
            <w:r>
              <w:rPr>
                <w:rFonts w:ascii="Arial" w:cs="Arial" w:eastAsia="Arial" w:hAnsi="Arial"/>
                <w:sz w:val="14"/>
                <w:szCs w:val="14"/>
                <w:color w:val="auto"/>
              </w:rPr>
              <w:t>qualified stock options and</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vested restricted stock</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408</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408</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2009</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19,140</w:t>
            </w:r>
          </w:p>
        </w:tc>
        <w:tc>
          <w:tcPr>
            <w:tcW w:w="660" w:type="dxa"/>
            <w:vAlign w:val="bottom"/>
            <w:tcBorders>
              <w:bottom w:val="single" w:sz="8" w:color="auto"/>
            </w:tcBorders>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1200" w:type="dxa"/>
            <w:vAlign w:val="bottom"/>
            <w:tcBorders>
              <w:bottom w:val="single" w:sz="8" w:color="auto"/>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(5,450)</w:t>
            </w:r>
          </w:p>
        </w:tc>
        <w:tc>
          <w:tcPr>
            <w:tcW w:w="980" w:type="dxa"/>
            <w:vAlign w:val="bottom"/>
            <w:tcBorders>
              <w:bottom w:val="single" w:sz="8" w:color="auto"/>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(79,826)</w:t>
            </w:r>
          </w:p>
        </w:tc>
        <w:tc>
          <w:tcPr>
            <w:tcW w:w="1000" w:type="dxa"/>
            <w:vAlign w:val="bottom"/>
            <w:tcBorders>
              <w:bottom w:val="single" w:sz="8" w:color="auto"/>
            </w:tcBorders>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$ 128,913</w:t>
            </w:r>
          </w:p>
        </w:tc>
        <w:tc>
          <w:tcPr>
            <w:tcW w:w="340" w:type="dxa"/>
            <w:vAlign w:val="bottom"/>
            <w:tcBorders>
              <w:bottom w:val="single" w:sz="8" w:color="auto"/>
            </w:tcBorders>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1,463</w:t>
            </w:r>
          </w:p>
        </w:tc>
        <w:tc>
          <w:tcPr>
            <w:tcW w:w="2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118,989</w:t>
            </w:r>
          </w:p>
        </w:tc>
        <w:tc>
          <w:tcPr>
            <w:tcW w:w="900" w:type="dxa"/>
            <w:vAlign w:val="bottom"/>
            <w:tcBorders>
              <w:bottom w:val="single" w:sz="8" w:color="auto"/>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$ 169,730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15,081</w:t>
            </w:r>
          </w:p>
        </w:tc>
        <w:tc>
          <w:tcPr>
            <w:tcW w:w="1360" w:type="dxa"/>
            <w:vAlign w:val="bottom"/>
            <w:gridSpan w:val="5"/>
            <w:shd w:val="clear" w:color="auto" w:fill="CCEEFF"/>
          </w:tcPr>
          <w:p>
            <w:pPr>
              <w:ind w:left="1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tcPr>
          <w:p>
            <w:pPr>
              <w:ind w:left="400"/>
              <w:spacing w:after="0" w:line="130" w:lineRule="exact"/>
              <w:rPr>
                <w:sz w:val="20"/>
                <w:szCs w:val="20"/>
                <w:color w:val="auto"/>
              </w:rPr>
            </w:pPr>
            <w:r>
              <w:rPr>
                <w:rFonts w:ascii="Arial" w:cs="Arial" w:eastAsia="Arial" w:hAnsi="Arial"/>
                <w:sz w:val="14"/>
                <w:szCs w:val="14"/>
                <w:color w:val="auto"/>
              </w:rPr>
              <w:t>Currency translation</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ind w:left="600"/>
              <w:spacing w:after="0"/>
              <w:rPr>
                <w:sz w:val="20"/>
                <w:szCs w:val="20"/>
                <w:color w:val="auto"/>
              </w:rPr>
            </w:pPr>
            <w:r>
              <w:rPr>
                <w:rFonts w:ascii="Arial" w:cs="Arial" w:eastAsia="Arial" w:hAnsi="Arial"/>
                <w:sz w:val="14"/>
                <w:szCs w:val="14"/>
                <w:color w:val="auto"/>
              </w:rPr>
              <w:t>adjustment</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(1,952)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Total comprehensive</w:t>
            </w: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income</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5"/>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13,129</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4"/>
                <w:szCs w:val="14"/>
                <w:color w:val="auto"/>
              </w:rPr>
              <w:t>Shares issued for employee benefit</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plan and compensation</w:t>
            </w:r>
          </w:p>
        </w:tc>
        <w:tc>
          <w:tcPr>
            <w:tcW w:w="560" w:type="dxa"/>
            <w:vAlign w:val="bottom"/>
          </w:tcPr>
          <w:p>
            <w:pPr>
              <w:jc w:val="right"/>
              <w:spacing w:after="0"/>
              <w:rPr>
                <w:sz w:val="20"/>
                <w:szCs w:val="20"/>
                <w:color w:val="auto"/>
              </w:rPr>
            </w:pPr>
            <w:r>
              <w:rPr>
                <w:rFonts w:ascii="Arial" w:cs="Arial" w:eastAsia="Arial" w:hAnsi="Arial"/>
                <w:sz w:val="14"/>
                <w:szCs w:val="14"/>
                <w:color w:val="auto"/>
              </w:rPr>
              <w:t>156</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rPr>
              <w:t>564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566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for purchase of</w:t>
            </w: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Enson Assets Limited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30,748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30,763</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Purchase of treasury shares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(506)</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(10,145)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(10,145)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24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(445)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right"/>
              <w:ind w:right="497"/>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4,966</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tcPr>
          <w:p>
            <w:pPr>
              <w:spacing w:after="0" w:line="130" w:lineRule="exact"/>
              <w:rPr>
                <w:sz w:val="20"/>
                <w:szCs w:val="20"/>
                <w:color w:val="auto"/>
              </w:rPr>
            </w:pPr>
            <w:r>
              <w:rPr>
                <w:rFonts w:ascii="Arial" w:cs="Arial" w:eastAsia="Arial" w:hAnsi="Arial"/>
                <w:sz w:val="14"/>
                <w:szCs w:val="14"/>
                <w:color w:val="auto"/>
              </w:rPr>
              <w:t>Tax benefit from exercise of non-</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00"/>
              <w:spacing w:after="0" w:line="149" w:lineRule="exact"/>
              <w:rPr>
                <w:sz w:val="20"/>
                <w:szCs w:val="20"/>
                <w:color w:val="auto"/>
              </w:rPr>
            </w:pPr>
            <w:r>
              <w:rPr>
                <w:rFonts w:ascii="Arial" w:cs="Arial" w:eastAsia="Arial" w:hAnsi="Arial"/>
                <w:sz w:val="14"/>
                <w:szCs w:val="14"/>
                <w:color w:val="auto"/>
              </w:rPr>
              <w:t>qualified stock options and</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ind w:left="200"/>
              <w:spacing w:after="0"/>
              <w:rPr>
                <w:sz w:val="20"/>
                <w:szCs w:val="20"/>
                <w:color w:val="auto"/>
              </w:rPr>
            </w:pPr>
            <w:r>
              <w:rPr>
                <w:rFonts w:ascii="Arial" w:cs="Arial" w:eastAsia="Arial" w:hAnsi="Arial"/>
                <w:sz w:val="14"/>
                <w:szCs w:val="14"/>
                <w:color w:val="auto"/>
              </w:rPr>
              <w:t>vested restricted stock</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231</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231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2010</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20,877</w:t>
            </w:r>
          </w:p>
        </w:tc>
        <w:tc>
          <w:tcPr>
            <w:tcW w:w="660" w:type="dxa"/>
            <w:vAlign w:val="bottom"/>
            <w:tcBorders>
              <w:bottom w:val="single" w:sz="8" w:color="auto"/>
            </w:tcBorders>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200" w:type="dxa"/>
            <w:vAlign w:val="bottom"/>
            <w:tcBorders>
              <w:bottom w:val="single" w:sz="8" w:color="auto"/>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(5,926)</w:t>
            </w:r>
          </w:p>
        </w:tc>
        <w:tc>
          <w:tcPr>
            <w:tcW w:w="980" w:type="dxa"/>
            <w:vAlign w:val="bottom"/>
            <w:tcBorders>
              <w:bottom w:val="single" w:sz="8" w:color="auto"/>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(89,526)</w:t>
            </w:r>
          </w:p>
        </w:tc>
        <w:tc>
          <w:tcPr>
            <w:tcW w:w="1000" w:type="dxa"/>
            <w:vAlign w:val="bottom"/>
            <w:tcBorders>
              <w:bottom w:val="single" w:sz="8" w:color="auto"/>
            </w:tcBorders>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$ 166,940</w:t>
            </w:r>
          </w:p>
        </w:tc>
        <w:tc>
          <w:tcPr>
            <w:tcW w:w="340" w:type="dxa"/>
            <w:vAlign w:val="bottom"/>
            <w:tcBorders>
              <w:bottom w:val="single" w:sz="8" w:color="auto"/>
            </w:tcBorders>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(489)</w:t>
            </w:r>
          </w:p>
        </w:tc>
        <w:tc>
          <w:tcPr>
            <w:tcW w:w="2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134,070</w:t>
            </w:r>
          </w:p>
        </w:tc>
        <w:tc>
          <w:tcPr>
            <w:tcW w:w="900" w:type="dxa"/>
            <w:vAlign w:val="bottom"/>
            <w:tcBorders>
              <w:bottom w:val="single" w:sz="8" w:color="auto"/>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$ 211,204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15,081</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14,675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15,806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6,801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6,084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3,514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4,243</w:t>
            </w: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 net of acquired assets and assumed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r>
      <w:tr>
        <w:trPr>
          <w:trHeight w:val="216"/>
        </w:trPr>
        <w:tc>
          <w:tcPr>
            <w:tcW w:w="20" w:type="dxa"/>
            <w:vAlign w:val="bottom"/>
          </w:tcPr>
          <w:p>
            <w:pPr>
              <w:spacing w:after="0"/>
              <w:rPr>
                <w:sz w:val="18"/>
                <w:szCs w:val="18"/>
                <w:color w:val="auto"/>
              </w:rPr>
            </w:pPr>
          </w:p>
        </w:tc>
        <w:tc>
          <w:tcPr>
            <w:tcW w:w="788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(5,102)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(12,817)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w:t>
            </w:r>
          </w:p>
        </w:tc>
      </w:tr>
      <w:tr>
        <w:trPr>
          <w:trHeight w:val="216"/>
        </w:trPr>
        <w:tc>
          <w:tcPr>
            <w:tcW w:w="20" w:type="dxa"/>
            <w:vAlign w:val="bottom"/>
          </w:tcPr>
          <w:p>
            <w:pPr>
              <w:spacing w:after="0"/>
              <w:rPr>
                <w:sz w:val="18"/>
                <w:szCs w:val="18"/>
                <w:color w:val="auto"/>
              </w:rPr>
            </w:pPr>
          </w:p>
        </w:tc>
        <w:tc>
          <w:tcPr>
            <w:tcW w:w="7880" w:type="dxa"/>
            <w:vAlign w:val="bottom"/>
          </w:tcPr>
          <w:p>
            <w:pPr>
              <w:ind w:left="8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15,668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income and other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(4,322)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r>
      <w:tr>
        <w:trPr>
          <w:trHeight w:val="230"/>
        </w:trPr>
        <w:tc>
          <w:tcPr>
            <w:tcW w:w="20" w:type="dxa"/>
            <w:vAlign w:val="bottom"/>
          </w:tcPr>
          <w:p>
            <w:pPr>
              <w:spacing w:after="0"/>
              <w:rPr>
                <w:sz w:val="20"/>
                <w:szCs w:val="20"/>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23,987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Acquisition of Enson Assets Limited, net of cash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(74,133)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deposit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49,246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(49,246)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Acquisition of 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(8,440)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(5,945)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(1,475)</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Acquisition of assets from Zilog,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(34,705)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(66,091)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(7,420)</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Cash provided by (used for) financing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Payment of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(9,834)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options exercised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Treasury stock 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(10,145)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(26,689)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Net cash provided by (used for) financing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(25,187)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(8,917)</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(46,222)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(11,372)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29,016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75,238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86,610</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29,016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75,238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Cash Flow Information — </w:t>
      </w:r>
      <w:r>
        <w:rPr>
          <w:rFonts w:ascii="Arial" w:cs="Arial" w:eastAsia="Arial" w:hAnsi="Arial"/>
          <w:sz w:val="17"/>
          <w:szCs w:val="17"/>
          <w:i w:val="1"/>
          <w:iCs w:val="1"/>
          <w:color w:val="auto"/>
        </w:rPr>
        <w:t>Income taxes paid were $11.7 million, $8.1 million and $8.2 million in 2010, 2009, and 2008, respectively.</w:t>
      </w:r>
    </w:p>
    <w:p>
      <w:pPr>
        <w:spacing w:after="0" w:line="12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Universal Electronics Inc., based in Southern California, develops and manufactures a broad line of easy-to-use, pre-programmed universal wireless control products and audio-video accessories as well as software designed to enable consumers to wirelessly connect, control and interact with an increasingly complex home entertainment environment. In addition, over the past 23 years we have developed a broad portfolio of patented technologies and a database of home connectivity software that we license to our customers, including many leading Fortune 500 companies.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Our primary markets include cable and satellite television service provider, original equipment manufacturer (“OEMs”), retail, custom installer, private label, and personal computing companies. We sell directly to our customers, and for retail and custom installers we also sell through distributors in Europe, Australia, New Zealand, South Africa, the Middle East, Mexico, and selected countries in Asia and Latin America under the </w:t>
      </w:r>
      <w:r>
        <w:rPr>
          <w:rFonts w:ascii="Arial" w:cs="Arial" w:eastAsia="Arial" w:hAnsi="Arial"/>
          <w:sz w:val="18"/>
          <w:szCs w:val="18"/>
          <w:i w:val="1"/>
          <w:iCs w:val="1"/>
          <w:color w:val="auto"/>
        </w:rPr>
        <w:t>One For All</w:t>
      </w:r>
      <w:r>
        <w:rPr>
          <w:rFonts w:ascii="Arial" w:cs="Arial" w:eastAsia="Arial" w:hAnsi="Arial"/>
          <w:sz w:val="18"/>
          <w:szCs w:val="18"/>
          <w:color w:val="auto"/>
        </w:rPr>
        <w:t>® and Nevo</w:t>
      </w:r>
      <w:r>
        <w:rPr>
          <w:rFonts w:ascii="Arial" w:cs="Arial" w:eastAsia="Arial" w:hAnsi="Arial"/>
          <w:sz w:val="15"/>
          <w:szCs w:val="15"/>
          <w:color w:val="auto"/>
        </w:rPr>
        <w:t>®</w:t>
      </w:r>
      <w:r>
        <w:rPr>
          <w:rFonts w:ascii="Arial" w:cs="Arial" w:eastAsia="Arial" w:hAnsi="Arial"/>
          <w:sz w:val="18"/>
          <w:szCs w:val="18"/>
          <w:color w:val="auto"/>
        </w:rPr>
        <w:t xml:space="preserve"> brand names.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the intercompany accounts and transactions have been eliminated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prior period amounts in the accompanying consolidated financial statements have been reclassified to conform to the current year presentation. These reclassifications had no effect on previously reported net income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sales returns and doubtful accounts, warranties, inventory valuation, business combination purchase price allocations, our review for impairment of long-lived assets, intangible assets and goodwill, income taxes and compensation expense. Actual results may differ from these assumptions and estimates, and they may be adjusted as more information becomes available. Any adjustment may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Sales Allowances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provision recorded for estimated sales returns is deducted from gross sales to arrive at net sales in the period the related revenue is recorded. These estimates are based on historical sales returns, analysis of credit memo data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other known factors. We have no obligations after delivery of our products other than the associated warranties (see Note 13 for further information concerning our warranty obligations).</w:t>
      </w:r>
    </w:p>
    <w:p>
      <w:pPr>
        <w:spacing w:after="0" w:line="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offer discounts and rebates that are recorded based on historical experience and our expectation regarding future sales by a customer.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they are distributed in customer account credits (see below and Note 4 for further information concerning our sales allowances).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5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also license our intellectual property including our patented technologies, trade secrets,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license fees are paid in an up-front, non-refundable, payment for a specified period of time we recognize revenue on a straight-line basis over the effective term of the license because we cannot reliably predict in which periods, within the term of the license, the licensee will benefit from the use of our patented inventions.</w:t>
      </w:r>
    </w:p>
    <w:p>
      <w:pPr>
        <w:spacing w:after="0" w:line="5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may from time to time initiate the sale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collectability is reasonably assured.</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determine that it is more likely than not that the deferred tax assets will not be realized. A current tax asset or liability is recognized for the estimated taxes refundable or payable for the current year.</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January 1, 2007, we adopted an accounting standard which prescribes a recognition threshold and a measurement attribute for the financial statement recognition and measurement of the positions taken or expected to be taken in a tax return. For those benefits to be recognized, a tax position must be more likely than not to be sustained upon examination by taxing authorities. A “more likely than not” tax position is measured as the largest amount of benefit that is greater than fifty percent likely of being realized upon ultimate settlement, or else a full reserve is established against the tax asset or a liability is recorded. See Note 9 for further information concerning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$1.7 million, $1.3 million and $2.1 million for the years ended December 31, 2010, 2009 and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$7.5 million, $7.9 million and $8.4 million for the years ended December 31, 2010, 2009 and 2008,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is generally one to four years.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determine the fair value of the restricted stock awards utilizing the average of the high and low trade prices of our Company’s shares on the date they were granted.</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evaluated the available option pricing models and the assumptions we may utilize to estimate the grant date fair value of stock options granted to employees and directors. We have elected to utilize the Black-Scholes option pricing model. The assumptions utilized in the Black-Scholes model include the following:</w:t>
      </w:r>
    </w:p>
    <w:p>
      <w:pPr>
        <w:spacing w:after="0" w:line="73"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weighted average fair value of grant;</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risk-free interest rate;</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expected volatility; and</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expected life in years.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risk-free interest rate over the expected term is equal to the prevailing U.S. Treasury note rate over the same period. As part of our assessment of possible expected volatility assumptions, management determined that historical volatility calculated based on our actively traded common stock is a better indicator of expected volatility and future stock price trends than implied volatility. Therefore, we calculate the expected volatility of our common stock utilizing its historical volatility over a period of time equal to the expected term of the stock option. To determine our expected life assumption, we examined the historical pattern of stock option exercises in an effort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determine if there were any discernable patterns based on employee classification. From this analysis, we identified two classifications: (1) Executives and Board of Directors and (2) Non-Executives. Our estimate of expected life is computed utilizing historical exercise patterns and post-vesting behavior within each of the two identified classifications. See Notes 14 and 16 for further information regarding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recorded a foreign currency translation loss of $2.0 million, a gain of $0.7 million and a loss of $10.5 million for the years ended December 31, 2010, 2009 and 2008, respectively. The foreign currency translation loss of $2.0 million for the year ended December 31, 2010 was driven by the strengthening of the U.S. dollar versus the Euro. The U.S. dollar/Euro spot rate was 1.34 and 1.43 at December 31, 2010 and 2009,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foreign currency translation gain of $0.7 million for the year ended December 31, 2009 was driven by the weakening of the U.S. dollar versus the Euro.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 dollar/Euro spot rate was 1.43 and 1.39 at December 31, 2009 and 2008, respectively.</w:t>
      </w:r>
    </w:p>
    <w:p>
      <w:pPr>
        <w:spacing w:after="0" w:line="10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foreign currency translation loss of $10.5 million for the year ended December 31, 2008 was driven by the strengthening of the U.S. dollar versus the Euro. The U.S. dollar/Euro spot rate was 1.39 and 1.46 at December 31, 2008 and 2007, respectively. The foreign currency translation loss during 2008 was compounded by our transfer of €47.0 million ($60.2 million) into Hong Kong dollars (which are indexed to the U.S. dollar) in November 2008. The U.S. dollar/Euro spot rate at the time of transfer was 1.28. This composed approximately $7.2 million of the foreign currency translation loss for 2008.</w:t>
      </w:r>
    </w:p>
    <w:p>
      <w:pPr>
        <w:spacing w:after="0" w:line="4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financial instruments consist primarily of investments in cash and cash equivalents, term deposits, accounts receivable, accounts payable and accrued liabilities. The carrying value of our financial instruments approximate fair value as a result of their short maturities (see Notes 3, 4, 5, 8, 10, and 11 for further information concerning our financial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Term Deposit</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3 months or less. We attempt to mitigate our exposure to liquidity, credit and other relevant risks by placing our cash, cash equivalents, and term deposits with financial institutions we believe are high quality. These financial institutions are located in many different geographic regions. As part of our cash and risk management processes, we perform</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periodic evaluations of the relative credit standing of our financial institutions. We have not sustained credit losses from instruments held at financial institutions (see Note 3 for further information concerning cash, cash equivalents, and term deposit).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Inventories consist of remote controls, audio-video accessories as well as the related component parts and raw materials.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79"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its estimated net realizable value. These estimates are based upon management’s judgment about future demand and market conditions.</w:t>
      </w:r>
    </w:p>
    <w:p>
      <w:pPr>
        <w:ind w:right="400"/>
        <w:spacing w:after="0" w:line="290" w:lineRule="auto"/>
        <w:rPr>
          <w:sz w:val="20"/>
          <w:szCs w:val="20"/>
          <w:color w:val="auto"/>
        </w:rPr>
      </w:pPr>
      <w:r>
        <w:rPr>
          <w:rFonts w:ascii="Arial" w:cs="Arial" w:eastAsia="Arial" w:hAnsi="Arial"/>
          <w:sz w:val="17"/>
          <w:szCs w:val="17"/>
          <w:color w:val="auto"/>
        </w:rPr>
        <w:t>Actual results may differ from management’s judgments and additional write-downs may be required. Our total excess and obsolete inventory reserve on December 31, 2010 and 2009 was $2.1 million and $1.8 million, respectively, or 3.2% and 4.1% of our total inventory balance.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Property, plant, and equipment are recorded at cost less estimated residual value (if applicable).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must have a useful life greater than one year and a cost greater than $1,000 for individual assets or $5,000 for assets purchased in bulk.</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 in operating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consist of the following:</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Tooling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5-7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lease term or useful life (approximately 2 to 6 years)</w:t>
      </w:r>
    </w:p>
    <w:p>
      <w:pPr>
        <w:spacing w:after="0" w:line="126" w:lineRule="exact"/>
        <w:rPr>
          <w:sz w:val="20"/>
          <w:szCs w:val="20"/>
          <w:color w:val="auto"/>
        </w:rPr>
      </w:pPr>
    </w:p>
    <w:p>
      <w:pPr>
        <w:sectPr>
          <w:pgSz w:w="11900" w:h="16838" w:orient="portrait"/>
          <w:cols w:equalWidth="0" w:num="2">
            <w:col w:w="5240" w:space="720"/>
            <w:col w:w="546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evaluate the carrying value of goodwill on December 31 of each year and between annual evaluations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evaluate whether goodwill is impaired,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must perform the second step of the impairment test in order to determine the implied fair value of the reporting unit’s goodwill. If the carrying value of a reporting unit’s goodwill exceeds its implied fair value, then we record an impairment loss equal to the difference.</w:t>
      </w:r>
    </w:p>
    <w:p>
      <w:pPr>
        <w:spacing w:after="0" w:line="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when the carrying amount of goodwill exceeds its implied fair value.</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conducted annual goodwill impairment reviews on December 31, 2010, 2009 and 2008. Based on the analysis performed, we determined that the fair values of our reporting unit exceeded its carrying amount, including goodwill, and therefore it was not impaired. See Notes 7 and 21 for further information concerning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Intangible assets consist principally of distribution rights, patents, trademarks,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and customer relationships. Capitalized amounts related to patents represent external legal costs for the application and maintenance of patents. Intangible assets are amortized using the straight-line method over their estimated period of benefit, ranging from one to fifteen years.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expected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must make assumptions regarding estimated future cash flows, discount rates and other factors.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See Notes 6 and 15 for further information concerning long-lived assets. See Notes 7 and 21 for further information concerning 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to develop software for resale are expensed when incurred as research and development until technological feasibility has been established. We have determined that technological feasibility for our products is established when a working model is complete. Once technological feasibility is established, software development costs are capitalized until the product is available for general release to customers.</w:t>
      </w:r>
    </w:p>
    <w:p>
      <w:pPr>
        <w:spacing w:after="0" w:line="5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amount computed using:</w:t>
      </w:r>
    </w:p>
    <w:p>
      <w:pPr>
        <w:spacing w:after="0" w:line="62" w:lineRule="exact"/>
        <w:rPr>
          <w:sz w:val="20"/>
          <w:szCs w:val="20"/>
          <w:color w:val="auto"/>
        </w:rPr>
      </w:pPr>
    </w:p>
    <w:p>
      <w:pPr>
        <w:ind w:left="420" w:right="660" w:hanging="18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75" w:lineRule="exact"/>
        <w:rPr>
          <w:rFonts w:ascii="Arial" w:cs="Arial" w:eastAsia="Arial" w:hAnsi="Arial"/>
          <w:sz w:val="18"/>
          <w:szCs w:val="18"/>
          <w:color w:val="auto"/>
        </w:rPr>
      </w:pPr>
    </w:p>
    <w:p>
      <w:pPr>
        <w:ind w:left="420" w:hanging="18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periods normally range from one to two years.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purposes and the amount of the write-down is not subsequently restored. See Note 7 for further information concerning capitalized software development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1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Our foreign currency exposures are primarily concentrated in the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1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measure fair value using the framework established by the FASB accounting guidance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source of values. These two types of inputs create the following fair value hierarchy:</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225" w:lineRule="exact"/>
        <w:rPr>
          <w:sz w:val="20"/>
          <w:szCs w:val="20"/>
          <w:color w:val="auto"/>
        </w:rPr>
      </w:pPr>
    </w:p>
    <w:p>
      <w:pPr>
        <w:jc w:val="both"/>
        <w:ind w:left="920" w:right="420" w:hanging="917"/>
        <w:spacing w:after="0" w:line="264" w:lineRule="auto"/>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January 2010, the FASB issued Accounting Standards Update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Early adoption is permitted. We have not yet adopted the portion of this ASU that is effective beginning on or after December 15, 2010, and we do not expect its adoption will have a material effect on our consolidated results of operations and financial condition.</w:t>
      </w:r>
    </w:p>
    <w:p>
      <w:pPr>
        <w:spacing w:after="0" w:line="5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October 2009, the FASB issued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 vendor. This ASU addresses concerns that the current accounting model may not appropriately reflect the economics of the underlying transactions because no revenue is 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do not expect its adoption will have a material effect on our consolidated results of operations and financial condition.</w:t>
      </w:r>
    </w:p>
    <w:p>
      <w:pPr>
        <w:spacing w:after="0" w:line="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During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do not expect its adoption will have a material effect on our consolidated results of operations and financial condition.</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December 2010, the FASB issued ASU No. 2010-29 to address diversity in practice regarding the interpretation of the pro forma revenue and earnings disclosure requirements for business combinations. ASC 805- 10-50-2(h) requires a public entity to disclose pro forma information for business combinations that occurred during the current annual reporting period. The disclosures include combined pro forma revenue and earnings as though the acquisition date for all business combinations during the year had been as of the beginning of the annual reporting period. If comparative financial statements are presented, the pro forma revenue and earnings of the combined entity should be reported as though the acquisition date for all business combinations that occurred during the current year had been as of the beginning of the comparable prior annual reporting period. In practice, some preparers have presented the pro forma information in their comparative financial statements as if the business combination that occurred in the current reporting period had occurred as of the beginning of each of the current and prior annual reporting periods. Other preparers have disclosed the pro forma information as if the business combination occurred at the beginning of the prior annual reporting period only, and carried forward the related adjustments, if applicable, through the current reporting period. The amendments in this update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 amendments in this Update also expand the supplemental pro forma disclosures under Topic 805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2010. Early adoption is permitted. We have not yet adopted this ASU, and we do not expect its adoption will have a material effect on our consolidated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December 2007, the FASB issued guidance that established principles and requirements for how an acquirer recognizes and measures in its financial statements the identifiable assets acquired, the liabilities assumed, any non-controlling interest in the acquiree and the goodwill acquired. This guidance also establishes disclosure requirements to enable the evaluation of the nature and financial effects of the business combination. The adoption of this guidance will affect the classification of acquisition costs. These costs will now be expensed, versus being added to the consideration transferred for an acquisition. The result is a reduction in the consideration amount allocated to specific assets and liabilities received in an acquisition. This guidance was effective for us January 1, 2009. As a result of adopting this guidance, we recognized $1.1 million of acquisition costs during the year ended December 31, 2009 related to our purchase of assets from Zilog. The acquisition costs recognized during 2009 included $0.1 million of acquisition costs that were deferred at December 31, 2008. In addition, during 2010 we recognized $0.7 million of acquisition costs during the year ended December 31, 2010 related to our purchase of Enson Assets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Cash Equivalents, and Term Deposit</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sets forth our cash, cash equivalents, and term deposit that were accounted for at fair value on a recurring basis on December 31,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December 31, 2010</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5"/>
              </w:rPr>
              <w:t>December 31, 2009</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7"/>
          </w:tcPr>
          <w:p>
            <w:pPr>
              <w:jc w:val="center"/>
              <w:ind w:left="54"/>
              <w:spacing w:after="0" w:line="142" w:lineRule="exact"/>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6"/>
          </w:tcPr>
          <w:p>
            <w:pPr>
              <w:jc w:val="center"/>
              <w:ind w:left="34"/>
              <w:spacing w:after="0" w:line="142" w:lineRule="exact"/>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(Level 2)</w:t>
            </w:r>
          </w:p>
        </w:tc>
        <w:tc>
          <w:tcPr>
            <w:tcW w:w="460" w:type="dxa"/>
            <w:vAlign w:val="bottom"/>
          </w:tcPr>
          <w:p>
            <w:pPr>
              <w:spacing w:after="0"/>
              <w:rPr>
                <w:sz w:val="12"/>
                <w:szCs w:val="12"/>
                <w:color w:val="auto"/>
              </w:rPr>
            </w:pPr>
          </w:p>
        </w:tc>
        <w:tc>
          <w:tcPr>
            <w:tcW w:w="7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(Level 2)</w:t>
            </w:r>
          </w:p>
        </w:tc>
        <w:tc>
          <w:tcPr>
            <w:tcW w:w="440" w:type="dxa"/>
            <w:vAlign w:val="bottom"/>
          </w:tcPr>
          <w:p>
            <w:pPr>
              <w:spacing w:after="0"/>
              <w:rPr>
                <w:sz w:val="12"/>
                <w:szCs w:val="12"/>
                <w:color w:val="auto"/>
              </w:rPr>
            </w:pPr>
          </w:p>
        </w:tc>
        <w:tc>
          <w:tcPr>
            <w:tcW w:w="6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54,249</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29,016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Term deposit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49,246</w:t>
            </w:r>
          </w:p>
        </w:tc>
        <w:tc>
          <w:tcPr>
            <w:tcW w:w="2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49,246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54,249</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78,262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78,262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December 31, 2010, we had approximately $6.5 million, $15.0 million, $27.8 million, $4.0 million, and $0.9 million of cash and cash equivalents in the United States, Europe, Asia, Cayman Islands and Brazil, respectively.</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on December 31, 2009, we had a six-month term deposit cash account at Wells Fargo Bank denominated in Hong Kong dollars. The term began on July 21, 2009 and ended on January 21, 2010. The term deposit earned interest at an annual rate of 0.57%. The deposit principal and interest receivable related to this account on December 31, 2009 was $49.2 million and $0.1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for further information regarding our accounting principles.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gross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88,485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68,458</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(878)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(2,423)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Net trade receivables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86,241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64,036</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86,304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64,392</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2010,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Balance at</w:t>
            </w:r>
          </w:p>
        </w:tc>
        <w:tc>
          <w:tcPr>
            <w:tcW w:w="320" w:type="dxa"/>
            <w:vAlign w:val="bottom"/>
          </w:tcPr>
          <w:p>
            <w:pPr>
              <w:spacing w:after="0"/>
              <w:rPr>
                <w:sz w:val="14"/>
                <w:szCs w:val="14"/>
                <w:color w:val="auto"/>
              </w:rPr>
            </w:pPr>
          </w:p>
        </w:tc>
        <w:tc>
          <w:tcPr>
            <w:tcW w:w="14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80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66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rPr>
              <w:t>Beginning of</w:t>
            </w:r>
          </w:p>
        </w:tc>
        <w:tc>
          <w:tcPr>
            <w:tcW w:w="17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to Costs and</w:t>
            </w:r>
          </w:p>
        </w:tc>
        <w:tc>
          <w:tcPr>
            <w:tcW w:w="11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Period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Expenses</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FX Effects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2,439</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allowance for sales returns balance at December 31, 2010 and 2009 contained reserves for items returned prior to year-end, but that were not completely processed, and therefore had not yet been removed from the allowance for sales returns balance. If these returns had been fully processed, the allowance for sales returns balance would have been approximately $0.9 million and $1.4 million on December 31, 2010 and 2009, respectively. The value of these returned goods was included in our inventory balance at December 31, 2010 and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years ended December 31, 2010, 2009 and 2008, we had net sales to two significant customers, that when combined with their subcontractors, each totaled to more than 10% of our consolidated net sales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8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7"/>
              </w:rPr>
              <w:t>(thousands)</w:t>
            </w:r>
          </w:p>
        </w:tc>
        <w:tc>
          <w:tcPr>
            <w:tcW w:w="9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9"/>
              </w:rPr>
              <w:t>(thousands)</w:t>
            </w:r>
          </w:p>
        </w:tc>
        <w:tc>
          <w:tcPr>
            <w:tcW w:w="480" w:type="dxa"/>
            <w:vAlign w:val="bottom"/>
          </w:tcPr>
          <w:p>
            <w:pPr>
              <w:spacing w:after="0"/>
              <w:rPr>
                <w:sz w:val="12"/>
                <w:szCs w:val="12"/>
                <w:color w:val="auto"/>
              </w:rPr>
            </w:pPr>
          </w:p>
        </w:tc>
        <w:tc>
          <w:tcPr>
            <w:tcW w:w="88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7"/>
              </w:rPr>
              <w:t>(thousands)</w:t>
            </w:r>
          </w:p>
        </w:tc>
        <w:tc>
          <w:tcPr>
            <w:tcW w:w="480" w:type="dxa"/>
            <w:vAlign w:val="bottom"/>
          </w:tcPr>
          <w:p>
            <w:pPr>
              <w:spacing w:after="0"/>
              <w:rPr>
                <w:sz w:val="12"/>
                <w:szCs w:val="12"/>
                <w:color w:val="auto"/>
              </w:rPr>
            </w:pPr>
          </w:p>
        </w:tc>
        <w:tc>
          <w:tcPr>
            <w:tcW w:w="900" w:type="dxa"/>
            <w:vAlign w:val="bottom"/>
          </w:tcPr>
          <w:p>
            <w:pPr>
              <w:spacing w:after="0" w:line="142" w:lineRule="exact"/>
              <w:rPr>
                <w:sz w:val="20"/>
                <w:szCs w:val="20"/>
                <w:color w:val="auto"/>
              </w:rPr>
            </w:pPr>
            <w:r>
              <w:rPr>
                <w:rFonts w:ascii="Arial" w:cs="Arial" w:eastAsia="Arial" w:hAnsi="Arial"/>
                <w:sz w:val="14"/>
                <w:szCs w:val="14"/>
                <w:b w:val="1"/>
                <w:bCs w:val="1"/>
                <w:color w:val="auto"/>
                <w:w w:val="91"/>
              </w:rPr>
              <w:t>% of Net Sales</w:t>
            </w:r>
          </w:p>
        </w:tc>
        <w:tc>
          <w:tcPr>
            <w:tcW w:w="160" w:type="dxa"/>
            <w:vAlign w:val="bottom"/>
          </w:tcPr>
          <w:p>
            <w:pPr>
              <w:spacing w:after="0"/>
              <w:rPr>
                <w:sz w:val="12"/>
                <w:szCs w:val="12"/>
                <w:color w:val="auto"/>
              </w:rPr>
            </w:pPr>
          </w:p>
        </w:tc>
      </w:tr>
      <w:tr>
        <w:trPr>
          <w:trHeight w:val="20"/>
        </w:trPr>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45,367</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66,849</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Customer B</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42,716</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35,382</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38,577</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250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200" w:type="dxa"/>
            <w:vAlign w:val="bottom"/>
            <w:gridSpan w:val="2"/>
          </w:tcPr>
          <w:p>
            <w:pPr>
              <w:ind w:left="300"/>
              <w:spacing w:after="0" w:line="119" w:lineRule="exact"/>
              <w:rPr>
                <w:sz w:val="20"/>
                <w:szCs w:val="20"/>
                <w:color w:val="auto"/>
              </w:rPr>
            </w:pPr>
            <w:r>
              <w:rPr>
                <w:rFonts w:ascii="Arial" w:cs="Arial" w:eastAsia="Arial" w:hAnsi="Arial"/>
                <w:sz w:val="13"/>
                <w:szCs w:val="13"/>
                <w:b w:val="1"/>
                <w:bCs w:val="1"/>
                <w:color w:val="auto"/>
                <w:w w:val="97"/>
              </w:rPr>
              <w:t>% of Accounts</w:t>
            </w:r>
          </w:p>
        </w:tc>
        <w:tc>
          <w:tcPr>
            <w:tcW w:w="420" w:type="dxa"/>
            <w:vAlign w:val="bottom"/>
          </w:tcPr>
          <w:p>
            <w:pPr>
              <w:spacing w:after="0"/>
              <w:rPr>
                <w:sz w:val="10"/>
                <w:szCs w:val="10"/>
                <w:color w:val="auto"/>
              </w:rPr>
            </w:pP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7"/>
              </w:rPr>
              <w:t>(thousands)</w:t>
            </w:r>
          </w:p>
        </w:tc>
        <w:tc>
          <w:tcPr>
            <w:tcW w:w="92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 of Accounts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receivable, net</w:t>
            </w:r>
          </w:p>
        </w:tc>
        <w:tc>
          <w:tcPr>
            <w:tcW w:w="3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7,006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Customer B</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4,786</w:t>
            </w:r>
          </w:p>
        </w:tc>
        <w:tc>
          <w:tcPr>
            <w:tcW w:w="320" w:type="dxa"/>
            <w:vAlign w:val="bottom"/>
          </w:tcPr>
          <w:p>
            <w:pPr>
              <w:spacing w:after="0"/>
              <w:rPr>
                <w:sz w:val="20"/>
                <w:szCs w:val="20"/>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5.5%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6,516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had a third customer that accounted for greater than 10% of accounts receivable, net on December 31, 2010, but did not account for greater than 10% of net sales for the year then ended. Trade receivables with this customer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amounted to $10,458 thousand, or 12.1%, of our accounts receivable, net on December 31, 2010. We had a fourth customer that accounted for greater than 10% of accounts receivable, net on December 31, 2009, but did not account for greater than 10% of net sales for the year then ended. Trade receivables with this customer amounted to $6,866 thousand, or 10.7%, of our accounts receivable, net on December 31, 2009.</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loss of these customers or any other customer, either in the United States or abroad, due to their financial weakness or bankruptcy, or our inability to obtain orders or maintain our order volume with them, may have a material adverse effect on our financial condition, results of operations and cash flows. Please 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further information regarding our accounting principles.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at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15,416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Components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10,806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9,384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38,430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31,121</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65,402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40,947</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excess and obsolete inventory during the years ended December 30, 2010, 2009 and 2008 were composed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7"/>
              </w:rPr>
              <w:t>Balance at</w:t>
            </w:r>
          </w:p>
        </w:tc>
        <w:tc>
          <w:tcPr>
            <w:tcW w:w="32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Additions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Sell</w:t>
            </w:r>
          </w:p>
        </w:tc>
        <w:tc>
          <w:tcPr>
            <w:tcW w:w="15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Write-offs/FX</w:t>
            </w:r>
          </w:p>
        </w:tc>
        <w:tc>
          <w:tcPr>
            <w:tcW w:w="3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66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rPr>
              <w:t>Beginning of</w:t>
            </w:r>
          </w:p>
        </w:tc>
        <w:tc>
          <w:tcPr>
            <w:tcW w:w="32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Costs and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Period</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Expenses</w:t>
            </w:r>
            <w:r>
              <w:rPr>
                <w:rFonts w:ascii="Arial" w:cs="Arial" w:eastAsia="Arial" w:hAnsi="Arial"/>
                <w:sz w:val="12"/>
                <w:szCs w:val="12"/>
                <w:color w:val="auto"/>
              </w:rPr>
              <w:t>(1)</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Through</w:t>
            </w:r>
            <w:r>
              <w:rPr>
                <w:rFonts w:ascii="Arial" w:cs="Arial" w:eastAsia="Arial" w:hAnsi="Arial"/>
                <w:sz w:val="12"/>
                <w:szCs w:val="12"/>
                <w:color w:val="auto"/>
              </w:rPr>
              <w:t>(2)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Effects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Year Ended December 31, 2010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1,750</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2,887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(1,043)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(1,459)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December 31, 2009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1,535</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Year Ended December 31, 2008</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1,826</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2,409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(454)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(2,246)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6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additions charged to costs and expenses does not include inventory directly written-off that was scrapped during production totaling $0.6 million, $0.8 million, and $0.9 million for the years ended December 31, 2010, 2009 and 2008. These amounts are production waste and are not included in management’s reserve for excess and obsolete inventory.</w:t>
      </w:r>
    </w:p>
    <w:p>
      <w:pPr>
        <w:spacing w:after="0" w:line="32" w:lineRule="exact"/>
        <w:rPr>
          <w:rFonts w:ascii="Arial" w:cs="Arial" w:eastAsia="Arial" w:hAnsi="Arial"/>
          <w:sz w:val="18"/>
          <w:szCs w:val="18"/>
          <w:color w:val="auto"/>
        </w:rPr>
      </w:pPr>
    </w:p>
    <w:p>
      <w:pPr>
        <w:ind w:left="460" w:right="26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for further information regarding our accounting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purchase integrated circuits, used principally in our wireless control products, from two main suppliers. The total purchased from one of these suppliers was greater than 10% of our total inventory purchases. In addition, our purchases from one component and finished good supplier amounted to greater than 10% of our total inventory purchases for the year ended December 31, 2010. Our purchases from three component and finished good suppliers each amounted to greater than 10% of our total inventory purchases for the years ended December 31, 2009 and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2010, 2009 and 2008, the amounts purchased from these four suppliers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1038"/>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1053"/>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105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1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Total</w:t>
            </w:r>
          </w:p>
        </w:tc>
        <w:tc>
          <w:tcPr>
            <w:tcW w:w="5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(thousands)</w:t>
            </w:r>
          </w:p>
        </w:tc>
        <w:tc>
          <w:tcPr>
            <w:tcW w:w="30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5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0"/>
                <w:szCs w:val="10"/>
                <w:color w:val="auto"/>
              </w:rPr>
            </w:pPr>
          </w:p>
        </w:tc>
        <w:tc>
          <w:tcPr>
            <w:tcW w:w="1260" w:type="dxa"/>
            <w:vAlign w:val="bottom"/>
          </w:tcPr>
          <w:p>
            <w:pPr>
              <w:jc w:val="right"/>
              <w:ind w:right="231"/>
              <w:spacing w:after="0" w:line="119" w:lineRule="exact"/>
              <w:rPr>
                <w:sz w:val="20"/>
                <w:szCs w:val="20"/>
                <w:color w:val="auto"/>
              </w:rPr>
            </w:pPr>
            <w:r>
              <w:rPr>
                <w:rFonts w:ascii="Arial" w:cs="Arial" w:eastAsia="Arial" w:hAnsi="Arial"/>
                <w:sz w:val="13"/>
                <w:szCs w:val="13"/>
                <w:b w:val="1"/>
                <w:bCs w:val="1"/>
                <w:color w:val="auto"/>
              </w:rPr>
              <w:t>% of Total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Inventory Purchases</w:t>
            </w: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Inventory Purchases</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28,290</w:t>
            </w:r>
          </w:p>
        </w:tc>
        <w:tc>
          <w:tcPr>
            <w:tcW w:w="2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28,208</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w w:val="99"/>
              </w:rPr>
              <w:t>Component and finished good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20"/>
              <w:spacing w:after="0"/>
              <w:rPr>
                <w:sz w:val="20"/>
                <w:szCs w:val="20"/>
                <w:color w:val="auto"/>
              </w:rPr>
            </w:pPr>
            <w:r>
              <w:rPr>
                <w:rFonts w:ascii="Arial" w:cs="Arial" w:eastAsia="Arial" w:hAnsi="Arial"/>
                <w:sz w:val="18"/>
                <w:szCs w:val="18"/>
                <w:color w:val="auto"/>
              </w:rPr>
              <w:t>supplier A</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36,966</w:t>
            </w:r>
          </w:p>
        </w:tc>
        <w:tc>
          <w:tcPr>
            <w:tcW w:w="2060" w:type="dxa"/>
            <w:vAlign w:val="bottom"/>
            <w:gridSpan w:val="3"/>
          </w:tcPr>
          <w:p>
            <w:pPr>
              <w:jc w:val="right"/>
              <w:ind w:right="36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44,590</w:t>
            </w:r>
          </w:p>
        </w:tc>
        <w:tc>
          <w:tcPr>
            <w:tcW w:w="2080" w:type="dxa"/>
            <w:vAlign w:val="bottom"/>
            <w:gridSpan w:val="3"/>
          </w:tcPr>
          <w:p>
            <w:pPr>
              <w:jc w:val="right"/>
              <w:ind w:right="38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50,566</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Component and finished good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supplier B </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46,004</w:t>
            </w:r>
          </w:p>
        </w:tc>
        <w:tc>
          <w:tcPr>
            <w:tcW w:w="2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38,088</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w w:val="99"/>
              </w:rPr>
              <w:t>Component and finished good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20"/>
              <w:spacing w:after="0"/>
              <w:rPr>
                <w:sz w:val="20"/>
                <w:szCs w:val="20"/>
                <w:color w:val="auto"/>
              </w:rPr>
            </w:pPr>
            <w:r>
              <w:rPr>
                <w:rFonts w:ascii="Arial" w:cs="Arial" w:eastAsia="Arial" w:hAnsi="Arial"/>
                <w:sz w:val="18"/>
                <w:szCs w:val="18"/>
                <w:color w:val="auto"/>
              </w:rPr>
              <w:t>supplier C</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28,879</w:t>
            </w:r>
          </w:p>
        </w:tc>
        <w:tc>
          <w:tcPr>
            <w:tcW w:w="2080" w:type="dxa"/>
            <w:vAlign w:val="bottom"/>
            <w:gridSpan w:val="3"/>
          </w:tcPr>
          <w:p>
            <w:pPr>
              <w:jc w:val="right"/>
              <w:ind w:right="3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18,612</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each of these suppliers on December 31, 2010 and 2009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 2010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134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300" w:type="dxa"/>
            <w:vAlign w:val="bottom"/>
            <w:vMerge w:val="restart"/>
          </w:tcPr>
          <w:p>
            <w:pPr>
              <w:spacing w:after="0"/>
              <w:rPr>
                <w:sz w:val="10"/>
                <w:szCs w:val="10"/>
                <w:color w:val="auto"/>
              </w:rPr>
            </w:pPr>
          </w:p>
        </w:tc>
        <w:tc>
          <w:tcPr>
            <w:tcW w:w="1200" w:type="dxa"/>
            <w:vAlign w:val="bottom"/>
            <w:gridSpan w:val="2"/>
          </w:tcPr>
          <w:p>
            <w:pPr>
              <w:jc w:val="center"/>
              <w:ind w:left="242"/>
              <w:spacing w:after="0" w:line="119" w:lineRule="exact"/>
              <w:rPr>
                <w:sz w:val="20"/>
                <w:szCs w:val="20"/>
                <w:color w:val="auto"/>
              </w:rPr>
            </w:pPr>
            <w:r>
              <w:rPr>
                <w:rFonts w:ascii="Arial" w:cs="Arial" w:eastAsia="Arial" w:hAnsi="Arial"/>
                <w:sz w:val="13"/>
                <w:szCs w:val="13"/>
                <w:b w:val="1"/>
                <w:bCs w:val="1"/>
                <w:color w:val="auto"/>
                <w:w w:val="97"/>
              </w:rPr>
              <w:t>% of Accounts</w:t>
            </w:r>
          </w:p>
        </w:tc>
        <w:tc>
          <w:tcPr>
            <w:tcW w:w="420" w:type="dxa"/>
            <w:vAlign w:val="bottom"/>
          </w:tcPr>
          <w:p>
            <w:pPr>
              <w:spacing w:after="0"/>
              <w:rPr>
                <w:sz w:val="10"/>
                <w:szCs w:val="10"/>
                <w:color w:val="auto"/>
              </w:rPr>
            </w:pPr>
          </w:p>
        </w:tc>
        <w:tc>
          <w:tcPr>
            <w:tcW w:w="26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Accounts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Payable</w:t>
            </w:r>
          </w:p>
        </w:tc>
        <w:tc>
          <w:tcPr>
            <w:tcW w:w="4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Payable</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440" w:type="dxa"/>
            <w:vAlign w:val="bottom"/>
            <w:gridSpan w:val="2"/>
          </w:tcPr>
          <w:p>
            <w:pPr>
              <w:ind w:left="13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9,172</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16.4%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8,290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5"/>
                <w:szCs w:val="15"/>
                <w:color w:val="auto"/>
              </w:rPr>
              <w:t>(1)</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11,887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6,760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27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Component and finished good supplier B is Enson Assets Limited and its subsidiaries. See Note 21 for further information regarding our acquisition of Enson Assets Limited.</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 at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41,679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Tooling</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21,287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12,816</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6,489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14,654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2,932</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r>
      <w:tr>
        <w:trPr>
          <w:trHeight w:val="223"/>
        </w:trPr>
        <w:tc>
          <w:tcPr>
            <w:tcW w:w="9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126,624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24,648</w:t>
            </w:r>
          </w:p>
        </w:tc>
        <w:tc>
          <w:tcPr>
            <w:tcW w:w="100" w:type="dxa"/>
            <w:vAlign w:val="bottom"/>
          </w:tcPr>
          <w:p>
            <w:pPr>
              <w:spacing w:after="0"/>
              <w:rPr>
                <w:sz w:val="19"/>
                <w:szCs w:val="19"/>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5"/>
              </w:rPr>
              <w:t>(54,868)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(17,868)</w:t>
            </w:r>
          </w:p>
        </w:tc>
      </w:tr>
      <w:tr>
        <w:trPr>
          <w:trHeight w:val="223"/>
        </w:trPr>
        <w:tc>
          <w:tcPr>
            <w:tcW w:w="9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9"/>
                <w:szCs w:val="19"/>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w:t>
            </w:r>
          </w:p>
        </w:tc>
      </w:tr>
      <w:tr>
        <w:trPr>
          <w:trHeight w:val="223"/>
        </w:trPr>
        <w:tc>
          <w:tcPr>
            <w:tcW w:w="926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$5.9 million, $5.0 million and $4.6 million for the years ended December 31, 2010, 2009 and 2008, respectively.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net book value of property, plant, and equipment located within the People’s Republic of China was $70.3 million and $3.6 million on December 31, 2010 and 2009, respectively.</w:t>
      </w:r>
    </w:p>
    <w:p>
      <w:pPr>
        <w:spacing w:after="0" w:line="6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On December 31, 2010, construction in progress included $2.2 million of building improvements, $0.8 million of tooling, $1.7 million of internal use software costs and $1.6 million of machinery and equipment. We expect that approximately 100% of the construction in progress costs will be placed in service during the first and second quarters of 2011. We will begin to depreciate those assets at that time. On December 31, 2009, construction in progress included $0.6 million of tooling, $2.2 million of internal use software costs, and $0.3 million of machinery and equipment.</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Long-Lived and Intangible Assets Impairment</w:t>
      </w:r>
      <w:r>
        <w:rPr>
          <w:rFonts w:ascii="Arial" w:cs="Arial" w:eastAsia="Arial" w:hAnsi="Arial"/>
          <w:sz w:val="18"/>
          <w:szCs w:val="18"/>
          <w:color w:val="auto"/>
        </w:rPr>
        <w:t xml:space="preserve">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we merged our international component with our domestic component. We no longer have segment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goodwill on December 31, 2010 and changes in the carrying amount of goodwill during the two years ended December 31, 2010 were the following:</w:t>
      </w:r>
    </w:p>
    <w:p>
      <w:pPr>
        <w:sectPr>
          <w:pgSz w:w="11900" w:h="16838" w:orient="portrait"/>
          <w:cols w:equalWidth="0" w:num="1">
            <w:col w:w="11420"/>
          </w:cols>
          <w:pgMar w:left="240" w:top="419"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Goodwill acquired during the period </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Goodwill acquired during the period </w:t>
      </w:r>
      <w:r>
        <w:rPr>
          <w:rFonts w:ascii="Arial" w:cs="Arial" w:eastAsia="Arial" w:hAnsi="Arial"/>
          <w:sz w:val="13"/>
          <w:szCs w:val="13"/>
          <w:color w:val="auto"/>
        </w:rPr>
        <w:t>(3)</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183" w:hanging="183"/>
        <w:spacing w:after="0"/>
        <w:tabs>
          <w:tab w:leader="none" w:pos="1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10,757</w:t>
      </w:r>
    </w:p>
    <w:p>
      <w:pPr>
        <w:spacing w:after="0" w:line="23" w:lineRule="exact"/>
        <w:rPr>
          <w:rFonts w:ascii="Arial" w:cs="Arial" w:eastAsia="Arial" w:hAnsi="Arial"/>
          <w:sz w:val="18"/>
          <w:szCs w:val="18"/>
          <w:color w:val="auto"/>
        </w:rPr>
      </w:pPr>
    </w:p>
    <w:p>
      <w:pPr>
        <w:ind w:left="263"/>
        <w:spacing w:after="0"/>
        <w:rPr>
          <w:rFonts w:ascii="Arial" w:cs="Arial" w:eastAsia="Arial" w:hAnsi="Arial"/>
          <w:sz w:val="18"/>
          <w:szCs w:val="18"/>
          <w:color w:val="auto"/>
        </w:rPr>
      </w:pPr>
      <w:r>
        <w:rPr>
          <w:rFonts w:ascii="Arial" w:cs="Arial" w:eastAsia="Arial" w:hAnsi="Arial"/>
          <w:sz w:val="18"/>
          <w:szCs w:val="18"/>
          <w:color w:val="auto"/>
        </w:rPr>
        <w:t>2,902</w:t>
      </w:r>
    </w:p>
    <w:p>
      <w:pPr>
        <w:spacing w:after="0" w:line="9" w:lineRule="exact"/>
        <w:rPr>
          <w:rFonts w:ascii="Arial" w:cs="Arial" w:eastAsia="Arial" w:hAnsi="Arial"/>
          <w:sz w:val="18"/>
          <w:szCs w:val="18"/>
          <w:color w:val="auto"/>
        </w:rPr>
      </w:pPr>
    </w:p>
    <w:p>
      <w:pPr>
        <w:ind w:left="503"/>
        <w:spacing w:after="0"/>
        <w:rPr>
          <w:rFonts w:ascii="Arial" w:cs="Arial" w:eastAsia="Arial" w:hAnsi="Arial"/>
          <w:sz w:val="18"/>
          <w:szCs w:val="18"/>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 w:lineRule="exact"/>
        <w:rPr>
          <w:sz w:val="20"/>
          <w:szCs w:val="20"/>
          <w:color w:val="auto"/>
        </w:rPr>
      </w:pPr>
    </w:p>
    <w:p>
      <w:pPr>
        <w:ind w:left="183" w:hanging="183"/>
        <w:spacing w:after="0"/>
        <w:tabs>
          <w:tab w:leader="none" w:pos="1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13,724</w:t>
      </w:r>
    </w:p>
    <w:p>
      <w:pPr>
        <w:spacing w:after="0" w:line="23" w:lineRule="exact"/>
        <w:rPr>
          <w:rFonts w:ascii="Arial" w:cs="Arial" w:eastAsia="Arial" w:hAnsi="Arial"/>
          <w:sz w:val="18"/>
          <w:szCs w:val="18"/>
          <w:color w:val="auto"/>
        </w:rPr>
      </w:pPr>
    </w:p>
    <w:p>
      <w:pPr>
        <w:ind w:left="183"/>
        <w:spacing w:after="0"/>
        <w:rPr>
          <w:rFonts w:ascii="Arial" w:cs="Arial" w:eastAsia="Arial" w:hAnsi="Arial"/>
          <w:sz w:val="18"/>
          <w:szCs w:val="18"/>
          <w:color w:val="auto"/>
        </w:rPr>
      </w:pPr>
      <w:r>
        <w:rPr>
          <w:rFonts w:ascii="Arial" w:cs="Arial" w:eastAsia="Arial" w:hAnsi="Arial"/>
          <w:sz w:val="18"/>
          <w:szCs w:val="18"/>
          <w:color w:val="auto"/>
        </w:rPr>
        <w:t>16,839</w:t>
      </w:r>
    </w:p>
    <w:p>
      <w:pPr>
        <w:spacing w:after="0" w:line="9" w:lineRule="exact"/>
        <w:rPr>
          <w:rFonts w:ascii="Arial" w:cs="Arial" w:eastAsia="Arial" w:hAnsi="Arial"/>
          <w:sz w:val="18"/>
          <w:szCs w:val="18"/>
          <w:color w:val="auto"/>
        </w:rPr>
      </w:pPr>
    </w:p>
    <w:p>
      <w:pPr>
        <w:ind w:left="343"/>
        <w:spacing w:after="0"/>
        <w:rPr>
          <w:rFonts w:ascii="Arial" w:cs="Arial" w:eastAsia="Arial" w:hAnsi="Arial"/>
          <w:sz w:val="18"/>
          <w:szCs w:val="18"/>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4286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$ 30,379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286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17" w:space="720"/>
            <w:col w:w="783"/>
          </w:cols>
          <w:pgMar w:left="240" w:top="419" w:right="239" w:bottom="1440" w:gutter="0" w:footer="0" w:header="0"/>
          <w:type w:val="continuous"/>
        </w:sectPr>
      </w:pPr>
    </w:p>
    <w:p>
      <w:pPr>
        <w:spacing w:after="0" w:line="241" w:lineRule="exact"/>
        <w:rPr>
          <w:sz w:val="20"/>
          <w:szCs w:val="20"/>
          <w:color w:val="auto"/>
        </w:rPr>
      </w:pPr>
    </w:p>
    <w:p>
      <w:pPr>
        <w:ind w:left="460" w:right="80" w:hanging="452"/>
        <w:spacing w:after="0" w:line="27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During the first quarter of 2009, we recognized $2.9 million of goodwill related to the Zilog acquisition. Please refer to Note 21 for further information about this acquisition.</w:t>
      </w:r>
    </w:p>
    <w:p>
      <w:pPr>
        <w:spacing w:after="0" w:line="21" w:lineRule="exact"/>
        <w:rPr>
          <w:rFonts w:ascii="Arial" w:cs="Arial" w:eastAsia="Arial" w:hAnsi="Arial"/>
          <w:sz w:val="15"/>
          <w:szCs w:val="15"/>
          <w:color w:val="auto"/>
        </w:rPr>
      </w:pPr>
    </w:p>
    <w:p>
      <w:pPr>
        <w:ind w:left="460" w:right="20" w:hanging="452"/>
        <w:spacing w:after="0" w:line="27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adjustment included in international goodwill was the result of fluctuations in the foreign currency exchange rates used to translate the balance into U.S. dollars.</w:t>
      </w:r>
    </w:p>
    <w:p>
      <w:pPr>
        <w:spacing w:after="0" w:line="21" w:lineRule="exact"/>
        <w:rPr>
          <w:rFonts w:ascii="Arial" w:cs="Arial" w:eastAsia="Arial" w:hAnsi="Arial"/>
          <w:sz w:val="15"/>
          <w:szCs w:val="15"/>
          <w:color w:val="auto"/>
        </w:rPr>
      </w:pPr>
    </w:p>
    <w:p>
      <w:pPr>
        <w:ind w:left="460" w:right="80" w:hanging="452"/>
        <w:spacing w:after="0" w:line="27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During the fourth quarter of 2010, we recognized $16.8 million of goodwill related to the Enson Assets Limited acquisition. Please refer to Note 21 for further information about this acquisition.</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conducted annual goodwill impairment reviews on December 31, 2010, 2009 and 2008 utilizing significant unobservable inputs (level 3). Based on the analysis performed, we determined that our goodwill was not impaired.</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for further information regarding our accounting principles and the valuation methodology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at December 31, 2010 and December 31, 2009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4"/>
          </w:tcPr>
          <w:p>
            <w:pPr>
              <w:ind w:left="500"/>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4320" w:type="dxa"/>
            <w:vAlign w:val="bottom"/>
          </w:tcPr>
          <w:p>
            <w:pPr>
              <w:spacing w:after="0"/>
              <w:rPr>
                <w:sz w:val="20"/>
                <w:szCs w:val="20"/>
                <w:color w:val="auto"/>
              </w:rPr>
            </w:pPr>
            <w:r>
              <w:rPr>
                <w:rFonts w:ascii="Arial" w:cs="Arial" w:eastAsia="Arial" w:hAnsi="Arial"/>
                <w:sz w:val="14"/>
                <w:szCs w:val="14"/>
                <w:color w:val="auto"/>
              </w:rPr>
              <w:t>(in thousands</w:t>
            </w: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620" w:type="dxa"/>
            <w:vAlign w:val="bottom"/>
            <w:gridSpan w:val="4"/>
          </w:tcPr>
          <w:p>
            <w:pPr>
              <w:ind w:left="5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r>
              <w:rPr>
                <w:rFonts w:ascii="Arial" w:cs="Arial" w:eastAsia="Arial" w:hAnsi="Arial"/>
                <w:sz w:val="15"/>
                <w:szCs w:val="15"/>
                <w:color w:val="auto"/>
              </w:rPr>
              <w:t>(1)</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w:t>
            </w: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 xml:space="preserve">Trademark and trade names (10 years)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2,836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(5 -15 years)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w:t>
            </w: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9"/>
              </w:rPr>
              <w:t>Capitalized software development costs (1-2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1,896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 (10-15 years)</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26,349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25,574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43,577</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35,994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17,081</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11,572</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80" w:hanging="452"/>
        <w:spacing w:after="0" w:line="27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This table excludes the gross value of fully amortized intangible assets totaling $7.6 million and $7.6 million on December 31, 2010 and 2009, respectively.</w:t>
      </w:r>
    </w:p>
    <w:p>
      <w:pPr>
        <w:spacing w:after="0" w:line="21" w:lineRule="exact"/>
        <w:rPr>
          <w:rFonts w:ascii="Arial" w:cs="Arial" w:eastAsia="Arial" w:hAnsi="Arial"/>
          <w:sz w:val="15"/>
          <w:szCs w:val="15"/>
          <w:color w:val="auto"/>
        </w:rPr>
      </w:pPr>
    </w:p>
    <w:p>
      <w:pPr>
        <w:ind w:left="460" w:right="140" w:hanging="452"/>
        <w:spacing w:after="0" w:line="325"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6"/>
          <w:szCs w:val="16"/>
          <w:color w:val="auto"/>
        </w:rPr>
        <w:t>As part of our acquisition of Enson Assets Limited during the fourth quarter of 2010, we purchased trademark and trade names valued at $2.0 million, which are being amortized ratably over ten years. Refer to Note 21 for further information regarding our purchase of trademark and trade names.</w:t>
      </w:r>
    </w:p>
    <w:p>
      <w:pPr>
        <w:spacing w:after="0" w:line="1" w:lineRule="exact"/>
        <w:rPr>
          <w:rFonts w:ascii="Arial" w:cs="Arial" w:eastAsia="Arial" w:hAnsi="Arial"/>
          <w:sz w:val="14"/>
          <w:szCs w:val="14"/>
          <w:color w:val="auto"/>
        </w:rPr>
      </w:pPr>
    </w:p>
    <w:p>
      <w:pPr>
        <w:ind w:left="460" w:right="320" w:hanging="452"/>
        <w:spacing w:after="0" w:line="27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During the first quarter of 2009, we purchased core technology from Zilog Inc. valued at $3.5 million, which is being amortized ratably over fifteen years. Refer to Note 21 for further information about this acquisition.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left="460" w:right="60" w:hanging="452"/>
        <w:spacing w:after="0" w:line="312"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6"/>
          <w:szCs w:val="16"/>
          <w:color w:val="auto"/>
        </w:rPr>
        <w:t>During the first quarter of 2009, we purchased customer relationships from Zilog valued at $3.1 million, which are being amortized ratably over fifteen years. During the fourth quarter of 2010 as part of the Enson Assets Limited acquisition we purchased customer relationships valued at $23.3 million, which are being amortized ratably over ten years. Refer to Note 21 for further information regarding our purchase of these customer relationships.</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during the years ended December 31, 2010, 2009 and 2008 is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December 31, 2010, is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spacing w:after="0"/>
              <w:rPr>
                <w:sz w:val="20"/>
                <w:szCs w:val="20"/>
                <w:color w:val="auto"/>
              </w:rPr>
            </w:pPr>
            <w:r>
              <w:rPr>
                <w:rFonts w:ascii="Arial" w:cs="Arial" w:eastAsia="Arial" w:hAnsi="Arial"/>
                <w:sz w:val="14"/>
                <w:szCs w:val="14"/>
                <w:color w:val="auto"/>
              </w:rPr>
              <w:t>(in thousands)</w:t>
            </w: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2012</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4,108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2014</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3,822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16,153</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35,994</w:t>
            </w:r>
          </w:p>
        </w:tc>
      </w:tr>
      <w:tr>
        <w:trPr>
          <w:trHeight w:val="20"/>
        </w:trPr>
        <w:tc>
          <w:tcPr>
            <w:tcW w:w="5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9.6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recorded impairment charges related to our intangible assets of $0.02 million, $0.01 million and $0.1 million for the years ended December 31, 2010, 2009 and 2008, respectively.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year ended December 31, 2010 were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w w:val="99"/>
              </w:rPr>
              <w:t>Fair Value Measurement Using</w:t>
            </w:r>
          </w:p>
        </w:tc>
        <w:tc>
          <w:tcPr>
            <w:tcW w:w="1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80" w:type="dxa"/>
            <w:vAlign w:val="bottom"/>
          </w:tcPr>
          <w:p>
            <w:pPr>
              <w:spacing w:after="0"/>
              <w:rPr>
                <w:sz w:val="12"/>
                <w:szCs w:val="12"/>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2"/>
                <w:szCs w:val="12"/>
                <w:color w:val="auto"/>
              </w:rPr>
            </w:pPr>
          </w:p>
        </w:tc>
        <w:tc>
          <w:tcPr>
            <w:tcW w:w="16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3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2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6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3)</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Gains (Losses)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Patents, trademarks and trade names</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Thirteen patents and eight trademarks with an aggregate carrying amount of $21 thousand were disposed of, resulting in impairment charges of $21 thousand during 2010. We disposed of patents and trademarks with a carrying amount of $13 thousand in 2009. We disposed of patents with a carrying amount of $27 thousand, capitalized software development costs with a carrying value of $46 thousand, and other intangibles with a carrying amount of $55 thousand in 2008. These assets no longer held any probable future economic benefits and were written-off.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Long-Lived and Intangible Assets Impairment, Capitalized Software Development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for further information regarding our accounting principles and the valuation methodology 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Notes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Notes payable on December 31, 2010 and 2009 were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46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Amount Outstanding</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U.S. Bank Term Loan Facility</w:t>
            </w:r>
            <w:r>
              <w:rPr>
                <w:rFonts w:ascii="Arial" w:cs="Arial" w:eastAsia="Arial" w:hAnsi="Arial"/>
                <w:sz w:val="15"/>
                <w:szCs w:val="15"/>
                <w:color w:val="auto"/>
              </w:rPr>
              <w:t>(1)</w:t>
            </w:r>
          </w:p>
        </w:tc>
        <w:tc>
          <w:tcPr>
            <w:tcW w:w="4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$ 35,000</w:t>
            </w: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Under the U.S. Bank term loan, we may elect to pay interest based on the bank’s prime rate or LIBOR plus a fixed margin of 1.5%. The applicable LIBOR (1, 3, 6, or 12-month LIBOR) corresponds with the loan period we select. On December 31, 2010, the 1-month LIBOR plus the fixed margin was approximately 1.8% and the bank’s prime rate was 3.25%. If a LIBOR rate loan is prepaid prior to the completion of the loan period, the Company must pay the bank the difference between the interest the bank would have earned had prepayment not occurred and the interest the bank actually earned.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total interest expense on borrowings was $0.1 million and $0 during the years ended December 31, 2010 and 2009, respectively.</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credit facilities at December 31, 2010 is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Creditor</w:t>
            </w:r>
          </w:p>
        </w:tc>
        <w:tc>
          <w:tcPr>
            <w:tcW w:w="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4"/>
                <w:szCs w:val="14"/>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Security</w:t>
            </w:r>
          </w:p>
        </w:tc>
        <w:tc>
          <w:tcPr>
            <w:tcW w:w="100" w:type="dxa"/>
            <w:vAlign w:val="bottom"/>
          </w:tcPr>
          <w:p>
            <w:pPr>
              <w:spacing w:after="0"/>
              <w:rPr>
                <w:sz w:val="14"/>
                <w:szCs w:val="14"/>
                <w:color w:val="auto"/>
              </w:rPr>
            </w:pPr>
          </w:p>
        </w:tc>
        <w:tc>
          <w:tcPr>
            <w:tcW w:w="25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4"/>
                <w:szCs w:val="14"/>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Total Available</w:t>
            </w:r>
          </w:p>
        </w:tc>
        <w:tc>
          <w:tcPr>
            <w:tcW w:w="100" w:type="dxa"/>
            <w:vAlign w:val="bottom"/>
          </w:tcPr>
          <w:p>
            <w:pPr>
              <w:spacing w:after="0"/>
              <w:rPr>
                <w:sz w:val="14"/>
                <w:szCs w:val="14"/>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Funds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(USD)</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 Bank</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November 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USD</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Secured 1-year</w:t>
            </w:r>
          </w:p>
        </w:tc>
        <w:tc>
          <w:tcPr>
            <w:tcW w:w="112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rPr>
              <w:t>Sixty-five</w:t>
            </w:r>
          </w:p>
        </w:tc>
        <w:tc>
          <w:tcPr>
            <w:tcW w:w="10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 may elect to pay interest based</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Term Loan</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percent of</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3"/>
              </w:rPr>
              <w:t>on the bank’s prime rate or LIBOR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Enson Assets</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plus a fixed margin of 1.5%. The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applicable LIBOR (1, 3, 6, or 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month LIBOR) corresponds with</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5"/>
              </w:rPr>
              <w:t>the loan period we select for each</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principle payment.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35,000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35,000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U.S. Bank</w:t>
            </w:r>
          </w:p>
        </w:tc>
        <w:tc>
          <w:tcPr>
            <w:tcW w:w="8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1"/>
              </w:rPr>
              <w:t>November 1,</w:t>
            </w:r>
          </w:p>
        </w:tc>
        <w:tc>
          <w:tcPr>
            <w:tcW w:w="80" w:type="dxa"/>
            <w:vAlign w:val="bottom"/>
          </w:tcPr>
          <w:p>
            <w:pPr>
              <w:spacing w:after="0"/>
              <w:rPr>
                <w:sz w:val="17"/>
                <w:szCs w:val="17"/>
                <w:color w:val="auto"/>
              </w:rPr>
            </w:pP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94"/>
              </w:rPr>
              <w:t>USD</w:t>
            </w:r>
          </w:p>
        </w:tc>
        <w:tc>
          <w:tcPr>
            <w:tcW w:w="10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90"/>
              </w:rPr>
              <w:t>Secured Revolving</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Sixty-five</w:t>
            </w:r>
          </w:p>
        </w:tc>
        <w:tc>
          <w:tcPr>
            <w:tcW w:w="10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w w:val="91"/>
              </w:rPr>
              <w:t>We may elect to pay interest based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6"/>
              </w:rPr>
              <w:t>Credit Line</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percent of</w:t>
            </w: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3"/>
              </w:rPr>
              <w:t>on the bank’s prime rate or LIBOR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0"/>
              </w:rPr>
              <w:t>Enson Assets</w:t>
            </w: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plus a fixed margin of 1.8%. The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Limited</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applicable LIBOR (1, 3, 6, or 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month LIBOR) corresponds with</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the loan period we select.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20,000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Standard</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HKD or</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Secured Revolving</w:t>
            </w:r>
          </w:p>
        </w:tc>
        <w:tc>
          <w:tcPr>
            <w:tcW w:w="11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Negative</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 Hong Kong dollars we pay</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Chartered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Credit Line</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pledge on the</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interest based on HIBOR plus a</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fixed margin of 2.25%, and for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 our Yang</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3"/>
              </w:rPr>
              <w:t>U.S. dollars we pay interest based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Zhou factory</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 LIBOR plus a fixed margin of</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8"/>
              </w:rPr>
              <w:t>2.25%. The applicable HIBOR or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LIBOR (1, 3, 6, or 12-month)</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8"/>
              </w:rPr>
              <w:t>corresponds with the loan period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we select.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6,433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Standard</w:t>
            </w:r>
          </w:p>
        </w:tc>
        <w:tc>
          <w:tcPr>
            <w:tcW w:w="8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99"/>
              </w:rPr>
              <w:t>HKD</w:t>
            </w:r>
          </w:p>
        </w:tc>
        <w:tc>
          <w:tcPr>
            <w:tcW w:w="10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89"/>
              </w:rPr>
              <w:t>Secured Overdraft</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Negative</w:t>
            </w:r>
          </w:p>
        </w:tc>
        <w:tc>
          <w:tcPr>
            <w:tcW w:w="10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w w:val="93"/>
              </w:rPr>
              <w:t>Greater of the bank’s prime rate or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Chartered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6"/>
              </w:rPr>
              <w:t>Credit Line</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1"/>
              </w:rPr>
              <w:t>pledge on the</w:t>
            </w: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8"/>
              </w:rPr>
              <w:t>HIBOR plus 1.0%. If HIBOR plus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Bank</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1.0% is greater than the bank’s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of our Yang</w:t>
            </w: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prime rate, interest is calculated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9"/>
              </w:rPr>
              <w:t>Zhou factory</w:t>
            </w: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7"/>
              </w:rPr>
              <w:t>based on the HIBOR plus a fixed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margin of 2.75%. The applicable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HIBOR (1, 3, 6, or 12-month)</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8"/>
              </w:rPr>
              <w:t>corresponds with the loan period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we select.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901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BNP Paribas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HKD or</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Unsecured Revolving</w:t>
            </w:r>
          </w:p>
        </w:tc>
        <w:tc>
          <w:tcPr>
            <w:tcW w:w="11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Under this revolving credit line we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Credit Line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8"/>
              </w:rPr>
              <w:t>pay interest based on the bank’s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funds plus a fixed margin of</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w w:val="93"/>
              </w:rPr>
              <w:t>BNP Paribas</w:t>
            </w:r>
          </w:p>
        </w:tc>
        <w:tc>
          <w:tcPr>
            <w:tcW w:w="8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99"/>
              </w:rPr>
              <w:t>HKD</w:t>
            </w:r>
          </w:p>
        </w:tc>
        <w:tc>
          <w:tcPr>
            <w:tcW w:w="100" w:type="dxa"/>
            <w:vAlign w:val="bottom"/>
          </w:tcPr>
          <w:p>
            <w:pPr>
              <w:spacing w:after="0"/>
              <w:rPr>
                <w:sz w:val="17"/>
                <w:szCs w:val="17"/>
                <w:color w:val="auto"/>
              </w:rPr>
            </w:pPr>
          </w:p>
        </w:tc>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90"/>
              </w:rPr>
              <w:t>Unsecured Overdraft</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The rate at which we accrue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Bank</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6"/>
              </w:rPr>
              <w:t>Credit Line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interest is based on the greater of</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the bank’s prime rate or cost of</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funds.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BNP Paribas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HKD</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Unsecured Revolving</w:t>
            </w:r>
          </w:p>
        </w:tc>
        <w:tc>
          <w:tcPr>
            <w:tcW w:w="11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7"/>
              </w:rPr>
              <w:t>We pay interest based on the bank’s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Credit Line</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4"/>
              </w:rPr>
              <w:t>COF plus a fixed margin of 1.65%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20" w:hanging="452"/>
        <w:spacing w:after="0" w:line="277"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Amounts available for borrowing are reduced by the balance of any outstanding import letters of credit and are subject to certain quarterly financial covenants related to our cash flow, fixed charges, quick ratio, and net income.</w:t>
      </w:r>
    </w:p>
    <w:p>
      <w:pPr>
        <w:spacing w:after="0" w:line="21" w:lineRule="exact"/>
        <w:rPr>
          <w:rFonts w:ascii="Arial" w:cs="Arial" w:eastAsia="Arial" w:hAnsi="Arial"/>
          <w:sz w:val="15"/>
          <w:szCs w:val="15"/>
          <w:color w:val="auto"/>
        </w:rPr>
      </w:pPr>
    </w:p>
    <w:p>
      <w:pPr>
        <w:ind w:left="460" w:right="220" w:hanging="452"/>
        <w:spacing w:after="0" w:line="277"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These credit facilities do not have a maturity date, but are reviewed by each respective bank on at least an annual basis. During these annual reviews, each bank may make changes to the amount available for borrowing as they deem appropriate.</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The U.S. Bank 1-year term loan and revolving credit line are secured by $82.9 million of Enson Asset Limited’s net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Bank Credit Facility</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November 1, 2010, we amended and restated our existing credit agreement with U.S. Bank. The amendments added a new $35.0 million secured term loan facility (“Term Loan”) for the purpose of financing a portion of our acquisition of Enson Assets Limited. In addition, our existing $15.0 million unsecured revolving credit line with U.S. Bank (“Credit Facility”) became a secured facility, the amount available for borrowing was increased to $20.0 million, and the expiration date was extended from October 31, 2011 to November 1, 2012.</w:t>
      </w:r>
    </w:p>
    <w:p>
      <w:pPr>
        <w:sectPr>
          <w:pgSz w:w="11900" w:h="16838" w:orient="portrait"/>
          <w:cols w:equalWidth="0" w:num="1">
            <w:col w:w="11420"/>
          </w:cols>
          <w:pgMar w:left="240" w:top="419"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1-year Term Loan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new term loan may only be utilized to finance the acquisition of Enson and to pay related transaction costs, fees, and expenses. The minimum principal payments for the term loan are $2.2 million each quarter. The first principal and interest payment was made on January 5, 2011. The remaining principal and interest payments are due on April 5, July 5, and October 5 of 2011. In addition, a final payment equal to the unpaid principal balance plus accrued interest is due on the term loan maturity date. The term loan maturity date is November 1, 2011. Amounts paid or prepaid on the term loan may not be re-borrowed.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Line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U.S. Bank secured revolving credit line, we may elect to pay interest based on the bank’s prime rate or LIBOR plus a fixed margin of 1.8%. The applicable LIBOR (1, 3, 6, or 12-month LIBOR) corresponds with the loan period we select. At December 31, 2010, the 12-month LIBOR plus the fixed margin was 2.6%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debt covenants require that the percentage of our funded debt to EBITDA remain below 100%. On December 31, 2010, we were in breach of this covenant. This breach resulted from the timing of the Enson Assets Limited acquisition. On December 31, 2010, we carried a note payable of $35.0 million utilized to partially fund the acquisition; however our results of operations for the twelve months ended December 31, 2010, included less than two months of Enson Assets Limited EBITDA resulting in the breach. The acceleration of our $35.0 million obligation has been waived by U.S. Bank for the calculation performed on December 31, 2010. We do not anticipate that we will remain in breach of this covenant since going forward we will be able to include the full period of Enson Asset Limited’s EBITDA within the calculation. We were not in breach of any other debt covenants on December 31,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facilities other than the U.S. Bank facilities were obtained as a result of the Enson Assets Limited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2010, 2009 and 2008, pre-tax income was attributed to the following jurisdictions: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10,878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17,060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16,650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Foreign operations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10,980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21,858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22,177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24,089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for the twelve months ended December 31, 2008, 2009, and 2010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3,814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7,003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Foreign</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3,483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Deferred tax (benefit) expense:</w:t>
            </w:r>
          </w:p>
        </w:tc>
        <w:tc>
          <w:tcPr>
            <w:tcW w:w="3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Total deferred</w:t>
            </w: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(1,036)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for income taxes</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720" w:type="dxa"/>
            <w:vAlign w:val="bottom"/>
            <w:vMerge w:val="restart"/>
          </w:tcPr>
          <w:p>
            <w:pPr>
              <w:jc w:val="right"/>
              <w:ind w:right="2010"/>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were comprised of the following on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Inventory reserves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605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Capitalized research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inventory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1,764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3,817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7"/>
        </w:trPr>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12,953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11,045</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(3,565)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(1,219)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r>
      <w:tr>
        <w:trPr>
          <w:trHeight w:val="27"/>
        </w:trPr>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(10,178)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Net deferred tax assets before valuation allowance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10,396</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10,217</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At December 31, 2010 and 2009, $0.1 million and $0.5 million, respectively, of current deferred tax liabilities were recorded within other accrued expenses (see Note 11). The deferred tax valuation allowance was $0.1 million and $0.2 million on December 31, 2010 and 2009, respectively.</w:t>
      </w:r>
    </w:p>
    <w:p>
      <w:pPr>
        <w:spacing w:after="0" w:line="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statutory U.S. rate</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Increase (decrease) in tax provision resulting from:</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and local taxes, net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Foreign tax rate differential</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Nondeductible items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Federal research and development credits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(723)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2010, we had state Research and Experimentation (“R&amp;E”) income tax credit carry forwards of approximately $1.9 million. The state R&amp;E income tax credits do not have an expiration date.</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2010, we had federal, state and foreign net operating losses of approximately $4.1 million, $5.0 million and $0.2 million, respectively. All of the federal and state net operating loss carry forwards were acquired as part of the acquisition of SimpleDevices. The federal and state net operating loss carry forwards begin to expire during 2020 and 2016, respectively. Approximately $0.2 million of the foreign net operating losses will begin to expire in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Internal Revenue Code Section 382 places certain limitations on the annual amount of net operating loss carry forwards that may be utilized if certain changes to a company’s ownership occur. Our acquisition of SimpleDevices was a change in ownership pursuant to Section 382 of the Internal Revenue Code, and the federal and state net operating loss carry forwards of SimpleDevices are limited but considered realizable in future periods. The annual federal limitation is approximately $0.6 million for 2010 and thereafter. California has suspended utilization of net operating losses for 2010 and 2011.</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2010, we believed it was more likely than not that certain deferred tax assets related to the impairment of our investment in a private company (a capital asset) would not be realized due to uncertainties as to the timing and amounts of future capital gains. Accordingly, a valuation allowance of approximately $0.1 million was recorded as of December 31, 2010 and 2009. Additionally, we recorded $20 thousand and $0.1 million of various state and foreign valuation allowances at December 31, 2010 and 2009.</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years ended December 31, 2010, 2009 and 2008 we recognized a credit to paid-in capital and a reduction to income taxes payable of $0.2 million, $0.4 million and $0.4 million, respectively, related to the tax benefit from the exercises of non-qualified stock options and vesting of restricted stock under our stock-based incentive plans.</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2010, we settled an audit in France by the French Tax Authorities for fiscal years 2005 and 2006 which resulted in the reversal of $0.1 million of previously recorded uncertain tax positions being credited into income. During 2009, we settled an audit in the Netherlands by the Dutch Tax Authorities for the fiscal years 2002 through 2006, which resulted in the reversal of $0.4 million of previously recorded uncertain tax positions being credited into income.</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December 31, 2010 and 2009, we had unrecognized tax benefits of approximately $5.6 million and $2.8 million, including interest and penalties, respectively. In accordance with accounting guidance, we have elected to classify interest and penalties as components of tax expense. Interest and penalties were $0.2 million, $0.2 million and $1.2 million at December 31, 2010, 2009 and 2008, respectively. Interest and penalties are included in the unrecognized tax benefits.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gross unrecognized tax benefits at December 31, 2010, 2009 and 2008, and the changes during those years then ended, are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Subtractions as a result of tax provisions taken during the prior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Lapse in statute of limitations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(5,232)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Approximately $5.1 million and $2.3 million of the total amount of gross unrecognized tax benefits at December 31, 2010 and 2009, respectively, would affect the annual effective tax rate, if recognized. The increase of $2.8 million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unrecognized tax benefits at December 31, 2010 is due to liabilities recorded by Enson Assets Limited. Furthermore, we are unaware of any positions for which it is reasonably possible that the total amounts of unrecognized tax benefits will significantly increase within the next twelve months. We anticipate a decrease in gross unrecognized tax benefits of approximately $0.3 million within the next twelve months based on federal, state, and foreign statute expirations in various jurisdictions.</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file income tax returns in the U.S. federal jurisdictions and in various state and foreign jurisdictions. At December 31, 2010 the open statutes of limitations for our significant tax jurisdictions are the following: federal and state are 2006 through 2010 and non-U.S. are 2002 through 2010. At December 31, 2010, our gross unrecognized tax benefits of $5.6 million are classified as long term because we do not anticipate payment of cash related to those unrecognized tax benefits within one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further information regarding our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December 31, 2010 and 2009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20"/>
                <w:szCs w:val="20"/>
                <w:color w:val="auto"/>
              </w:rPr>
            </w:pPr>
            <w:r>
              <w:rPr>
                <w:rFonts w:ascii="Arial" w:cs="Arial" w:eastAsia="Arial" w:hAnsi="Arial"/>
                <w:sz w:val="14"/>
                <w:szCs w:val="14"/>
                <w:color w:val="auto"/>
              </w:rPr>
              <w:t>(in thousands)</w:t>
            </w:r>
          </w:p>
        </w:tc>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social insurance</w:t>
            </w:r>
            <w:r>
              <w:rPr>
                <w:rFonts w:ascii="Arial" w:cs="Arial" w:eastAsia="Arial" w:hAnsi="Arial"/>
                <w:sz w:val="15"/>
                <w:szCs w:val="15"/>
                <w:color w:val="auto"/>
              </w:rPr>
              <w:t>(1)</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20,360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accrued compensation</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10,274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4,619</w:t>
            </w:r>
          </w:p>
        </w:tc>
      </w:tr>
      <w:tr>
        <w:trPr>
          <w:trHeight w:val="27"/>
        </w:trPr>
        <w:tc>
          <w:tcPr>
            <w:tcW w:w="57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accrued compensation</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30,634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r>
      <w:tr>
        <w:trPr>
          <w:trHeight w:val="20"/>
        </w:trPr>
        <w:tc>
          <w:tcPr>
            <w:tcW w:w="5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5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Effective January 1, 2008, the Chinese Labor Contract Law was enacted in the People’s Republic of China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December 31, 2010 and 2009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20"/>
                <w:szCs w:val="20"/>
                <w:color w:val="auto"/>
              </w:rPr>
            </w:pPr>
            <w:r>
              <w:rPr>
                <w:rFonts w:ascii="Arial" w:cs="Arial" w:eastAsia="Arial" w:hAnsi="Arial"/>
                <w:sz w:val="14"/>
                <w:szCs w:val="14"/>
                <w:color w:val="auto"/>
              </w:rPr>
              <w:t>(in thousands)</w:t>
            </w:r>
          </w:p>
        </w:tc>
        <w:tc>
          <w:tcPr>
            <w:tcW w:w="4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Accrued third-party commissions</w:t>
            </w: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taxes and VAT</w:t>
            </w: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Tooling</w:t>
            </w: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Amount due to Enson Asset Limited shareholders</w:t>
            </w: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 tax refundable to customers</w:t>
            </w: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Legal settlement</w:t>
            </w: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Total other accrued expenses</w:t>
            </w:r>
          </w:p>
        </w:tc>
        <w:tc>
          <w:tcPr>
            <w:tcW w:w="4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13,157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660" w:type="dxa"/>
            <w:vAlign w:val="bottom"/>
            <w:vMerge w:val="restart"/>
          </w:tcPr>
          <w:p>
            <w:pPr>
              <w:jc w:val="right"/>
              <w:ind w:right="339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2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$2.5 million, $2.5 million and $2.6 million for the years ended December 31, 2010, 2009 and 2008,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future minimum non-cancelable operating lease payments with initial terms greater than one year at December 31,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0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2011</w:t>
            </w:r>
          </w:p>
        </w:tc>
        <w:tc>
          <w:tcPr>
            <w:tcW w:w="4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2013</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4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commitments</w:t>
            </w:r>
          </w:p>
        </w:tc>
        <w:tc>
          <w:tcPr>
            <w:tcW w:w="4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Some of our leases are subject to rent escalations. For these leases, we recognize rent expense for the total contractual obligation utilizing the straight-line method over the lease term, ranging from 12 to 73 months. The related short term liability is recorded in other accrued expenses (see Note 11) and the related long term liability is recorded in other long term liabilities. The total liability related to rent escalations was $0.03 million at both December 31, 2010 and 2009.</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lease agreement for our corporate headquarters contains an allowance for tenant improvements of $0.4 million, which was paid to us upon completion of the renovation in 2008. This tenant improvement allowance is being amortized as a credit against rent expense over the 73 month term of the lease, which began on January 1, 2006.</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lease agreement for our customer call center contains an allowance for tenant improvements of $0.2 million, which was paid to us upon completion of the renovation in 2007. This tenant improvement allowance is being amortized as a credit against rent expense over the 48 month term of the lease, which began on June 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building and ground operating leases incurred during a construction period are expensed.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Leases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Private ownership of land in the People’s Republic of China (“PRC”) is not allowed. All land in the PRC is owned by the government and cannot be sold to any individual or entity. Land use rights are allocated for free, granted or transferred for consideration by the PRC State Land Administration Bureau or its authorized branches. Our subsidiary Enson Assets Limited, which we acquired on November 4, 2010, operates two factories within the PRC on which the land is leased from the government. These land leases were prepaid to the PRC government at the time Enson occupied the land. We have obtained land-use right certificates for the land pertaining to the two factories. In addition, Enson has obtained government approval to develop a parcel of land, for which we are in the process of obtaining a land-use right certificate. We have also prepaid the lease for this parcel of land.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first factory is located in the Guang Dong Province, PRC within the city of Guang Zhou. The unamortized value of this prepaid lease is $1.7 million on December 31, 2010, and will be amortized on a straight-line basis over the remaining term of approximately 34 years. The buildings located on this land have a net book value of $16.6 million on December 31, 2010 and are being amortized over an estimated remaining life of approximately 21 years.</w:t>
      </w:r>
    </w:p>
    <w:p>
      <w:pPr>
        <w:spacing w:after="0" w:line="5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second factory is located in Jiang Su Province, PRC within the city of Yang Zhou. The remaining net book value of this prepaid lease is $3.0 million on December 31, 2010, and will be amortized on a straight-line basis over the remaining term of approximately 47 years. The buildings located on this land have a net book value of $18.5 million on December 31, 2010 and are being amortized over an estimated remaining life of 21 years. In addition, the facility under construction located on this land has a net book value of $2.2 million on December 31, 2010 and will be amortized over an estimated remaining life of 25 years upon completion. We estimate this construction-in-process will be placed into service during the first quarter of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 The “fair price” provisions require that holders of at least two-thirds of the outstanding shares of voting stock approve certain business combinations and significant transactions with interested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3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Accruals for</w:t>
            </w:r>
          </w:p>
        </w:tc>
        <w:tc>
          <w:tcPr>
            <w:tcW w:w="300" w:type="dxa"/>
            <w:vAlign w:val="bottom"/>
          </w:tcPr>
          <w:p>
            <w:pPr>
              <w:spacing w:after="0"/>
              <w:rPr>
                <w:sz w:val="14"/>
                <w:szCs w:val="1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Settlements</w:t>
            </w:r>
          </w:p>
        </w:tc>
        <w:tc>
          <w:tcPr>
            <w:tcW w:w="30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Warranties</w:t>
            </w:r>
          </w:p>
        </w:tc>
        <w:tc>
          <w:tcPr>
            <w:tcW w:w="148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(in Cash or in</w:t>
            </w:r>
          </w:p>
        </w:tc>
        <w:tc>
          <w:tcPr>
            <w:tcW w:w="3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640" w:type="dxa"/>
            <w:vAlign w:val="bottom"/>
            <w:gridSpan w:val="4"/>
          </w:tcPr>
          <w:p>
            <w:pPr>
              <w:ind w:left="540"/>
              <w:spacing w:after="0" w:line="149" w:lineRule="exact"/>
              <w:rPr>
                <w:sz w:val="20"/>
                <w:szCs w:val="20"/>
                <w:color w:val="auto"/>
              </w:rPr>
            </w:pPr>
            <w:r>
              <w:rPr>
                <w:rFonts w:ascii="Arial" w:cs="Arial" w:eastAsia="Arial" w:hAnsi="Arial"/>
                <w:sz w:val="14"/>
                <w:szCs w:val="14"/>
                <w:b w:val="1"/>
                <w:bCs w:val="1"/>
                <w:color w:val="auto"/>
              </w:rPr>
              <w:t>Beginning of</w:t>
            </w:r>
          </w:p>
        </w:tc>
        <w:tc>
          <w:tcPr>
            <w:tcW w:w="15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Issued During</w:t>
            </w:r>
          </w:p>
        </w:tc>
        <w:tc>
          <w:tcPr>
            <w:tcW w:w="3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Kind) During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the Period</w:t>
            </w:r>
            <w:r>
              <w:rPr>
                <w:rFonts w:ascii="Arial" w:cs="Arial" w:eastAsia="Arial" w:hAnsi="Arial"/>
                <w:sz w:val="12"/>
                <w:szCs w:val="12"/>
                <w:b w:val="1"/>
                <w:bCs w:val="1"/>
                <w:color w:val="auto"/>
                <w:w w:val="93"/>
              </w:rPr>
              <w:t>(1)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the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On December 22, 2010, Patent Group LLC as “Relator” filed in the U.S. District Court for the Eastern District of Texas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us and others under Section 292, Title 35 of the United Stated Code, seeking recovery for penalties payable to the United States claiming that we intentionally falsely marked certain of our remote control products with expired or non-applicable patents. We have not yet answered this complaint, however we intend to do so denying all of Patent Group’s material allegations. In addition, the parties are engaged in preliminary settlement discussions.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are no other material pending legal proceedings, other than immaterial matters that are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During the second quarter of 2007, we adopted an Executive Long-Term Incentive Plan (“ELTIP”). The ELTIP provided a bonus pool for our executive management team contingent on achieving certain performance goals during a two-year performance period commencing on January 1, 2007 and ending on December 31, 2008. The performance goals were based on the compound annual growth rate of net sales and earnings per diluted share during the performance period. The ELTIP had a maximum pay out of $12 million if the highest performance goals were met. Management did not earn a bonus under the ELTIP based on our results through December 31, 2008. As a result, we lowered our ELTIP accrual from $1.0 million at December 31, 2007 to $0 at December 31, 2008. This adjustment resulted in a $1.0 million benefit to pre-tax income for the twelve months ended December 31, 2008.</w:t>
      </w:r>
    </w:p>
    <w:p>
      <w:pPr>
        <w:spacing w:after="0" w:line="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light of the ELTIP results, during the first quarter of 2009 our Compensation Committee awarded a discretionary cash bonus of $1.0 million, to be paid out quarterly during 2009 and 2010. The Compensation Committee made this decision after reviewing the economic environment and our relative financial and operating performance. The Compensation Committee believes this bonus is in alignment with our stockholders’ interests as well as our performance, alignment and retention objectives. Each participant’s earned award vested in eight equal quarterly installments beginning March 31, 2009 and ending December 31, 2010. Approximately $0.5 million and $0.3 million was paid and expensed, respectively, during each of the years ended December 31, 2010 and 2009. At December 31, 2010 and 2009, $0 and $0.3 million, respectively, have been included in accrued compensation for this discretionary bonus.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December 31, 2010, the amounts deferred under the plan were immaterial to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2010 based on its latest actuarial report. The India Plan has an independent external manager that advises us of the appropriate funding contribution requirements to which we comply. At December 31, 2010, approximately 20 percent of our India subsidiary employees had qualified for eligibility. Generally, an employee must be employed by our India subsidiary for a minimum of five years before becoming eligible. At the time of eligibility we are liable, on termination, resignation or retirement, to pay the employee an amount equal to fifteen days salary for each full year of service completed. The total amount of liability outstanding at December 31, 2010 and 2009 for the India Plan is not material. During the years ended December 31, 2010 and 2009, the net periodic benefit costs were also not material.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2010, 2009 and 2008, we repurchased 505,692, 404,643 and 1,118,318 shares of our common stock at a cost of</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$10.1 million, $7.7 million and $26.7 million, respectively. Repurchased shares are recorded as shares held in treasury at cost. We generally hold these shares for future use as management and the Board of Directors deem appropriate, which has included compensating our outside directors. During the years ended December 31, 2010, 2009 and 2008, we issued 29,583, 25,000 and 23,438 shares from treasury, respectively, to outside directors for services performed (see Note 16).</w:t>
      </w:r>
    </w:p>
    <w:p>
      <w:pPr>
        <w:spacing w:after="0" w:line="8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whenever we deem a repurchase is a good use of our cash and the price to be paid is at or below a threshold approved by our Board. As of December 31, 2010, we have repurchased 473,126 shares of our common stock under this authorization, leaving 526,874 shares available for repurchase.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 to Outside Directors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issue restricted stock awards to our outside directors as compensation for services performed. We grant each of our outside directors 5,000 shares of our common stock annually each July 1st. When an additional outside director is appointed to our Board of Directors, they receive a prorated number of shares based on the number of months they will serve during the initial year. Compensation expense related to restricted stock awards is based on the grant date fair value the shares awarded. The fair value of these shares is amortized on a straight-line basis over the requisite service period of one year (see Note 2 under the caption </w:t>
      </w:r>
      <w:r>
        <w:rPr>
          <w:rFonts w:ascii="Arial" w:cs="Arial" w:eastAsia="Arial" w:hAnsi="Arial"/>
          <w:sz w:val="18"/>
          <w:szCs w:val="18"/>
          <w:i w:val="1"/>
          <w:iCs w:val="1"/>
          <w:color w:val="auto"/>
        </w:rPr>
        <w:t>Stock-Based</w:t>
      </w:r>
      <w:r>
        <w:rPr>
          <w:rFonts w:ascii="Arial" w:cs="Arial" w:eastAsia="Arial" w:hAnsi="Arial"/>
          <w:sz w:val="18"/>
          <w:szCs w:val="18"/>
          <w:color w:val="auto"/>
        </w:rPr>
        <w:t xml:space="preserve"> Compensation and Note 16). The shares are issued from treasury stock using a first-in-first-out cost basis, which amounted to $0.4 million and $0.4 million in 2010 and 2009,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We operate in a single operating and reportable segment.</w:t>
      </w:r>
    </w:p>
    <w:p>
      <w:pPr>
        <w:spacing w:after="0" w:line="7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Our chief operating decision maker, the Chief Executive Officer, reviews financial information presented on a consolidated basis, accompanied by disaggregated information about revenues for purposes of making operating decisions and assessing financial performance. Accordingly, we consider ourselves to be a single reporting segment.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for the years ended December 31, 2010, 2009 and 2008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$ 119,284</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$ 142,876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$ 114,429</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Peoples Republic of China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34,222</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27,791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34,482</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41,575</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21,756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21,239</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Argentina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4,791</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1,544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3,299</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Australia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1,451</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4,190</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Brazil</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1,791</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1,904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1,497</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13,419</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11,586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11,064</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France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3,768</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3,603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5,359</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7,996</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7,771</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Israel</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3,161</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1,941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2,633</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2,474</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Japan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10,724</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3,162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3,252</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Korea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6,325</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3,824</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Malaysia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1,806</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1,439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Netherlands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2,094</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Portugal</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4,641</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4,167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1,780</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16,419</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8,505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9,433</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Spain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4,480</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3,929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7,523</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Africa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5,900</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5,827</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Taiwan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12,426</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18,315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19,346</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Thailand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10,582</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4,235</w:t>
            </w:r>
          </w:p>
        </w:tc>
      </w:tr>
      <w:tr>
        <w:trPr>
          <w:trHeight w:val="223"/>
        </w:trPr>
        <w:tc>
          <w:tcPr>
            <w:tcW w:w="786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19,621</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212,496</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174,674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172,671</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net sales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$ 331,780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$ 317,550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$ 287,100</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on December 31, 2010, 2009 and 2008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4,654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4,899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Peoples Republic of China</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75,053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All other countries</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3,854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83,561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11,134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20" w:type="dxa"/>
            <w:vAlign w:val="bottom"/>
            <w:vMerge w:val="restart"/>
          </w:tcPr>
          <w:p>
            <w:pPr>
              <w:jc w:val="right"/>
              <w:ind w:right="2010"/>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years ended December 31, 2010, 2009 and 2008 is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 includes pre-tax stock-based compensation related to stock option awards granted to outside directors of</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$0.3 million, $0.3 million, and $0.2 million for the years ended December 31, 2010, 2009, and 2008, respectively. Selling, general and administrative expense includes stock-based compensation related to restricted stock awards granted to outside directors of $0.6 million, $0.5 million, $0.6 million for the years ended December 31, 2010, 2009, and 2008, respectively.</w:t>
      </w:r>
    </w:p>
    <w:p>
      <w:pPr>
        <w:spacing w:after="0" w:line="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income tax benefit from the recognition of stock-based compensation was $1.7 million, $1.5 million, and $1.5 million for the years ended December 31, 2010, 2009, and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During the year ended December 31, 2010 the Compensation Committee and Board of Directors granted 119,900 stock options to our employees with an aggregate grant date fair value of $1.3 million under various stock incentive plans. The stock options granted to employees during 2010 consisted of the following: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vMerge w:val="restart"/>
          </w:tcPr>
          <w:p>
            <w:pPr>
              <w:jc w:val="center"/>
              <w:ind w:right="759"/>
              <w:spacing w:after="0"/>
              <w:rPr>
                <w:sz w:val="20"/>
                <w:szCs w:val="20"/>
                <w:color w:val="auto"/>
              </w:rPr>
            </w:pPr>
            <w:r>
              <w:rPr>
                <w:rFonts w:ascii="Arial" w:cs="Arial" w:eastAsia="Arial" w:hAnsi="Arial"/>
                <w:sz w:val="14"/>
                <w:szCs w:val="14"/>
                <w:b w:val="1"/>
                <w:bCs w:val="1"/>
                <w:color w:val="auto"/>
                <w:w w:val="94"/>
              </w:rPr>
              <w:t>Stock Option</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4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ind w:right="799"/>
              <w:spacing w:after="0"/>
              <w:rPr>
                <w:sz w:val="20"/>
                <w:szCs w:val="20"/>
                <w:color w:val="auto"/>
              </w:rPr>
            </w:pPr>
            <w:r>
              <w:rPr>
                <w:rFonts w:ascii="Arial" w:cs="Arial" w:eastAsia="Arial" w:hAnsi="Arial"/>
                <w:sz w:val="14"/>
                <w:szCs w:val="14"/>
                <w:b w:val="1"/>
                <w:bCs w:val="1"/>
                <w:color w:val="auto"/>
                <w:w w:val="97"/>
              </w:rPr>
              <w:t>Grant Date</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Options</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w w:val="99"/>
              </w:rPr>
              <w:t>4</w:t>
            </w:r>
          </w:p>
        </w:tc>
        <w:tc>
          <w:tcPr>
            <w:tcW w:w="6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-Year Vesting Period (0% each quarter during year 1 and 8.33% each quarter</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January 25, 2010</w:t>
            </w:r>
          </w:p>
        </w:tc>
        <w:tc>
          <w:tcPr>
            <w:tcW w:w="16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99,900</w:t>
            </w:r>
          </w:p>
        </w:tc>
        <w:tc>
          <w:tcPr>
            <w:tcW w:w="14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$1,134</w:t>
            </w:r>
          </w:p>
        </w:tc>
        <w:tc>
          <w:tcPr>
            <w:tcW w:w="340" w:type="dxa"/>
            <w:vAlign w:val="bottom"/>
            <w:shd w:val="clear" w:color="auto" w:fill="CCEEFF"/>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during years 2-4)</w:t>
            </w:r>
          </w:p>
        </w:tc>
        <w:tc>
          <w:tcPr>
            <w:tcW w:w="0" w:type="dxa"/>
            <w:vAlign w:val="bottom"/>
          </w:tcPr>
          <w:p>
            <w:pPr>
              <w:spacing w:after="0"/>
              <w:rPr>
                <w:sz w:val="1"/>
                <w:szCs w:val="1"/>
                <w:color w:val="auto"/>
              </w:rPr>
            </w:pPr>
          </w:p>
        </w:tc>
      </w:tr>
      <w:tr>
        <w:trPr>
          <w:trHeight w:val="216"/>
        </w:trPr>
        <w:tc>
          <w:tcPr>
            <w:tcW w:w="1820" w:type="dxa"/>
            <w:vAlign w:val="bottom"/>
          </w:tcPr>
          <w:p>
            <w:pPr>
              <w:jc w:val="center"/>
              <w:ind w:right="759"/>
              <w:spacing w:after="0"/>
              <w:rPr>
                <w:sz w:val="20"/>
                <w:szCs w:val="20"/>
                <w:color w:val="auto"/>
              </w:rPr>
            </w:pPr>
            <w:r>
              <w:rPr>
                <w:rFonts w:ascii="Arial" w:cs="Arial" w:eastAsia="Arial" w:hAnsi="Arial"/>
                <w:sz w:val="18"/>
                <w:szCs w:val="18"/>
                <w:color w:val="auto"/>
                <w:w w:val="91"/>
              </w:rPr>
              <w:t>July 14, 2010</w:t>
            </w:r>
          </w:p>
        </w:tc>
        <w:tc>
          <w:tcPr>
            <w:tcW w:w="700" w:type="dxa"/>
            <w:vAlign w:val="bottom"/>
            <w:gridSpan w:val="2"/>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20,000</w:t>
            </w:r>
          </w:p>
        </w:tc>
        <w:tc>
          <w:tcPr>
            <w:tcW w:w="1460" w:type="dxa"/>
            <w:vAlign w:val="bottom"/>
            <w:gridSpan w:val="4"/>
          </w:tcPr>
          <w:p>
            <w:pPr>
              <w:jc w:val="right"/>
              <w:ind w:right="360"/>
              <w:spacing w:after="0"/>
              <w:rPr>
                <w:sz w:val="20"/>
                <w:szCs w:val="20"/>
                <w:color w:val="auto"/>
              </w:rPr>
            </w:pPr>
            <w:r>
              <w:rPr>
                <w:rFonts w:ascii="Arial" w:cs="Arial" w:eastAsia="Arial" w:hAnsi="Arial"/>
                <w:sz w:val="18"/>
                <w:szCs w:val="18"/>
                <w:color w:val="auto"/>
              </w:rPr>
              <w:t>164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4</w:t>
            </w:r>
          </w:p>
        </w:tc>
        <w:tc>
          <w:tcPr>
            <w:tcW w:w="6040" w:type="dxa"/>
            <w:vAlign w:val="bottom"/>
          </w:tcPr>
          <w:p>
            <w:pPr>
              <w:ind w:left="20"/>
              <w:spacing w:after="0"/>
              <w:rPr>
                <w:sz w:val="20"/>
                <w:szCs w:val="20"/>
                <w:color w:val="auto"/>
              </w:rPr>
            </w:pPr>
            <w:r>
              <w:rPr>
                <w:rFonts w:ascii="Arial" w:cs="Arial" w:eastAsia="Arial" w:hAnsi="Arial"/>
                <w:sz w:val="18"/>
                <w:szCs w:val="18"/>
                <w:color w:val="auto"/>
              </w:rPr>
              <w:t>-Year Vesting Period (25% each quarter)</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119,900</w:t>
            </w:r>
          </w:p>
        </w:tc>
        <w:tc>
          <w:tcPr>
            <w:tcW w:w="14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$1,298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2010 we recognized $0.3 million of pre-tax stock-based compensation expense related to our 2010 stock option grants.</w:t>
      </w:r>
    </w:p>
    <w:p>
      <w:pPr>
        <w:spacing w:after="0" w:line="14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r>
              <w:rPr>
                <w:rFonts w:ascii="Arial" w:cs="Arial" w:eastAsia="Arial" w:hAnsi="Arial"/>
                <w:sz w:val="12"/>
                <w:szCs w:val="12"/>
                <w:b w:val="1"/>
                <w:bCs w:val="1"/>
                <w:color w:val="auto"/>
              </w:rPr>
              <w:t>(1)</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10.83</w:t>
            </w:r>
          </w:p>
        </w:tc>
        <w:tc>
          <w:tcPr>
            <w:tcW w:w="3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7.20</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9.08</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1.95%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49.54%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40.85%</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4.95</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4.85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20" w:right="2140" w:hanging="5612"/>
        <w:spacing w:after="0" w:line="481" w:lineRule="auto"/>
        <w:tabs>
          <w:tab w:leader="none" w:pos="463"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The weighted average fair value of grants was calculated utilizing the stock options granted during each respective period.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 the compensation expense related to stock option awards net of estimated forfeitures over the service period of the award, which is generally the option vesting term of three to four years. On December 31, 2010, 2009, and 2008, we estimated the annual forfeiture rate for our executives and board of directors will be 2.53%, 2.65%, and 2.66%, respectively, based upon our historical forfeitures. On December 31, 2010, 2009, and 2008, we estimated the annual forfeiture rate for our non-executive employees to be 6.59%, 6.51%, and 6.31%, respectively, based on our historical forfeitures.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years ended December 31, 2010, 2009 and 2008 were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1"/>
                <w:szCs w:val="11"/>
                <w:b w:val="1"/>
                <w:bCs w:val="1"/>
                <w:color w:val="auto"/>
                <w:w w:val="97"/>
              </w:rPr>
              <w:t>2010</w:t>
            </w: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2009</w:t>
            </w: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2008</w:t>
            </w: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0"/>
              </w:rPr>
              <w:t>Weighted-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0"/>
              </w:rPr>
              <w:t>Weighted-</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0"/>
              </w:rPr>
              <w:t>Weighted-</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Average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3"/>
              </w:rPr>
              <w:t>Weighted-</w:t>
            </w:r>
          </w:p>
        </w:tc>
        <w:tc>
          <w:tcPr>
            <w:tcW w:w="26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Remaining</w:t>
            </w:r>
          </w:p>
        </w:tc>
        <w:tc>
          <w:tcPr>
            <w:tcW w:w="160" w:type="dxa"/>
            <w:vAlign w:val="bottom"/>
          </w:tcPr>
          <w:p>
            <w:pPr>
              <w:spacing w:after="0"/>
              <w:rPr>
                <w:sz w:val="10"/>
                <w:szCs w:val="10"/>
                <w:color w:val="auto"/>
              </w:rPr>
            </w:pPr>
          </w:p>
        </w:tc>
        <w:tc>
          <w:tcPr>
            <w:tcW w:w="6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4"/>
              </w:rPr>
              <w:t>Aggregate</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3"/>
              </w:rPr>
              <w:t>Weighted-</w:t>
            </w:r>
          </w:p>
        </w:tc>
        <w:tc>
          <w:tcPr>
            <w:tcW w:w="260" w:type="dxa"/>
            <w:vAlign w:val="bottom"/>
          </w:tcPr>
          <w:p>
            <w:pPr>
              <w:spacing w:after="0"/>
              <w:rPr>
                <w:sz w:val="10"/>
                <w:szCs w:val="10"/>
                <w:color w:val="auto"/>
              </w:rPr>
            </w:pPr>
          </w:p>
        </w:tc>
        <w:tc>
          <w:tcPr>
            <w:tcW w:w="8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Remaining</w:t>
            </w: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Aggregate</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3"/>
              </w:rPr>
              <w:t>Weighted-</w:t>
            </w:r>
          </w:p>
        </w:tc>
        <w:tc>
          <w:tcPr>
            <w:tcW w:w="280" w:type="dxa"/>
            <w:vAlign w:val="bottom"/>
          </w:tcPr>
          <w:p>
            <w:pPr>
              <w:spacing w:after="0"/>
              <w:rPr>
                <w:sz w:val="10"/>
                <w:szCs w:val="10"/>
                <w:color w:val="auto"/>
              </w:rPr>
            </w:pPr>
          </w:p>
        </w:tc>
        <w:tc>
          <w:tcPr>
            <w:tcW w:w="9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8"/>
              </w:rPr>
              <w:t>Remaining</w:t>
            </w:r>
          </w:p>
        </w:tc>
        <w:tc>
          <w:tcPr>
            <w:tcW w:w="5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9"/>
              </w:rPr>
              <w:t>Aggregate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54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87"/>
              </w:rPr>
              <w:t>Average</w:t>
            </w:r>
          </w:p>
        </w:tc>
        <w:tc>
          <w:tcPr>
            <w:tcW w:w="260" w:type="dxa"/>
            <w:vAlign w:val="bottom"/>
          </w:tcPr>
          <w:p>
            <w:pPr>
              <w:spacing w:after="0"/>
              <w:rPr>
                <w:sz w:val="10"/>
                <w:szCs w:val="10"/>
                <w:color w:val="auto"/>
              </w:rPr>
            </w:pP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160" w:type="dxa"/>
            <w:vAlign w:val="bottom"/>
          </w:tcPr>
          <w:p>
            <w:pPr>
              <w:spacing w:after="0"/>
              <w:rPr>
                <w:sz w:val="10"/>
                <w:szCs w:val="10"/>
                <w:color w:val="auto"/>
              </w:rPr>
            </w:pPr>
          </w:p>
        </w:tc>
        <w:tc>
          <w:tcPr>
            <w:tcW w:w="66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Intrinsic</w:t>
            </w:r>
          </w:p>
        </w:tc>
        <w:tc>
          <w:tcPr>
            <w:tcW w:w="96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82"/>
              </w:rPr>
              <w:t>Average</w:t>
            </w:r>
          </w:p>
        </w:tc>
        <w:tc>
          <w:tcPr>
            <w:tcW w:w="26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4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Intrinsic</w:t>
            </w:r>
          </w:p>
        </w:tc>
        <w:tc>
          <w:tcPr>
            <w:tcW w:w="84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52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Average</w:t>
            </w:r>
          </w:p>
        </w:tc>
        <w:tc>
          <w:tcPr>
            <w:tcW w:w="280" w:type="dxa"/>
            <w:vAlign w:val="bottom"/>
          </w:tcPr>
          <w:p>
            <w:pPr>
              <w:spacing w:after="0"/>
              <w:rPr>
                <w:sz w:val="10"/>
                <w:szCs w:val="10"/>
                <w:color w:val="auto"/>
              </w:rPr>
            </w:pPr>
          </w:p>
        </w:tc>
        <w:tc>
          <w:tcPr>
            <w:tcW w:w="90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5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Intrinsic</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Options</w:t>
            </w:r>
          </w:p>
        </w:tc>
        <w:tc>
          <w:tcPr>
            <w:tcW w:w="120" w:type="dxa"/>
            <w:vAlign w:val="bottom"/>
          </w:tcPr>
          <w:p>
            <w:pPr>
              <w:spacing w:after="0"/>
              <w:rPr>
                <w:sz w:val="10"/>
                <w:szCs w:val="10"/>
                <w:color w:val="auto"/>
              </w:rPr>
            </w:pPr>
          </w:p>
        </w:tc>
        <w:tc>
          <w:tcPr>
            <w:tcW w:w="54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83"/>
              </w:rPr>
              <w:t>Exercise</w:t>
            </w:r>
          </w:p>
        </w:tc>
        <w:tc>
          <w:tcPr>
            <w:tcW w:w="260" w:type="dxa"/>
            <w:vAlign w:val="bottom"/>
          </w:tcPr>
          <w:p>
            <w:pPr>
              <w:spacing w:after="0"/>
              <w:rPr>
                <w:sz w:val="10"/>
                <w:szCs w:val="10"/>
                <w:color w:val="auto"/>
              </w:rPr>
            </w:pP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Term</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8"/>
              </w:rPr>
              <w:t>Value</w:t>
            </w:r>
          </w:p>
        </w:tc>
        <w:tc>
          <w:tcPr>
            <w:tcW w:w="140" w:type="dxa"/>
            <w:vAlign w:val="bottom"/>
          </w:tcPr>
          <w:p>
            <w:pPr>
              <w:spacing w:after="0"/>
              <w:rPr>
                <w:sz w:val="10"/>
                <w:szCs w:val="10"/>
                <w:color w:val="auto"/>
              </w:rPr>
            </w:pPr>
          </w:p>
        </w:tc>
        <w:tc>
          <w:tcPr>
            <w:tcW w:w="8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Options</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88"/>
              </w:rPr>
              <w:t>Exercise</w:t>
            </w:r>
          </w:p>
        </w:tc>
        <w:tc>
          <w:tcPr>
            <w:tcW w:w="26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Term</w:t>
            </w:r>
          </w:p>
        </w:tc>
        <w:tc>
          <w:tcPr>
            <w:tcW w:w="100" w:type="dxa"/>
            <w:vAlign w:val="bottom"/>
          </w:tcPr>
          <w:p>
            <w:pPr>
              <w:spacing w:after="0"/>
              <w:rPr>
                <w:sz w:val="10"/>
                <w:szCs w:val="10"/>
                <w:color w:val="auto"/>
              </w:rPr>
            </w:pPr>
          </w:p>
        </w:tc>
        <w:tc>
          <w:tcPr>
            <w:tcW w:w="5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Value</w:t>
            </w: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Options</w:t>
            </w:r>
          </w:p>
        </w:tc>
        <w:tc>
          <w:tcPr>
            <w:tcW w:w="140" w:type="dxa"/>
            <w:vAlign w:val="bottom"/>
          </w:tcPr>
          <w:p>
            <w:pPr>
              <w:spacing w:after="0"/>
              <w:rPr>
                <w:sz w:val="10"/>
                <w:szCs w:val="10"/>
                <w:color w:val="auto"/>
              </w:rPr>
            </w:pPr>
          </w:p>
        </w:tc>
        <w:tc>
          <w:tcPr>
            <w:tcW w:w="52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3"/>
              </w:rPr>
              <w:t>Exercise</w:t>
            </w:r>
          </w:p>
        </w:tc>
        <w:tc>
          <w:tcPr>
            <w:tcW w:w="280" w:type="dxa"/>
            <w:vAlign w:val="bottom"/>
          </w:tcPr>
          <w:p>
            <w:pPr>
              <w:spacing w:after="0"/>
              <w:rPr>
                <w:sz w:val="10"/>
                <w:szCs w:val="10"/>
                <w:color w:val="auto"/>
              </w:rPr>
            </w:pPr>
          </w:p>
        </w:tc>
        <w:tc>
          <w:tcPr>
            <w:tcW w:w="90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9"/>
              </w:rPr>
              <w:t>Term</w:t>
            </w:r>
          </w:p>
        </w:tc>
        <w:tc>
          <w:tcPr>
            <w:tcW w:w="80" w:type="dxa"/>
            <w:vAlign w:val="bottom"/>
          </w:tcPr>
          <w:p>
            <w:pPr>
              <w:spacing w:after="0"/>
              <w:rPr>
                <w:sz w:val="10"/>
                <w:szCs w:val="10"/>
                <w:color w:val="auto"/>
              </w:rPr>
            </w:pPr>
          </w:p>
        </w:tc>
        <w:tc>
          <w:tcPr>
            <w:tcW w:w="4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 000’s)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Price</w:t>
            </w:r>
          </w:p>
        </w:tc>
        <w:tc>
          <w:tcPr>
            <w:tcW w:w="26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(in years)</w:t>
            </w:r>
          </w:p>
        </w:tc>
        <w:tc>
          <w:tcPr>
            <w:tcW w:w="160" w:type="dxa"/>
            <w:vAlign w:val="bottom"/>
          </w:tcPr>
          <w:p>
            <w:pPr>
              <w:spacing w:after="0"/>
              <w:rPr>
                <w:sz w:val="11"/>
                <w:szCs w:val="11"/>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7"/>
              </w:rPr>
              <w:t>(in 000’s)</w:t>
            </w:r>
          </w:p>
        </w:tc>
        <w:tc>
          <w:tcPr>
            <w:tcW w:w="140" w:type="dxa"/>
            <w:vAlign w:val="bottom"/>
          </w:tcPr>
          <w:p>
            <w:pPr>
              <w:spacing w:after="0"/>
              <w:rPr>
                <w:sz w:val="11"/>
                <w:szCs w:val="11"/>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(in 000’s)</w:t>
            </w:r>
          </w:p>
        </w:tc>
        <w:tc>
          <w:tcPr>
            <w:tcW w:w="100" w:type="dxa"/>
            <w:vAlign w:val="bottom"/>
          </w:tcPr>
          <w:p>
            <w:pPr>
              <w:spacing w:after="0"/>
              <w:rPr>
                <w:sz w:val="11"/>
                <w:szCs w:val="11"/>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Price</w:t>
            </w:r>
          </w:p>
        </w:tc>
        <w:tc>
          <w:tcPr>
            <w:tcW w:w="260" w:type="dxa"/>
            <w:vAlign w:val="bottom"/>
          </w:tcPr>
          <w:p>
            <w:pPr>
              <w:spacing w:after="0"/>
              <w:rPr>
                <w:sz w:val="11"/>
                <w:szCs w:val="11"/>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(in years)</w:t>
            </w:r>
          </w:p>
        </w:tc>
        <w:tc>
          <w:tcPr>
            <w:tcW w:w="6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2"/>
              </w:rPr>
              <w:t>(in 000’s)</w:t>
            </w:r>
          </w:p>
        </w:tc>
        <w:tc>
          <w:tcPr>
            <w:tcW w:w="14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 000’s)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Price</w:t>
            </w:r>
          </w:p>
        </w:tc>
        <w:tc>
          <w:tcPr>
            <w:tcW w:w="280" w:type="dxa"/>
            <w:vAlign w:val="bottom"/>
          </w:tcPr>
          <w:p>
            <w:pPr>
              <w:spacing w:after="0"/>
              <w:rPr>
                <w:sz w:val="11"/>
                <w:szCs w:val="11"/>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(in years)</w:t>
            </w:r>
          </w:p>
        </w:tc>
        <w:tc>
          <w:tcPr>
            <w:tcW w:w="5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(in 000’s)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Outstanding at beginning</w:t>
            </w: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the year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1,693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18.37</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1,729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17.64</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1,739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16.83</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23.80</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253</w:t>
            </w:r>
          </w:p>
        </w:tc>
        <w:tc>
          <w:tcPr>
            <w:tcW w:w="10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16.26</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23.46</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1,238</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11.75</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10.19</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line="130" w:lineRule="exact"/>
              <w:rPr>
                <w:sz w:val="20"/>
                <w:szCs w:val="20"/>
                <w:color w:val="auto"/>
              </w:rPr>
            </w:pPr>
            <w:r>
              <w:rPr>
                <w:rFonts w:ascii="Arial" w:cs="Arial" w:eastAsia="Arial" w:hAnsi="Arial"/>
                <w:sz w:val="14"/>
                <w:szCs w:val="14"/>
                <w:color w:val="auto"/>
              </w:rPr>
              <w:t>Forfeited/cancelled/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expired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22.43</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24.70</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end of year</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18.78</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14,669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18.37</w:t>
            </w:r>
          </w:p>
        </w:tc>
        <w:tc>
          <w:tcPr>
            <w:tcW w:w="11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9,677</w:t>
            </w:r>
          </w:p>
        </w:tc>
        <w:tc>
          <w:tcPr>
            <w:tcW w:w="8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1,729</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17.64</w:t>
            </w:r>
          </w:p>
        </w:tc>
        <w:tc>
          <w:tcPr>
            <w:tcW w:w="11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Vested and expected to vest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8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at end of year</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1,503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18.72</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5.32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14,547</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18.30</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9,532</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1,688</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17.42</w:t>
            </w:r>
          </w:p>
        </w:tc>
        <w:tc>
          <w:tcPr>
            <w:tcW w:w="1180" w:type="dxa"/>
            <w:vAlign w:val="bottom"/>
            <w:gridSpan w:val="3"/>
          </w:tcPr>
          <w:p>
            <w:pPr>
              <w:jc w:val="right"/>
              <w:ind w:right="340"/>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Exercisable at end of year</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17.89</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11,983</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17.33</w:t>
            </w:r>
          </w:p>
        </w:tc>
        <w:tc>
          <w:tcPr>
            <w:tcW w:w="11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8,034</w:t>
            </w:r>
          </w:p>
        </w:tc>
        <w:tc>
          <w:tcPr>
            <w:tcW w:w="8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1,267</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15.34</w:t>
            </w:r>
          </w:p>
        </w:tc>
        <w:tc>
          <w:tcPr>
            <w:tcW w:w="11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3.97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value (the difference between our closing stock price on the last trading day of 2010, 2009 and 2008 and the exercise price, multiplied by the number of in-the-money options) that would have been received by the option holders had they all exercised their options on December 31, 2010, 2009 and 2008. This amount will change based on the fair market value of our stock. The actual intrinsic value of stock options exercised in 2010, 2009 and 2008 was $1.2 million, $2.3 million and $1.6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2010, 2009 and 2008, there were no modifications made to outstanding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received from option exercises for the years ended December 31, 2010, 2009 and 2008 was $2.0 million, $3.3 million and $1.2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actual tax benefit realized from option exercises of the share-based payment awards was $0.2 million, $0.4 million and $0.4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2009 and 2008, respectively.</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2010, we expect to recognize $2.2 million of total unrecognized pre-tax stock-based compensation expense related to non-vested stock options over a remaining weighted-average life of 2.3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the year ended December 31, 2010, the Compensation Committee and Board of Directors granted 45,500 restricted stock awards to our employees with an aggregate grant date fair value of $1.1 million under the 2006 Stock Incentive Plan. The restricted stock awards granted to employees during 2010 consisted of the following: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Restricted Stock</w:t>
            </w:r>
          </w:p>
        </w:tc>
        <w:tc>
          <w:tcPr>
            <w:tcW w:w="3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2"/>
                <w:szCs w:val="12"/>
                <w:color w:val="auto"/>
              </w:rPr>
            </w:pPr>
          </w:p>
        </w:tc>
        <w:tc>
          <w:tcPr>
            <w:tcW w:w="414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Grant Date</w:t>
            </w:r>
          </w:p>
        </w:tc>
        <w:tc>
          <w:tcPr>
            <w:tcW w:w="3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3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4"/>
                <w:szCs w:val="14"/>
                <w:color w:val="auto"/>
              </w:rPr>
            </w:pPr>
          </w:p>
        </w:tc>
        <w:tc>
          <w:tcPr>
            <w:tcW w:w="4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January 25, 2010</w:t>
            </w:r>
          </w:p>
        </w:tc>
        <w:tc>
          <w:tcPr>
            <w:tcW w:w="34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0"/>
              </w:rPr>
              <w:t>45,500</w:t>
            </w:r>
          </w:p>
        </w:tc>
        <w:tc>
          <w:tcPr>
            <w:tcW w:w="320" w:type="dxa"/>
            <w:vAlign w:val="bottom"/>
          </w:tcPr>
          <w:p>
            <w:pPr>
              <w:spacing w:after="0"/>
              <w:rPr>
                <w:sz w:val="16"/>
                <w:szCs w:val="16"/>
                <w:color w:val="auto"/>
              </w:rPr>
            </w:pPr>
          </w:p>
        </w:tc>
        <w:tc>
          <w:tcPr>
            <w:tcW w:w="1100" w:type="dxa"/>
            <w:vAlign w:val="bottom"/>
          </w:tcPr>
          <w:p>
            <w:pPr>
              <w:jc w:val="right"/>
              <w:ind w:right="264"/>
              <w:spacing w:after="0" w:line="195" w:lineRule="exact"/>
              <w:rPr>
                <w:sz w:val="20"/>
                <w:szCs w:val="20"/>
                <w:color w:val="auto"/>
              </w:rPr>
            </w:pPr>
            <w:r>
              <w:rPr>
                <w:rFonts w:ascii="Arial" w:cs="Arial" w:eastAsia="Arial" w:hAnsi="Arial"/>
                <w:sz w:val="18"/>
                <w:szCs w:val="18"/>
                <w:color w:val="auto"/>
              </w:rPr>
              <w:t>$1,133</w:t>
            </w:r>
          </w:p>
        </w:tc>
        <w:tc>
          <w:tcPr>
            <w:tcW w:w="36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4 -Year Vesting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gridSpan w:val="2"/>
          </w:tcPr>
          <w:p>
            <w:pPr>
              <w:ind w:left="360"/>
              <w:spacing w:after="0"/>
              <w:rPr>
                <w:sz w:val="20"/>
                <w:szCs w:val="20"/>
                <w:color w:val="auto"/>
              </w:rPr>
            </w:pPr>
            <w:r>
              <w:rPr>
                <w:rFonts w:ascii="Arial" w:cs="Arial" w:eastAsia="Arial" w:hAnsi="Arial"/>
                <w:sz w:val="18"/>
                <w:szCs w:val="18"/>
                <w:color w:val="auto"/>
                <w:w w:val="92"/>
              </w:rPr>
              <w:t>(0% each quarter during year 1 and 8.33% each quarter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00" w:type="dxa"/>
            <w:vAlign w:val="bottom"/>
            <w:gridSpan w:val="2"/>
          </w:tcPr>
          <w:p>
            <w:pPr>
              <w:ind w:left="360"/>
              <w:spacing w:after="0"/>
              <w:rPr>
                <w:sz w:val="20"/>
                <w:szCs w:val="20"/>
                <w:color w:val="auto"/>
              </w:rPr>
            </w:pPr>
            <w:r>
              <w:rPr>
                <w:rFonts w:ascii="Arial" w:cs="Arial" w:eastAsia="Arial" w:hAnsi="Arial"/>
                <w:sz w:val="18"/>
                <w:szCs w:val="18"/>
                <w:color w:val="auto"/>
              </w:rPr>
              <w:t>during years 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addition to the grants to employees, 30,000 shares of restricted stock with a grant date fair value of $0.5 million were granted to our outside directors on July 1, 2010 as a part of their annual compensation package. These shares are subject to a one-year vesting period (25% each quarter).</w:t>
      </w:r>
    </w:p>
    <w:p>
      <w:pPr>
        <w:spacing w:after="0" w:line="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 ended December 31, 2010, we recognized $0.5 million of pre-tax stock-based compensation expense related to our 2010 restricted stock grants.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Non-vested restricted stock award activity during the years ended December 31, 2010, 2009 and 2008 (including restricted stock issued to directors as described in Note 14) were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3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Granted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68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As of December 31, 2010, we expect to recognize $2.9 million of total unrecognized pre-tax stock-based compensation expense related to non-vested restricted stock awards over a weighted-average life of 1.7 years. See Note 2 under the caption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further information regarding our accounting principles.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active stock-based incentive plans include those adopted in 1993, 1996, 1998, 1999, 2002, 2003, 2006 and 2010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8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grant price of stock options and restricted stock awards granted under our stock incentive plans is the average of the high and low trades of our stock on the grant date. We prohibit the re-pricing or backdating of stock options. Our stock options become exercisable ratably, on an annual or quarterly basis, over four years. Stock options have a maximum ten-year term. Restricted stock awards vest in various proportions over a three or four year time period.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Initial Shares</w:t>
            </w: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Remaining Shares</w:t>
            </w:r>
          </w:p>
        </w:tc>
        <w:tc>
          <w:tcPr>
            <w:tcW w:w="160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Approval Date</w:t>
            </w: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28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Granted Under the</w:t>
            </w: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Under the Plan</w:t>
            </w: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Under the Plan</w:t>
            </w:r>
          </w:p>
        </w:tc>
        <w:tc>
          <w:tcPr>
            <w:tcW w:w="28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1993 Stock Incentive Plan</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1/19/1993</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400,000</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1996 Stock Incentive Plan</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12/1/1996</w:t>
            </w: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800,000</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20,834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1998 Stock Incentive Plan</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5/27/1998</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630,000</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1999 Stock Incentive Plan</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1/27/1999</w:t>
            </w: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630,000</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1999A Stock Incentive Plan</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10/7/1999</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1,000,000</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2002 Stock Incentive Plan</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2/5/2002</w:t>
            </w: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1,000,000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316,720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2003 Stock Incentive Plan</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6/18/2003</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5,563</w:t>
            </w:r>
          </w:p>
        </w:tc>
        <w:tc>
          <w:tcPr>
            <w:tcW w:w="2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2006 Stock Incentive Plan</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6/13/2006</w:t>
            </w: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1,000,000</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84,031</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650,491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2010 Stock Incentive Plan</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6/15/2010</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1,090,075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2010 and the related weighted average exercise price and life information are listed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9"/>
              </w:rPr>
              <w:t>Options Outstanding</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w:t>
            </w:r>
          </w:p>
        </w:tc>
        <w:tc>
          <w:tcPr>
            <w:tcW w:w="17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Weighted-Average</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0"/>
                <w:szCs w:val="10"/>
                <w:color w:val="auto"/>
              </w:rPr>
            </w:pPr>
          </w:p>
        </w:tc>
        <w:tc>
          <w:tcPr>
            <w:tcW w:w="13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Weighted-Average</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4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continue"/>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At 12/31/2010</w:t>
            </w:r>
          </w:p>
        </w:tc>
        <w:tc>
          <w:tcPr>
            <w:tcW w:w="17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Remaining Years of</w:t>
            </w:r>
          </w:p>
        </w:tc>
        <w:tc>
          <w:tcPr>
            <w:tcW w:w="20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Exercise</w:t>
            </w:r>
          </w:p>
        </w:tc>
        <w:tc>
          <w:tcPr>
            <w:tcW w:w="1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At 12/31/2010</w:t>
            </w:r>
          </w:p>
        </w:tc>
        <w:tc>
          <w:tcPr>
            <w:tcW w:w="20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(in 000’s)</w:t>
            </w: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Contractual Life</w:t>
            </w:r>
          </w:p>
        </w:tc>
        <w:tc>
          <w:tcPr>
            <w:tcW w:w="20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(in 000’s)</w:t>
            </w: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$8.45 to $9.83</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1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12.58 to 13.27</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208</w:t>
            </w: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12.62</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14.85 to 16.78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381</w:t>
            </w:r>
          </w:p>
        </w:tc>
        <w:tc>
          <w:tcPr>
            <w:tcW w:w="1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16.17</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17.11 to 17.62</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237</w:t>
            </w: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17.58</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18.03 to 21.95</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w:t>
            </w:r>
          </w:p>
        </w:tc>
        <w:tc>
          <w:tcPr>
            <w:tcW w:w="1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20.38</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23.66 to 28.08</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413</w:t>
            </w: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26.92</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32.40 to 35.35</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40" w:type="dxa"/>
            <w:vAlign w:val="bottom"/>
            <w:gridSpan w:val="3"/>
          </w:tcPr>
          <w:p>
            <w:pPr>
              <w:spacing w:after="0"/>
              <w:rPr>
                <w:sz w:val="20"/>
                <w:szCs w:val="20"/>
                <w:color w:val="auto"/>
              </w:rPr>
            </w:pPr>
            <w:r>
              <w:rPr>
                <w:rFonts w:ascii="Arial" w:cs="Arial" w:eastAsia="Arial" w:hAnsi="Arial"/>
                <w:sz w:val="18"/>
                <w:szCs w:val="18"/>
                <w:color w:val="auto"/>
              </w:rPr>
              <w:t>$8.45 to $35.35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540" w:type="dxa"/>
            <w:vAlign w:val="bottom"/>
          </w:tcPr>
          <w:p>
            <w:pPr>
              <w:spacing w:after="0"/>
              <w:rPr>
                <w:sz w:val="24"/>
                <w:szCs w:val="2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18.78</w:t>
            </w:r>
          </w:p>
        </w:tc>
        <w:tc>
          <w:tcPr>
            <w:tcW w:w="26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5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vMerge w:val="restart"/>
          </w:tcPr>
          <w:p>
            <w:pPr>
              <w:jc w:val="right"/>
              <w:ind w:right="736"/>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Income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foreign currency exchange transactions</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options and restricted stock grants, outstanding during the period. Dilutive potential common shares for all periods presented are computed utilizing the treasury stock method.</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computation of diluted earnings per common share for the years ended December 31, 2010, 2009 and 2008, we have excluded 517,827, 785,186 and 534,418 stock options, respectively, with exercise prices greater than the average market price of the underlying common stock, because their inclusion would have been anti-dilutive. Furthermore, for the years ended December 31, 2010, 2009 and 2008, we have excluded 159,889, 235,887 and 105,944 of shares of restricted stock, respectively, whose combined unamortized fair value and excess tax benefits were greater in each of those periods than the average market price of the underlying common stock, as their effect would be anti-dilutive.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2010, 2009 and 2008 were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15,081</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14,675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13,764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13,667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14,015</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15,081</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14,675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13,764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13,667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14,106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13,971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14,456</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gains and losses on both the derivatives and the foreign currency-denominated balances are recorded as foreign exchange transaction gains or losses and are classified in other income (expense), net. Derivatives are recorded 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balance sheet at fair value. The estimated fair values of our derivative financial instruments represent the amount required to enter into offsetting contracts with similar remaining maturities based on quoted market prices.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We have determined that the fair value of our derivatives is derived from level 2 inputs in the fair value hierarchy (see Note 2 under the captions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w:t>
      </w:r>
      <w:r>
        <w:rPr>
          <w:rFonts w:ascii="Arial" w:cs="Arial" w:eastAsia="Arial" w:hAnsi="Arial"/>
          <w:sz w:val="18"/>
          <w:szCs w:val="18"/>
          <w:color w:val="auto"/>
        </w:rPr>
        <w:t xml:space="preserve"> Measurements for further information concerning the accounting principles and valuation methodology utilized). The following table sets forth our financial assets that were accounted for at fair value on a recurring basis on December 31, 2010: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8"/>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2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futures contracts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held foreign currency exchange contracts which resulted in a net pre-tax loss of approximately $0.3 million for the year ended December 31, 2010, a net pre-tax loss of approximately $0.7 million for the year ended December 31, 2009 and a net pre-tax loss of $0.5 million for the year ended December 31,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We held one USD/Euro futures contract with a notional value of $4.0 million and a forward rate of $1.3073 USD/Euro at December 31, 2010. We held the Euro position on this contract, which settled on January 28, 2011. The gain on this contract as of December 31, 2010 was $87 thousand and is included in prepaid expenses and other current assets. This contract was settled at a gain of $198 thousand resulting in a gain of $111 thousand in January 2011.</w:t>
      </w:r>
    </w:p>
    <w:p>
      <w:pPr>
        <w:spacing w:after="0" w:line="3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held one USD/Indian Rupee futures contract with a notional value of INR133.5 million and a forward rate of INR45.47 INR/USD at December 31, 2010. We held the USD position on this contract, which settled on January 28, 2011. The loss on this contract as of December 31, 2010 was $43 thousand and is included in other accrued expenses. This contract was settled at a gain of $10 thousand resulting in a gain of $53 thousand in January 2011.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CNY6.6819 CNY/USD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We held the USD position on this contract, which settled on January 24, 2011. The loss on this contract as of December 31,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thousand and is included in other accrued expenses. This contract was settled at a loss of $14 thousand resulting in a loss of $3 thousand in January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CNY6.6681 CNY/USD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We held the USD position on this contract, which was scheduled to settle on February 24, 2011. The contract was terminated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21, 2011. The loss on this contract as of December 31, 2010 was $13 thousand and is included in other accrued expenses. This contract was settled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termination date at a loss of $16 thousand resulting in a loss of $3 thousand in January 2011.</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held one USD/Euro futures contract with a notional value of $1.5 million and a forward rate of $1.4386 USD/Euro at December 31, 2009. We held the Euro position on this contract, which settled on January 15, 2010. The loss on this contract as of December 31, 2009 was $5 thousand and is included in other accrued expenses. This contract was settled at a gain of $11 thousand resulting in a gain of $16 thousand in January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entered into a USD/GBP put option with a notional value of $4.3 million in July 2009. The strike price of the put is $1.64 USD/GBP. The contract expired on December 31, 2009 and settled on January 5, 2010. The loss recorded related to this contract was $138 thousand during the year ended December 31, 2009. The fair value of this put option was approximately $2 thousand at December 31, 2009 and is included in accounts receivable, net (see Note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$0.6 million, $0.8 million, and $0.7 million of expense for company contributions for the years ended December 31, 2010, 2009 and 2008,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Enson Assets Limited</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3, 2010, our subsidiary, UEI Hong Kong Private Limited, entered into a stock purchase agreement with CG International Holdings Limited (“CG”) to acquire all of the issued shares in the capital of Enson Assets Limited (“Enson”) for total consideration of approximately $125.8 million. This transaction closed on November 4, 2010. The consideration consisted of $95.0 million in cash and 1,460,000 of newly issued shares of UEI common stock. A total of $5.0 million of the purchase price was held back at the closing to provide for any additional payments required by CG as a result of Enson’s failure to meet both a net asset target and an earnings target (see “</w:t>
      </w:r>
      <w:r>
        <w:rPr>
          <w:rFonts w:ascii="Arial" w:cs="Arial" w:eastAsia="Arial" w:hAnsi="Arial"/>
          <w:sz w:val="18"/>
          <w:szCs w:val="18"/>
          <w:i w:val="1"/>
          <w:iCs w:val="1"/>
          <w:color w:val="auto"/>
        </w:rPr>
        <w:t>Contingent Consideration”</w:t>
      </w:r>
      <w:r>
        <w:rPr>
          <w:rFonts w:ascii="Arial" w:cs="Arial" w:eastAsia="Arial" w:hAnsi="Arial"/>
          <w:sz w:val="18"/>
          <w:szCs w:val="18"/>
          <w:color w:val="auto"/>
        </w:rPr>
        <w:t xml:space="preserve"> below). We have included the $5.0 million that was held back in the purchase price allocation, since it is probable that we will owe the full amount to CG. The $5.0 million is included in our other accrued liabilities balance at December 31, 2010.</w:t>
      </w:r>
    </w:p>
    <w:p>
      <w:pPr>
        <w:spacing w:after="0" w:line="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consolidated income statement for the twelve months ended December 31, 2010 includes net sales of $25.0 million and net income of $1.3 million attributable to Enson for the period commencing on November 4,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Enson Description</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Enson is a leading manufacturer of remote controls. Prior to the acquisition Enson was also one of our significant suppliers (see Note 5). During the years ended December 31, 2010, 2009 and 2008 Enson supplied 20.5%, 24.1% and 20.6% of our inventory purchases. The Enson corporate office, located in Hong Kong, is approximately 6,000 square feet and employs 50 people. Enson controls two factories located in the Peoples Republic of China (“PRC”).</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southern factory is located in Guang Dong Province, PRC within the city of Guang Zhou. The Guang Zhou factory is approximately 710,203 square feet and employs 787 people, with an additional 4,393 factory workers contracted through an agency agreement.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northern factory is located in Jiang Su Province, PRC within the city of Yang Zhou. The Yang Zhou factory is approximately 1,204,697 square feet and employs 418 people, with an additional 4,502 factory workers contracted through an agency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the consideration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71"/>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Source Description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Consideration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Existing cash and cash equivalents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Funds from new U.S. Bank Secured Term Loan (see Note 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35,000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Funds from new U.S. Bank Secured Revolving Credit Line (see Note 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Newly issued shares of Universal Electronics Inc. common stock</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6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125,762</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 Target on November 3, 2010</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To the extent that the Enson net assets were less than $68.5 million at November 3, 2010, CG would have paid us the difference, plus interest. To the extent that the Enson net assets were greater than $68.5 million we would have had to pay CG the difference, plus interest. We are currently in the process of determing if certain adjustments recorded in accordance with generally accepted accounting principles will be included in determining Enson’s net asset position on November 3, 2010 as defined by the stock purchase agreement. We expect this calculation to be completed in the first quarter of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Target for the Twelve Months Ending March 31, 2011</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To the extent that Enson’s earnings for the year ended March 31, 2011 are less than $16.2 million, CG will pay us an amount equal to the product of (a) the difference between Enson’s earnings and $16.2 million, multiplied by (b) one and one half, plus interest. Interest will be calculated on the date the auditors’ report is issued on Enson’s accounts using the prime rate as reported in The Wall Street Journal on the date of this determination. CG is required to make this payment within five business days of the issuance of the auditor’s report on Enson’s accounts.</w:t>
      </w:r>
    </w:p>
    <w:p>
      <w:pPr>
        <w:spacing w:after="0" w:line="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purposes of this calculation, Enson’s earnings are defined as Enson’s consolidated profit before tax for the twelve months ending March 31, 2011 excluding certain agreed upon adjustments, including without limitation, the following items: profit related to UEIC sales, investment income, other income, other expenses, other gains and losses and interest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On the date of this filing, we do not anticipate that any amounts will be owed by CG on March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recognized $0.7 million of total acquisition costs related to the Enson transaction in selling, general and administrative expenses during the year ended December 31, 2010. The acquisition costs consisted primarily of legal and investment banking services.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addition to the costs incurred to acquire Enson, during January 2011 our Compensation Committee approved a discretionary bonus of $0.4 million to be awarded to certain employees directly involved in the acquisition process. This discretionary bonus was ratified by our Board of Directors during February 2011, and was paid during March 2011. The entire amount was included in accrued compensation at December 31,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 the acquisition method of accounting, the acquisition date fair value of the consideration transferred is allocated to the net tangible and intangible assets acquired and liabilities assumed based on their estimated fair values on the acquisition date. Management’s preliminary purchase price allocation on November 4, 2010 (the Enson acquisition date) is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64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Preliminary</w:t>
            </w:r>
          </w:p>
        </w:tc>
        <w:tc>
          <w:tcPr>
            <w:tcW w:w="0" w:type="dxa"/>
            <w:vAlign w:val="bottom"/>
          </w:tcPr>
          <w:p>
            <w:pPr>
              <w:spacing w:after="0"/>
              <w:rPr>
                <w:sz w:val="1"/>
                <w:szCs w:val="1"/>
                <w:color w:val="auto"/>
              </w:rPr>
            </w:pPr>
          </w:p>
        </w:tc>
      </w:tr>
      <w:tr>
        <w:trPr>
          <w:trHeight w:val="149"/>
        </w:trPr>
        <w:tc>
          <w:tcPr>
            <w:tcW w:w="8940" w:type="dxa"/>
            <w:vAlign w:val="bottom"/>
          </w:tcPr>
          <w:p>
            <w:pPr>
              <w:spacing w:after="0"/>
              <w:rPr>
                <w:sz w:val="12"/>
                <w:szCs w:val="12"/>
                <w:color w:val="auto"/>
              </w:rPr>
            </w:pPr>
          </w:p>
        </w:tc>
        <w:tc>
          <w:tcPr>
            <w:tcW w:w="164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Average</w:t>
            </w: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Estimated Lives</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1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Inventories</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(67,879)</w:t>
            </w: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Net tangible assets acquired</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Trademark and trade name</w:t>
            </w:r>
          </w:p>
        </w:tc>
        <w:tc>
          <w:tcPr>
            <w:tcW w:w="1640" w:type="dxa"/>
            <w:vAlign w:val="bottom"/>
          </w:tcPr>
          <w:p>
            <w:pPr>
              <w:ind w:left="24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Total estimated purchase price</w:t>
            </w:r>
          </w:p>
        </w:tc>
        <w:tc>
          <w:tcPr>
            <w:tcW w:w="1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125,762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Management’s preliminary determination of the fair value of the tangible and intangible assets acquired and liabilities assumed are based on estimates and assumptions that are subject to change. During the measurement period, if information becomes available which would indicate adjustments are required to the purchase price allocation, such adjustments will be included in the purchase price allocation retrospectively. The measurement period can extend as long as one year from the acquisition date. We are currently evaluating certain tax matters that once completed may result in an adjustment to goodwill. In addition, as noted above, we are also evaluating the results of the net asset target as defined in the stock purchase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Of the total estimated purchase price, $83.6 million has been allocated to net tangible assets acquired, $16.8 million has been allocated to goodwill, and $25.3 million has been allocated to identifiable intangible assets acquired. The identified intangible assets consist of $23.3 million assigned to customer relationships and $2.0 million assigned to trademark and trade name.</w:t>
      </w:r>
    </w:p>
    <w:p>
      <w:pPr>
        <w:spacing w:after="0" w:line="73"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The fair value of Enson’s customer relationships intangible asset was estimated utilizing the income approach. We estimated the future after tax cash flows attributable to Enson’s customer base, after taking into consideration projected attrition based on our analysis of UEI and Enson customer data. These cash flows were discounted back to the acquisition date to arrive at the estimated fair value of the customer relationships intangible. UEI expects to amortize the fair value of Enson’s customer relationships on a straight-line basis over an estimated life of ten years. The customer relationships amortization will not be deductible for tax purposes.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assigned to Enson’s trademark and trade name intangible asset was determined utilizing the income approach. The estimated future after tax cash flows from Enson’s trademark and trade name were discounted back to the acquisition date to arrive at the estimated fair value of the trademark and trade name. UEI expects to amortize the value of Enson’s trademark and trade name on a straight-line basis over an estimated life of ten years. The trademark and trade name amortization will not be deductible for tax purposes.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Goodwill represents the excess of the purchase consideration over the estimated fair value of identifiable tangible and intangible assets acquired. Goodwill from this transaction of $16.8 million will not be amortized, but will be analyzed for impairment on at least an annual basis in accordance with U.S. GAAP. We review our goodwill for impairment annually on December 31 and whenever events or changes in circumstances indicate that an impairment loss may have occurred. Of the total goodwill recorded, none is expected to be deductible for tax purposes.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the Enson acquisition:</w:t>
      </w:r>
    </w:p>
    <w:p>
      <w:pPr>
        <w:spacing w:after="0" w:line="117" w:lineRule="exact"/>
        <w:rPr>
          <w:sz w:val="20"/>
          <w:szCs w:val="20"/>
          <w:color w:val="auto"/>
        </w:rPr>
      </w:pPr>
    </w:p>
    <w:p>
      <w:pPr>
        <w:ind w:left="440" w:right="380" w:hanging="216"/>
        <w:spacing w:after="0" w:line="277" w:lineRule="auto"/>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Enson should increase our market position in the strategically important consumer electronics market given Enson’s historic strength with leading Japanese consumer electronics companies. We have not been well positioned in this market historically.</w:t>
      </w:r>
    </w:p>
    <w:p>
      <w:pPr>
        <w:spacing w:after="0" w:line="62" w:lineRule="exact"/>
        <w:rPr>
          <w:rFonts w:ascii="Arial" w:cs="Arial" w:eastAsia="Arial" w:hAnsi="Arial"/>
          <w:sz w:val="18"/>
          <w:szCs w:val="18"/>
          <w:b w:val="1"/>
          <w:bCs w:val="1"/>
          <w:color w:val="auto"/>
        </w:rPr>
      </w:pPr>
    </w:p>
    <w:p>
      <w:pPr>
        <w:ind w:left="440" w:right="80" w:hanging="216"/>
        <w:spacing w:after="0" w:line="342" w:lineRule="auto"/>
        <w:tabs>
          <w:tab w:leader="none" w:pos="44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Enson currently produces approximately one-third of our finished good inventory purchases, therefore, we may decrease purchases from third parties. In addition, Enson has available manufacturing capacity. We may provide Enson the ability to increase the utilization of their existing factories.</w:t>
      </w:r>
    </w:p>
    <w:p>
      <w:pPr>
        <w:spacing w:after="0" w:line="15" w:lineRule="exact"/>
        <w:rPr>
          <w:rFonts w:ascii="Arial" w:cs="Arial" w:eastAsia="Arial" w:hAnsi="Arial"/>
          <w:sz w:val="16"/>
          <w:szCs w:val="16"/>
          <w:b w:val="1"/>
          <w:bCs w:val="1"/>
          <w:color w:val="auto"/>
        </w:rPr>
      </w:pPr>
    </w:p>
    <w:p>
      <w:pPr>
        <w:ind w:left="440" w:right="60" w:hanging="216"/>
        <w:spacing w:after="0" w:line="277" w:lineRule="auto"/>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We may utilize Enson’s in-place management and personnel to assist us in implementing our plan to place more operations, logistics, quality, program management, engineering, sales, and marketing personnel in the Asia region.</w:t>
      </w:r>
    </w:p>
    <w:p>
      <w:pPr>
        <w:spacing w:after="0" w:line="62" w:lineRule="exact"/>
        <w:rPr>
          <w:rFonts w:ascii="Arial" w:cs="Arial" w:eastAsia="Arial" w:hAnsi="Arial"/>
          <w:sz w:val="18"/>
          <w:szCs w:val="18"/>
          <w:b w:val="1"/>
          <w:bCs w:val="1"/>
          <w:color w:val="auto"/>
        </w:rPr>
      </w:pPr>
    </w:p>
    <w:p>
      <w:pPr>
        <w:jc w:val="both"/>
        <w:ind w:left="440" w:right="180" w:hanging="216"/>
        <w:spacing w:after="0" w:line="264" w:lineRule="auto"/>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Enson’s full line of remotes, from dedicated to higher-end universal, should assist us with further penetrating the growing Asian and Latin American subscription broadcasting markets. The lower subscriber revenue in these markets can cause them to begin with lower-cost dedicated remotes and to later transition to universal remote controls.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that the goodwill recognized as a result of the Enson acquisition will be assigned to our sole reporting unit.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Zilog, Inc.</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116 of Zilog’s sales and engineering personnel, including all 107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cross-licensed the remote control technology and intellectual property with Maxim Integrated Products for the purpose of conducting our respective businesses. The arrangement involves an agreement to source silicon chips from Maxim. In addition, during 2009 we agreed to be Maxim’s exclusive sales agent, selling the Zilog designs to Zilog’s former customers, in return for a sales agency fee. The sales agency fee during the years ended December 31, 2010 and 2009 was $4.1 million and $4.4 million, respectively. During 2011, as we continue to slowly transition from the Zilog chip platform to the Maxim chip platform, we will progressively take over full sales and distribution rights, procuring and selling the chips directly to Zilog’s former customers. We anticipate this transition will lead to growth in revenue and earnings going forward. Our consolidated financial statements include the operating results of the acquired assets, employees hired, and the related agreement with Maxim from February 18, 2009.</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total purchase price of approximately $9.5 million has been allocated to the net assets acquired based on their estimated fair values as follow:</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Database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vMerge w:val="restart"/>
          </w:tcPr>
          <w:p>
            <w:pPr>
              <w:spacing w:after="0"/>
              <w:rPr>
                <w:sz w:val="20"/>
                <w:szCs w:val="20"/>
                <w:color w:val="auto"/>
              </w:rPr>
            </w:pPr>
            <w:r>
              <w:rPr>
                <w:rFonts w:ascii="Arial" w:cs="Arial" w:eastAsia="Arial" w:hAnsi="Arial"/>
                <w:sz w:val="18"/>
                <w:szCs w:val="18"/>
                <w:color w:val="auto"/>
              </w:rPr>
              <w:t>Purchase price</w:t>
            </w: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Of the total purchase price, approximately $6.6 million was allocated to identifiable intangible assets subject to amortization including the database and customer relationships.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database intangible is composed of the estimated fair value of patents, intellectual property and other assets related to Zilog’s database of infrared codes, and software tools. When determining the fair value of the database, we utilized the cost approach. In our valuation, we estimated the total costs to recreate the database, including the associated opportunity costs (or revenue lost while recreating). We discounted the after-tax cash flows to present value to arrive at our estimate of the fair value of the database. We are amortizing the database on a straight-line basis over an estimated useful life of approximately fifteen years.</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 customer attrition rate based on our analysis of customer data for UEI and Zilog. We discounted the after-tax cash flows to present value to arrive at our estimate of the fair value of the customer relationships intangible. We are amortizing the customer relationships intangible on a straight-line basis over an estimated useful life of approximately fifteen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Goodwill represents the excess of the cost (purchase price) over the estimated fair value of identifiable tangible and intangible assets acquired. Goodwill from this transaction of $2.9 million will not be amortized, but will be analyzed for impairment at least on an annual basis in accordance with U.S. GAAP. We review our goodwill for impairment annually on December 31 and whenever events or changes in circumstances indicate that an impairment loss may have occurred. We have not recorded any impairment related to the goodwill recognized as a result of the Zilog acquisition. Of the total goodwill recorded, none is expected to be deductible for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60" w:hanging="314"/>
        <w:spacing w:after="0" w:line="277" w:lineRule="auto"/>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75"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recognized $1.1 million of total acquisition costs related to the Zilog transaction in selling, general and administrative expenses during the year ended December 31, 2009. The acquisition costs consisted primarily of legal and investment banking services. Of the $1.1 million of acquisition costs recognized during the year ended December 31, 2009, $0.1 million was deferred at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(Unaudited)</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Enson acquisition and the acquisition from Zilog as if these transactions occurred at the beginning of the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years ended December 31, 2010,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458,492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409,475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9"/>
              </w:rPr>
              <w:t>391,553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31,351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21,832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16,079</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2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2.28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1.44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1.04</w:t>
            </w: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bl>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Enson Adjustments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Enson adjustments to reduce net income of $2.9 million, $5.5 million and $5.9 million for the years ended December 31, 2010, 2009 and 2008, respectively, have been made to the combined results of operations. These adjustments reflect primarily interest on the term loan and line of credit, amortization of acquired intangible assets, amortization and depreciation of the fair value adjustments to prepaid land and property, plant, and equipment. All adjustments have been made net of their related tax effects.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Zilog Adjustments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Zilog related adjustments netting $0.04 million for the year ended December 31, 2009 have been made to the combined results of operations, primarily reflecting net sales, salary costs and the amortization of purchased intangible assets that would have occurred had the acquisition date been January 1, 2009. Net adjustments of $0.4 million have been subtracted from the combined results of operations for the year ended December 31, 2008, reflecting primarily net sales, salary costs, amortization of purchased intangible assets and the acquisition costs that would have occurred had the acquisition date been January 1, 2008. All adjustments have been made net of their related tax effects.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2010 and 2009 are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tcPr>
          <w:p>
            <w:pPr>
              <w:jc w:val="center"/>
              <w:ind w:right="820"/>
              <w:spacing w:after="0" w:line="119" w:lineRule="exact"/>
              <w:rPr>
                <w:sz w:val="20"/>
                <w:szCs w:val="20"/>
                <w:color w:val="auto"/>
              </w:rPr>
            </w:pPr>
            <w:r>
              <w:rPr>
                <w:rFonts w:ascii="Arial" w:cs="Arial" w:eastAsia="Arial" w:hAnsi="Arial"/>
                <w:sz w:val="13"/>
                <w:szCs w:val="13"/>
                <w:b w:val="1"/>
                <w:bCs w:val="1"/>
                <w:color w:val="auto"/>
              </w:rPr>
              <w:t>March</w:t>
            </w:r>
          </w:p>
        </w:tc>
        <w:tc>
          <w:tcPr>
            <w:tcW w:w="12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June</w:t>
            </w:r>
          </w:p>
        </w:tc>
        <w:tc>
          <w:tcPr>
            <w:tcW w:w="58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w:t>
            </w:r>
          </w:p>
        </w:tc>
        <w:tc>
          <w:tcPr>
            <w:tcW w:w="36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w:t>
            </w:r>
          </w:p>
        </w:tc>
        <w:tc>
          <w:tcPr>
            <w:tcW w:w="100" w:type="dxa"/>
            <w:vAlign w:val="bottom"/>
          </w:tcPr>
          <w:p>
            <w:pPr>
              <w:spacing w:after="0"/>
              <w:rPr>
                <w:sz w:val="10"/>
                <w:szCs w:val="10"/>
                <w:color w:val="auto"/>
              </w:rPr>
            </w:pPr>
          </w:p>
        </w:tc>
      </w:tr>
      <w:tr>
        <w:trPr>
          <w:trHeight w:val="171"/>
        </w:trPr>
        <w:tc>
          <w:tcPr>
            <w:tcW w:w="490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71,376</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78,892</w:t>
            </w: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79,007</w:t>
            </w:r>
          </w:p>
        </w:tc>
        <w:tc>
          <w:tcPr>
            <w:tcW w:w="34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$ 102,505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22,064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27,425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25,718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28,642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2,687</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3,766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(1)</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r>
      <w:tr>
        <w:trPr>
          <w:trHeight w:val="27"/>
        </w:trPr>
        <w:tc>
          <w:tcPr>
            <w:tcW w:w="4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13,700</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13,601</w:t>
            </w: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13,417</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14,344</w:t>
            </w: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13,929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13,671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14,737</w:t>
            </w:r>
          </w:p>
        </w:tc>
        <w:tc>
          <w:tcPr>
            <w:tcW w:w="100" w:type="dxa"/>
            <w:vAlign w:val="bottom"/>
          </w:tcPr>
          <w:p>
            <w:pPr>
              <w:spacing w:after="0"/>
              <w:rPr>
                <w:sz w:val="19"/>
                <w:szCs w:val="19"/>
                <w:color w:val="auto"/>
              </w:rPr>
            </w:pPr>
          </w:p>
        </w:tc>
      </w:tr>
      <w:tr>
        <w:trPr>
          <w:trHeight w:val="372"/>
        </w:trPr>
        <w:tc>
          <w:tcPr>
            <w:tcW w:w="4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tcPr>
          <w:p>
            <w:pPr>
              <w:jc w:val="center"/>
              <w:ind w:right="820"/>
              <w:spacing w:after="0" w:line="119" w:lineRule="exact"/>
              <w:rPr>
                <w:sz w:val="20"/>
                <w:szCs w:val="20"/>
                <w:color w:val="auto"/>
              </w:rPr>
            </w:pPr>
            <w:r>
              <w:rPr>
                <w:rFonts w:ascii="Arial" w:cs="Arial" w:eastAsia="Arial" w:hAnsi="Arial"/>
                <w:sz w:val="13"/>
                <w:szCs w:val="13"/>
                <w:b w:val="1"/>
                <w:bCs w:val="1"/>
                <w:color w:val="auto"/>
              </w:rPr>
              <w:t>March</w:t>
            </w:r>
          </w:p>
        </w:tc>
        <w:tc>
          <w:tcPr>
            <w:tcW w:w="120" w:type="dxa"/>
            <w:vAlign w:val="bottom"/>
          </w:tcPr>
          <w:p>
            <w:pPr>
              <w:spacing w:after="0"/>
              <w:rPr>
                <w:sz w:val="10"/>
                <w:szCs w:val="10"/>
                <w:color w:val="auto"/>
              </w:rPr>
            </w:pPr>
          </w:p>
        </w:tc>
        <w:tc>
          <w:tcPr>
            <w:tcW w:w="6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June</w:t>
            </w:r>
          </w:p>
        </w:tc>
        <w:tc>
          <w:tcPr>
            <w:tcW w:w="580" w:type="dxa"/>
            <w:vAlign w:val="bottom"/>
          </w:tcPr>
          <w:p>
            <w:pPr>
              <w:spacing w:after="0"/>
              <w:rPr>
                <w:sz w:val="10"/>
                <w:szCs w:val="10"/>
                <w:color w:val="auto"/>
              </w:rPr>
            </w:pPr>
          </w:p>
        </w:tc>
        <w:tc>
          <w:tcPr>
            <w:tcW w:w="10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3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w:t>
            </w:r>
          </w:p>
        </w:tc>
        <w:tc>
          <w:tcPr>
            <w:tcW w:w="100" w:type="dxa"/>
            <w:vAlign w:val="bottom"/>
          </w:tcPr>
          <w:p>
            <w:pPr>
              <w:spacing w:after="0"/>
              <w:rPr>
                <w:sz w:val="10"/>
                <w:szCs w:val="10"/>
                <w:color w:val="auto"/>
              </w:rPr>
            </w:pPr>
          </w:p>
        </w:tc>
      </w:tr>
      <w:tr>
        <w:trPr>
          <w:trHeight w:val="17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71,126</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78,303</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83,182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84,939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21,437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25,495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26,070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28,610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6,644</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3,816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4,223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(1)</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0.31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r>
      <w:tr>
        <w:trPr>
          <w:trHeight w:val="27"/>
        </w:trPr>
        <w:tc>
          <w:tcPr>
            <w:tcW w:w="4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13,658</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13,621</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13,687</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13,700</w:t>
            </w: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14,008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14,063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20" w:hanging="452"/>
        <w:spacing w:after="0" w:line="308"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7"/>
          <w:szCs w:val="17"/>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2010.</w:t>
      </w:r>
    </w:p>
    <w:p>
      <w:pPr>
        <w:spacing w:after="0" w:line="6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management has excluded Enson Assets Limited from its assessment of internal control over financial reporting as of December 31, 2010 because they were acquired during the fourth quarter of 2010. Enson Assets Limited is a subsidiary whose total assets and total net sales represent 51% and 8%, respectively, of the related consolidated financial statement amounts as of and for the year ended December 31, 2010.</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2010 has been audited by Grant Thornton LLP, an independent registered public accounting firm, as stated in its attestation report which is included herein.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internal controls or in other factors that may significantly affect our internal controls during 2010.</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audited Universal Electronics Inc.’s (a Delaware Corporation) internal control over financial reporting as of December 31, 2010, based on criteria established in Internal Control-Integrated Framework issued by the Committee of Sponsoring Organizations of the Treadway Commission (COSO). Universal Electronics Inc.’s management is responsible for maintaining effective internal control over financial reporting and for its assertion of the effectiveness of internal control over financial reporting, included in the accompanying Management’s Annual Report on Internal Control Over Financial Reporting. Our responsibility is to express an opinion on Universal Electronics Inc.’s internal control over financial reporting based on our audit. Our audit of, and opinion on, Universal Electronics Inc.’s internal control over financial reporting does not include internal control over financial reporting of Enson Assets Limited, a wholly owned subsidiary, whose financial statements reflect total assets and revenues constituting 51 percent and 8 percent, respectively, of the related consolidated financial statement amounts as of and for the year ended December 31, 2010. As indicated in Management’s Report, Enson Assets Limited was acquired during 2010 and therefore, management’s assertion on the effectiveness of Universal Electronics Inc.’s internal control over financial reporting excluded internal control over financial reporting of Enson Assets Limited.</w:t>
      </w:r>
    </w:p>
    <w:p>
      <w:pPr>
        <w:spacing w:after="0" w:line="70"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our opinion, Universal Electronics Inc. maintained, in all material respects, effective internal control over financial reporting as of December 31, 2010, based on criteria established in Internal Control-Integrated Framework issued by COSO.</w:t>
      </w:r>
    </w:p>
    <w:p>
      <w:pPr>
        <w:spacing w:after="0" w:line="6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Universal Electronics Inc. as of December 31, 2010 and 2009, and the related consolidated statements of income, stockholders’ equity, and cash flows for each of the three years in the period ended December 31, 2010, and our report dated March 16, 2011 expressed an unqualified opinion.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2011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2011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2011 Annual Meeting of Stockholders to be filed pursuant to Regulation 14A promulgated by the Securities and Exchange Commission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2011 Annual Meeting of Stockholders to be filed pursuant to Regulation 14A promulgated by the Securities and Exchange Commission under the Exchange Act.</w:t>
      </w:r>
    </w:p>
    <w:p>
      <w:pPr>
        <w:spacing w:after="0" w:line="17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2011 Annual Meeting of Stockholders to be filed pursuant to Regulation 14A promulgated by the Securities and Exchange Commission under the Exchange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center"/>
              <w:ind w:left="114"/>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4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3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4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30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60" w:type="dxa"/>
            <w:vAlign w:val="bottom"/>
            <w:gridSpan w:val="3"/>
          </w:tcPr>
          <w:p>
            <w:pPr>
              <w:jc w:val="center"/>
              <w:ind w:left="534"/>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4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3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8"/>
        </w:trPr>
        <w:tc>
          <w:tcPr>
            <w:tcW w:w="554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and rights</w:t>
            </w:r>
          </w:p>
        </w:tc>
        <w:tc>
          <w:tcPr>
            <w:tcW w:w="1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and rights</w:t>
            </w:r>
          </w:p>
        </w:tc>
        <w:tc>
          <w:tcPr>
            <w:tcW w:w="30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860" w:type="dxa"/>
            <w:vAlign w:val="bottom"/>
            <w:tcBorders>
              <w:top w:val="single" w:sz="8" w:color="auto"/>
              <w:bottom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1,319,986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1,089,594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8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397,717</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2860" w:type="dxa"/>
            <w:vAlign w:val="bottom"/>
            <w:tcBorders>
              <w:bottom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1,717,703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1,090,075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See “ITEM 8. FINANCIAL STATEMENTS AND SUPPLEMENTARY DATA- Notes to Consolidated Financial Statements </w:t>
      </w:r>
      <w:r>
        <w:rPr>
          <w:rFonts w:ascii="Arial" w:cs="Arial" w:eastAsia="Arial" w:hAnsi="Arial"/>
          <w:sz w:val="18"/>
          <w:szCs w:val="18"/>
          <w:b w:val="1"/>
          <w:bCs w:val="1"/>
          <w:color w:val="auto"/>
        </w:rPr>
        <w:t>-</w:t>
      </w:r>
      <w:r>
        <w:rPr>
          <w:rFonts w:ascii="Arial" w:cs="Arial" w:eastAsia="Arial" w:hAnsi="Arial"/>
          <w:sz w:val="18"/>
          <w:szCs w:val="18"/>
          <w:color w:val="auto"/>
        </w:rPr>
        <w:t xml:space="preserve"> Note 16” for a description of each of our stock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2011 Annual Meeting of Stockholders to be filed pursuant to Regulation 14A promulgated by the Securities and Exchange Commission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2011 Annual Meeting of Stockholders to be filed pursuant to Regulation 14A promulgated by the Securities and Exchange Commission under the Exchange Act.</w:t>
      </w:r>
    </w:p>
    <w:p>
      <w:pPr>
        <w:spacing w:after="0" w:line="25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121"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121"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EXHIBIT INDEX at page 95 of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16th day of March, 2011.</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Paul D. Arling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16th day of March, 2011, by the following persons on behalf of the registrant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2080" w:type="dxa"/>
            <w:vAlign w:val="bottom"/>
          </w:tcPr>
          <w:p>
            <w:pPr>
              <w:spacing w:after="0"/>
              <w:rPr>
                <w:sz w:val="16"/>
                <w:szCs w:val="16"/>
                <w:color w:val="auto"/>
              </w:rPr>
            </w:pPr>
          </w:p>
        </w:tc>
        <w:tc>
          <w:tcPr>
            <w:tcW w:w="4040" w:type="dxa"/>
            <w:vAlign w:val="bottom"/>
          </w:tcPr>
          <w:p>
            <w:pPr>
              <w:ind w:left="160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6"/>
                <w:szCs w:val="16"/>
                <w:color w:val="auto"/>
              </w:rPr>
            </w:pPr>
          </w:p>
        </w:tc>
      </w:tr>
      <w:tr>
        <w:trPr>
          <w:trHeight w:val="403"/>
        </w:trPr>
        <w:tc>
          <w:tcPr>
            <w:tcW w:w="4960" w:type="dxa"/>
            <w:vAlign w:val="bottom"/>
          </w:tcPr>
          <w:p>
            <w:pPr>
              <w:spacing w:after="0"/>
              <w:rPr>
                <w:sz w:val="20"/>
                <w:szCs w:val="20"/>
                <w:color w:val="auto"/>
              </w:rPr>
            </w:pPr>
            <w:r>
              <w:rPr>
                <w:rFonts w:ascii="Arial" w:cs="Arial" w:eastAsia="Arial" w:hAnsi="Arial"/>
                <w:sz w:val="18"/>
                <w:szCs w:val="18"/>
                <w:color w:val="auto"/>
              </w:rPr>
              <w:t>Paul D. Arling</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D. Arling</w:t>
            </w:r>
          </w:p>
        </w:tc>
        <w:tc>
          <w:tcPr>
            <w:tcW w:w="340" w:type="dxa"/>
            <w:vAlign w:val="bottom"/>
          </w:tcPr>
          <w:p>
            <w:pPr>
              <w:spacing w:after="0"/>
              <w:rPr>
                <w:sz w:val="20"/>
                <w:szCs w:val="20"/>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4"/>
        </w:trPr>
        <w:tc>
          <w:tcPr>
            <w:tcW w:w="4960" w:type="dxa"/>
            <w:vAlign w:val="bottom"/>
          </w:tcPr>
          <w:p>
            <w:pPr>
              <w:spacing w:after="0"/>
              <w:rPr>
                <w:sz w:val="20"/>
                <w:szCs w:val="20"/>
                <w:color w:val="auto"/>
              </w:rPr>
            </w:pPr>
            <w:r>
              <w:rPr>
                <w:rFonts w:ascii="Arial" w:cs="Arial" w:eastAsia="Arial" w:hAnsi="Arial"/>
                <w:sz w:val="18"/>
                <w:szCs w:val="18"/>
                <w:color w:val="auto"/>
              </w:rPr>
              <w:t>Bryan M. Hackworth</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M. Hackworth</w:t>
            </w:r>
          </w:p>
        </w:tc>
        <w:tc>
          <w:tcPr>
            <w:tcW w:w="340" w:type="dxa"/>
            <w:vAlign w:val="bottom"/>
          </w:tcPr>
          <w:p>
            <w:pPr>
              <w:spacing w:after="0"/>
              <w:rPr>
                <w:sz w:val="20"/>
                <w:szCs w:val="20"/>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0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04"/>
        </w:trPr>
        <w:tc>
          <w:tcPr>
            <w:tcW w:w="4960" w:type="dxa"/>
            <w:vAlign w:val="bottom"/>
          </w:tcPr>
          <w:p>
            <w:pPr>
              <w:spacing w:after="0"/>
              <w:rPr>
                <w:sz w:val="20"/>
                <w:szCs w:val="20"/>
                <w:color w:val="auto"/>
              </w:rPr>
            </w:pPr>
            <w:r>
              <w:rPr>
                <w:rFonts w:ascii="Arial" w:cs="Arial" w:eastAsia="Arial" w:hAnsi="Arial"/>
                <w:sz w:val="18"/>
                <w:szCs w:val="18"/>
                <w:color w:val="auto"/>
              </w:rPr>
              <w:t>Satjiv S. Chahil</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Satjiv S. Chahil</w:t>
            </w:r>
          </w:p>
        </w:tc>
        <w:tc>
          <w:tcPr>
            <w:tcW w:w="3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William C. Mulligan</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Mulligan</w:t>
            </w:r>
          </w:p>
        </w:tc>
        <w:tc>
          <w:tcPr>
            <w:tcW w:w="3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J. C. Sparkman</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J.C. Sparkman</w:t>
            </w:r>
          </w:p>
        </w:tc>
        <w:tc>
          <w:tcPr>
            <w:tcW w:w="3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Gregory P. Stapleton</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P. Stapleton</w:t>
            </w:r>
          </w:p>
        </w:tc>
        <w:tc>
          <w:tcPr>
            <w:tcW w:w="3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Carl E. Vogel</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E. Vogel</w:t>
            </w:r>
          </w:p>
        </w:tc>
        <w:tc>
          <w:tcPr>
            <w:tcW w:w="340" w:type="dxa"/>
            <w:vAlign w:val="bottom"/>
          </w:tcPr>
          <w:p>
            <w:pPr>
              <w:spacing w:after="0"/>
              <w:rPr>
                <w:sz w:val="20"/>
                <w:szCs w:val="20"/>
                <w:color w:val="auto"/>
              </w:rPr>
            </w:pPr>
          </w:p>
        </w:tc>
      </w:tr>
      <w:tr>
        <w:trPr>
          <w:trHeight w:val="425"/>
        </w:trPr>
        <w:tc>
          <w:tcPr>
            <w:tcW w:w="4960" w:type="dxa"/>
            <w:vAlign w:val="bottom"/>
          </w:tcPr>
          <w:p>
            <w:pPr>
              <w:spacing w:after="0"/>
              <w:rPr>
                <w:sz w:val="20"/>
                <w:szCs w:val="20"/>
                <w:color w:val="auto"/>
              </w:rPr>
            </w:pPr>
            <w:r>
              <w:rPr>
                <w:rFonts w:ascii="Arial" w:cs="Arial" w:eastAsia="Arial" w:hAnsi="Arial"/>
                <w:sz w:val="18"/>
                <w:szCs w:val="18"/>
                <w:color w:val="auto"/>
              </w:rPr>
              <w:t>Edward K. Zinser</w:t>
            </w:r>
          </w:p>
        </w:tc>
        <w:tc>
          <w:tcPr>
            <w:tcW w:w="2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Zinser</w:t>
            </w:r>
          </w:p>
        </w:tc>
        <w:tc>
          <w:tcPr>
            <w:tcW w:w="340" w:type="dxa"/>
            <w:vAlign w:val="bottom"/>
          </w:tcPr>
          <w:p>
            <w:pPr>
              <w:spacing w:after="0"/>
              <w:rPr>
                <w:sz w:val="20"/>
                <w:szCs w:val="20"/>
                <w:color w:val="auto"/>
              </w:rPr>
            </w:pPr>
          </w:p>
        </w:tc>
      </w:tr>
      <w:tr>
        <w:trPr>
          <w:trHeight w:val="412"/>
        </w:trPr>
        <w:tc>
          <w:tcPr>
            <w:tcW w:w="4960" w:type="dxa"/>
            <w:vAlign w:val="bottom"/>
          </w:tcPr>
          <w:p>
            <w:pPr>
              <w:spacing w:after="0"/>
              <w:rPr>
                <w:sz w:val="24"/>
                <w:szCs w:val="24"/>
                <w:color w:val="auto"/>
              </w:rPr>
            </w:pPr>
          </w:p>
        </w:tc>
        <w:tc>
          <w:tcPr>
            <w:tcW w:w="2080" w:type="dxa"/>
            <w:vAlign w:val="bottom"/>
          </w:tcPr>
          <w:p>
            <w:pPr>
              <w:jc w:val="right"/>
              <w:ind w:right="1150"/>
              <w:spacing w:after="0"/>
              <w:rPr>
                <w:sz w:val="20"/>
                <w:szCs w:val="20"/>
                <w:color w:val="auto"/>
              </w:rPr>
            </w:pPr>
            <w:r>
              <w:rPr>
                <w:rFonts w:ascii="Arial" w:cs="Arial" w:eastAsia="Arial" w:hAnsi="Arial"/>
                <w:sz w:val="18"/>
                <w:szCs w:val="18"/>
                <w:color w:val="auto"/>
              </w:rPr>
              <w:t>94</w:t>
            </w: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6"/>
        </w:trPr>
        <w:tc>
          <w:tcPr>
            <w:tcW w:w="49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jc w:val="center"/>
              <w:ind w:right="1051"/>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24"/>
                <w:szCs w:val="2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87"/>
              </w:rPr>
              <w:t>2.1</w:t>
            </w:r>
          </w:p>
        </w:tc>
        <w:tc>
          <w:tcPr>
            <w:tcW w:w="3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6"/>
              </w:rPr>
              <w:t>Asset Purchase Agreement dated as of February 17, 2009 by and among Zilog, Inc., Zilog India Electronics Pvt Ltd, Maxim Integrated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Products, Inc., UEI Cayman Inc., Universal Electronics Inc., and UEI Electronics Private Limited (incorporated by reference to Exhibit 2.1 to</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Company’s Annual Report on Form 10-K for the year ended December 31, 2008 filed on March 13, 2009 (File No. 0-12044))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Stock Purchase Agreement dated as of November 3, 2010, among Universal Electronics Inc., UEI Hong Kong Private Limited and CG</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International Holdings Limited** (incorporated by reference to Exhibit 2.1 to the Company’s Current Report on Form 8-K filed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4, 2010 (File No. 0-12044))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Restated Certificate of Incorporation of Universal Electronics Inc., as amended (Incorporated by reference to Exhibit 3.1 to the Company’s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S-1 Registration filed on or about December 24, 1992 (File No. 33-56358))</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Amended and Restated By-laws of Universal Electronics Inc. (Incorporated by reference to Exhibit 3.2 to the Company’s Form S-1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filed on or about December 24, 1992 (File No. 33-56358))</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Certificate of Amendment to Restated Certificate of Incorporation of Universal Electronics Inc. (Incorporated by reference to Exhibit 3.3 to</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Company’s Annual Report on Form 10-K for the year ended December 31, 1995 filed on April 1, 1996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Article Eighth of our Restated Certificate of Incorporation, as amended, contains certain provisions restricting business combinations with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interested stockholders under certain circumstances and imposing higher voting requirements for the approval of certain transactions unless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the transaction has been approved by two-thirds of the disinterested directors or fair price provisions have been met. (Incorporated by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reference to Exhibit 3.3 to the Company’s Annual Report on Form 10-K for the year ended December 31, 1995 filed on April 1, 1996 (File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Universal Electronics Inc. 1993 Stock Incentive Plan (Incorporated by reference to Exhibit 10.13 to Amendment No. 1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Form S-1 Registration filed on or about January 21, 1993 (File No. 33-56358))</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1995 Stock Incentive Plan (Incorporated by reference to Exhibit B to the Company’s Definitive Proxy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1995 Annual Meeting of Stockholders of Universal Electronics Inc. filed on May 1, 1995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to the employees pursuant to the Universal Electronics Inc. 1995 Stock Incentive Plan (Incorporated by reference to Exhibit 10.20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1996 filed on March 28, 1997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Stock Option Agreement by and between Universal Electronics Inc. and certain non-affiliated directors used in connection with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options granted to the non-affiliated directors pursuant to the Universal Electronics Inc. 1995 Stock Incentive Plan (Incorporated by reference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to Exhibit 10.21 to the Company’s Annual Report on Form 10-K for the year ended December 31, 1996 filed on March 28, 1997 (File No. 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3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Form of Universal Electronics Inc. 1996 Stock Incentive Plan (Incorporated by reference to Exhibit 4.5 to the Company’s Form S-8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Statement filed on March 26, 1997 (File No. 333-23985))</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Stock Option Agreement by and between Universal Electronics Inc. and certain employers used in connection with options granted to</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the employees pursuant to the Universal Electronics Inc. 1996 Stock Incentive Plan (Incorporated by reference to Exhibit 4.6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Form S-8 Registration Statement filed on March 26, 1997 (File No. 333-23985))</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5"/>
              </w:rPr>
              <w:t>*10.7</w:t>
            </w:r>
          </w:p>
        </w:tc>
        <w:tc>
          <w:tcPr>
            <w:tcW w:w="3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4"/>
              </w:rPr>
              <w:t>Form of Salary Continuation Agreement by and between Universal Electronics Inc. and certain employees (Incorporated by reference to</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Exhibit 10.25 to the Company’s Annual Report on Form 10-K for the year ended December 31, 1997, filed on March 30, 1998 (File No. 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3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Amendment to Salary Continuation Agreement by and between Universal Electronics Inc. and certain employees (Incorporated by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10.26 to the Company’s Annual Report on Form 10-K for the year ended December 31, 1997, filed on March 30, 1998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1998 Stock Incentive Plan (Incorporated by reference to Exhibit A to the Company’s Definitive Proxy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1998 Annual Meeting of Stockholders of Universal Electronics Inc. filed on April 20, 1998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to the employees pursuant to the Universal Electronics Inc. 1998 Stock Incentive Plan(Incorporated by reference to Exhibit 10.24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1998 filed on March 31, 1999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1999 Stock Incentive Plan (Incorporated by reference to Exhibit A to the Company’s Definitive Proxy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1999 Annual Meeting of Stockholders of Universal Electronics Inc. filed on April 29, 1999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to the employees pursuant to the Universal Electronics Inc. 1999 Stock Incentive Plan (Incorporated by reference to Exhibit A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Company’s Definitive Proxy Materials for the 1999 Annual Meeting of Stockholders of Universal Electronics Inc. filed on April 29, 1999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Salary Continuation Agreement by and between Universal Electronics Inc. and certain employees (Incorporated by reference to</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Exhibit 10.39 to the Company’s Annual Report on Form 10-K for the year ended December 31, 1999 filed on March 30, 2000 (File No. 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3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1999A Nonqualified Stock Plan effective October 7, 1999 and subsequently amended February 1, 2000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10.42 to the Company’s Annual Report on Form 10-K for the year ended December 31, 1999 filed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30, 2000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to the employees pursuant to the Universal Electronics Inc. 1999A Nonqualified Stock Plan (Incorporated by reference to Exhibit 10.43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1999 filed on March 30, 2000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Universal Electronics Inc. 2002 Stock Incentive Plan (Incorporated by reference to Exhibit 10.49 to the Company’s Quarterly Report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Form 10-Q for the quarter ended June 30, 2002 filed on August 14, 2002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Stock Option Agreement by and between Universal Electronics Inc. and certain directors, officers and other employees used in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connection with options granted to the employees pursuant to the Universal Electronics Inc. 2002 Stock Incentive Plan (Incorporated by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10.50 to the Company’s Quarterly Report on Form 10-Q for the quarter ended June 30, 2002 filed on August 14, 2002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2003 Stock Incentive Plan (Incorporated by reference to Appendix B to the Company’s Definitive Proxy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2003 Annual Meeting of Stockholders of Universal Electronics Inc. filed on April 28, 2003 (File No. 0-21044))</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95"/>
              </w:rPr>
              <w:t>*10.19</w:t>
            </w:r>
          </w:p>
        </w:tc>
        <w:tc>
          <w:tcPr>
            <w:tcW w:w="3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6"/>
              </w:rPr>
              <w:t>Form of Executive Officer Employment Agreement dated April 23, 2003 by and between Universal Electronics Inc. and Paul D. Arling</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10.42 to the Company’s Annual Report on Form 10-K for the year ended December 31, 2003 filed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14, 2004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First Amendment to Executive Officer Employment Agreement dated October 21, 2005 by and between Universal Electronics Inc.</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Paul D. Arling (incorporated by reference to Exhibit 10.24 to the Company’s Annual Report on Form 10-K for the year ended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2005 filed on March 16, 2006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2006 Stock Incentive Plan (incorporated by reference to Appendix C to the Company’s Definitive Proxy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2006 Annual Meeting of Stockholders of Universal Electronics Inc. filed on April 26, 2006 (File No. 0-21044)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Lease dated January 31, 2007 between FirstCal Industrial 2 Acquisition, LLC and Universal Electronics Inc. (incorporated by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10.26 to the Company’s Annual Report on Form 10-K for the year ended December 31, 2006 filed on March 16, 2007</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Indemnification Agreements, dated as of January 2, 2007 between the Company and each director and certain officers of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Company (incorporated by reference to Exhibit 10.28 to the Company’s Annual Report on Form 10-K for the year ended December 31, 2006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March 16, 2007 (File No. 02-21044))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*10.24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Restricted Stock Unit Agreement (incorporated herein by reference to Exhibit 4.5 to the Company’s Form S-8 Registration Statement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March 27, 2008 (File No. 333-149926))</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Credit Agreement dated December 23, 2009 between U.S. Bank National Association and Universal Electronics Inc. (incorporated by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10.31 to the Company’s Annual Report on Form 10-K for the year ended December 31, 2009 filed on March 15, 2010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Revolving Note dated December 23, 2009 from Universal Electronics Inc. to U.S. Bank National Association ((incorporated by reference to</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Exhibit 10.32 to the Company’s Annual Report on Form 10-K for the year ended December 31, 2009 filed on March 15, 2010 (File No. 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3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Amended and Restated Credit Agreement dated as of November 1, 2010 between Universal Electronics Inc. and U.S. Bank National</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Association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Revolving Note dated November 1, 2010 between Universal Electronics Inc. and U.S. Bank National Association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Term Note dated November 1, 2010 from Universal Electronics Inc. to U.S. Bank National Association (filed herewith)</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Pledge Agreement dated November 1, 2010 between UEI Hong Kong Private Limited and Enson Assets Limited to U.S. Bank National</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Association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Security Agreement dated November 1, 2010 from Universal Electronics Inc. to U.S. Bank National Association (filed herewith)</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Code of Conduct (incorporated by reference to Exhibit 14.1 to the Company’s Annual Report on Form 10-K for the year ended December 31,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2003 filed on March 14, 2004 (File No. 0-21044))</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Grant Thornton LLP (filed herewith)</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30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3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Certifications of the Chief Executive Officer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Certifications of the Chief Financial Officer (principal financial officer and principal accounting officer) (filed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pacing w:after="0" w:line="77" w:lineRule="exact"/>
        <w:rPr>
          <w:sz w:val="20"/>
          <w:szCs w:val="20"/>
          <w:color w:val="auto"/>
        </w:rPr>
      </w:pPr>
    </w:p>
    <w:p>
      <w:pPr>
        <w:ind w:left="460" w:right="24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Attachments to the Purchase Agreement, identified on Exhibit 2.2, have been omitted as permitted by Item 601(b)(2) of Regulation S-K. UEI hereby undertakes to furnish supplementally to the Securities and Exchange Commission a copy of any omitted attachment upon request.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1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U.S. BANK NATIONAL ASSOCIATION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November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92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ARTICLE I. DEFINITIONS AND ACCOUNTING TERMS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9220" w:type="dxa"/>
            <w:vAlign w:val="bottom"/>
          </w:tcPr>
          <w:p>
            <w:pPr>
              <w:ind w:left="220"/>
              <w:spacing w:after="0"/>
              <w:rPr>
                <w:sz w:val="20"/>
                <w:szCs w:val="20"/>
                <w:color w:val="auto"/>
              </w:rPr>
            </w:pPr>
            <w:r>
              <w:rPr>
                <w:rFonts w:ascii="Arial" w:cs="Arial" w:eastAsia="Arial" w:hAnsi="Arial"/>
                <w:sz w:val="18"/>
                <w:szCs w:val="18"/>
                <w:color w:val="auto"/>
              </w:rPr>
              <w:t>Section 1.1. Defined Terms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1.2. Accounting Terms and Calculations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1.3. Computation of Time Periods</w:t>
            </w:r>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220" w:type="dxa"/>
            <w:vAlign w:val="bottom"/>
          </w:tcPr>
          <w:p>
            <w:pPr>
              <w:ind w:left="220"/>
              <w:spacing w:after="0"/>
              <w:rPr>
                <w:sz w:val="20"/>
                <w:szCs w:val="20"/>
                <w:color w:val="auto"/>
              </w:rPr>
            </w:pPr>
            <w:r>
              <w:rPr>
                <w:rFonts w:ascii="Arial" w:cs="Arial" w:eastAsia="Arial" w:hAnsi="Arial"/>
                <w:sz w:val="18"/>
                <w:szCs w:val="18"/>
                <w:color w:val="auto"/>
              </w:rPr>
              <w:t>Section 1.4. Other Definitional Terms</w:t>
            </w:r>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ARTICLE II. TERMS OF THE CREDIT FACILITIES</w:t>
            </w: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9220" w:type="dxa"/>
            <w:vAlign w:val="bottom"/>
          </w:tcPr>
          <w:p>
            <w:pPr>
              <w:ind w:left="220"/>
              <w:spacing w:after="0"/>
              <w:rPr>
                <w:sz w:val="20"/>
                <w:szCs w:val="20"/>
                <w:color w:val="auto"/>
              </w:rPr>
            </w:pPr>
            <w:r>
              <w:rPr>
                <w:rFonts w:ascii="Arial" w:cs="Arial" w:eastAsia="Arial" w:hAnsi="Arial"/>
                <w:sz w:val="18"/>
                <w:szCs w:val="18"/>
                <w:color w:val="auto"/>
              </w:rPr>
              <w:t>Section 2.1. The Commitments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2.2. Procedure for Revolving Loans</w:t>
            </w: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2.3. The Notes</w:t>
            </w: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2.4. Interest Rates; Conversions and Continuations; Etc.</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2.5. Payment of Interest and Principal of Loans</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2.6. Prepayments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2.7. 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2.8. Procedures for 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2.9. Terms of 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2.10. Agreement to Repay Letter of Credit Drawings</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2.11. Obligations Absolute</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2.12. Outstanding Letters of Credit Following Event of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2.13. Revolving Loans to Cover Unpaid Drawings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2.14. Facility Fees and Letter of Credit Fees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2.15. Computation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2.16. Payments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2.17. Revolving Commitment Ending Date</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2.18. Use of Proceeds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2.19. Taxes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220" w:type="dxa"/>
            <w:vAlign w:val="bottom"/>
          </w:tcPr>
          <w:p>
            <w:pPr>
              <w:ind w:left="220"/>
              <w:spacing w:after="0"/>
              <w:rPr>
                <w:sz w:val="20"/>
                <w:szCs w:val="20"/>
                <w:color w:val="auto"/>
              </w:rPr>
            </w:pPr>
            <w:r>
              <w:rPr>
                <w:rFonts w:ascii="Arial" w:cs="Arial" w:eastAsia="Arial" w:hAnsi="Arial"/>
                <w:sz w:val="18"/>
                <w:szCs w:val="18"/>
                <w:color w:val="auto"/>
              </w:rPr>
              <w:t>Section 2.20. Effect of Existing Credit Agreement</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ARTICLE III. CONDITIONS PRECEDENT</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9220" w:type="dxa"/>
            <w:vAlign w:val="bottom"/>
          </w:tcPr>
          <w:p>
            <w:pPr>
              <w:ind w:left="220"/>
              <w:spacing w:after="0"/>
              <w:rPr>
                <w:sz w:val="20"/>
                <w:szCs w:val="20"/>
                <w:color w:val="auto"/>
              </w:rPr>
            </w:pPr>
            <w:r>
              <w:rPr>
                <w:rFonts w:ascii="Arial" w:cs="Arial" w:eastAsia="Arial" w:hAnsi="Arial"/>
                <w:sz w:val="18"/>
                <w:szCs w:val="18"/>
                <w:color w:val="auto"/>
              </w:rPr>
              <w:t>Section 3.1. Conditions of Initial Transaction</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220" w:type="dxa"/>
            <w:vAlign w:val="bottom"/>
          </w:tcPr>
          <w:p>
            <w:pPr>
              <w:ind w:left="220"/>
              <w:spacing w:after="0"/>
              <w:rPr>
                <w:sz w:val="20"/>
                <w:szCs w:val="20"/>
                <w:color w:val="auto"/>
              </w:rPr>
            </w:pPr>
            <w:r>
              <w:rPr>
                <w:rFonts w:ascii="Arial" w:cs="Arial" w:eastAsia="Arial" w:hAnsi="Arial"/>
                <w:sz w:val="18"/>
                <w:szCs w:val="18"/>
                <w:color w:val="auto"/>
              </w:rPr>
              <w:t>Section 3.2. Conditions Precedent to the Term Loan and all Revolving Loans and 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ARTICLE IV. REPRESENTATIONS AND WARRANTIES</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9220" w:type="dxa"/>
            <w:vAlign w:val="bottom"/>
          </w:tcPr>
          <w:p>
            <w:pPr>
              <w:ind w:left="220"/>
              <w:spacing w:after="0"/>
              <w:rPr>
                <w:sz w:val="20"/>
                <w:szCs w:val="20"/>
                <w:color w:val="auto"/>
              </w:rPr>
            </w:pPr>
            <w:r>
              <w:rPr>
                <w:rFonts w:ascii="Arial" w:cs="Arial" w:eastAsia="Arial" w:hAnsi="Arial"/>
                <w:sz w:val="18"/>
                <w:szCs w:val="18"/>
                <w:color w:val="auto"/>
              </w:rPr>
              <w:t>Section 4.1. Organization, Standing, Etc.</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4.2. Authorization and Validity</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4.3. No Conflict; No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4.4. Government Consent</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4.5. Financial Statements and Condition</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Section 4.6. Litigation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220" w:type="dxa"/>
            <w:vAlign w:val="bottom"/>
          </w:tcPr>
          <w:p>
            <w:pPr>
              <w:ind w:left="220"/>
              <w:spacing w:after="0"/>
              <w:rPr>
                <w:sz w:val="20"/>
                <w:szCs w:val="20"/>
                <w:color w:val="auto"/>
              </w:rPr>
            </w:pPr>
            <w:r>
              <w:rPr>
                <w:rFonts w:ascii="Arial" w:cs="Arial" w:eastAsia="Arial" w:hAnsi="Arial"/>
                <w:sz w:val="18"/>
                <w:szCs w:val="18"/>
                <w:color w:val="auto"/>
              </w:rPr>
              <w:t>Section 4.7. Environmental, Health and Safety Laws</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4.8. ERISA</w:t>
            </w:r>
          </w:p>
        </w:tc>
        <w:tc>
          <w:tcPr>
            <w:tcW w:w="3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4.9. Federal Reserve Regulations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4.10. Title to Property; Leases; Liens; Subordination</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4.11. Taxes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4.12. Trademarks; Patents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4.13. Burdensome Restrictions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4.14. Force Majeure</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4.15. Investment Company Act</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4.16. Retirement Benefits</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4.17. Full Disclosure</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4.18. Subsidiaries</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4.19. Labor Matters</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4.20. Solvency</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Section 4.21. Representations and Warranties of Seller</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7860" w:type="dxa"/>
            <w:vAlign w:val="bottom"/>
          </w:tcPr>
          <w:p>
            <w:pPr>
              <w:ind w:left="220"/>
              <w:spacing w:after="0"/>
              <w:rPr>
                <w:sz w:val="20"/>
                <w:szCs w:val="20"/>
                <w:color w:val="auto"/>
              </w:rPr>
            </w:pPr>
            <w:r>
              <w:rPr>
                <w:rFonts w:ascii="Arial" w:cs="Arial" w:eastAsia="Arial" w:hAnsi="Arial"/>
                <w:sz w:val="18"/>
                <w:szCs w:val="18"/>
                <w:color w:val="auto"/>
              </w:rPr>
              <w:t>Section 5.1. Financial Statements and Reports</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5.2. Existence</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5.3. Insurance</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5.4. Payment of Taxes and Claims</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5.5. Inspection</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5.6. Maintenance of Properties</w:t>
            </w:r>
          </w:p>
        </w:tc>
        <w:tc>
          <w:tcPr>
            <w:tcW w:w="3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5.7. Books and Records</w:t>
            </w:r>
          </w:p>
        </w:tc>
        <w:tc>
          <w:tcPr>
            <w:tcW w:w="3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5.8. Compliance</w:t>
            </w:r>
          </w:p>
        </w:tc>
        <w:tc>
          <w:tcPr>
            <w:tcW w:w="3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5.9. ERISA</w:t>
            </w:r>
          </w:p>
        </w:tc>
        <w:tc>
          <w:tcPr>
            <w:tcW w:w="3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5.10. Environmental Matters; Reporting</w:t>
            </w:r>
          </w:p>
        </w:tc>
        <w:tc>
          <w:tcPr>
            <w:tcW w:w="3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5.11. Further Assurances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5.12. Compliance with Terms of Material Contracts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5.13. Maintenance of Bank Accounts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Section 5.14. Additional Restricted Subsidiaries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3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7860" w:type="dxa"/>
            <w:vAlign w:val="bottom"/>
          </w:tcPr>
          <w:p>
            <w:pPr>
              <w:ind w:left="220"/>
              <w:spacing w:after="0"/>
              <w:rPr>
                <w:sz w:val="20"/>
                <w:szCs w:val="20"/>
                <w:color w:val="auto"/>
              </w:rPr>
            </w:pPr>
            <w:r>
              <w:rPr>
                <w:rFonts w:ascii="Arial" w:cs="Arial" w:eastAsia="Arial" w:hAnsi="Arial"/>
                <w:sz w:val="18"/>
                <w:szCs w:val="18"/>
                <w:color w:val="auto"/>
              </w:rPr>
              <w:t>Section 6.1. Merger</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6.2. Disposition of Assets</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6.3. Plans</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6.4. Change in Nature of Business</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6.5. Negative Pledges; Subsidiary Restrictions</w:t>
            </w:r>
          </w:p>
        </w:tc>
        <w:tc>
          <w:tcPr>
            <w:tcW w:w="3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6.6. Restricted Payments</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6.7. Transactions with Affiliates</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6.8. Accounting Changes; Acquisition Documents</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6.9. Subordinated Debt</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6.10. Investments</w:t>
            </w:r>
          </w:p>
        </w:tc>
        <w:tc>
          <w:tcPr>
            <w:tcW w:w="3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6.11. Indebtedness</w:t>
            </w:r>
          </w:p>
        </w:tc>
        <w:tc>
          <w:tcPr>
            <w:tcW w:w="3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Section 6.12. Liens</w:t>
            </w:r>
          </w:p>
        </w:tc>
        <w:tc>
          <w:tcPr>
            <w:tcW w:w="3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Section 6.13. Contingent Liabilities</w:t>
            </w:r>
          </w:p>
        </w:tc>
        <w:tc>
          <w:tcPr>
            <w:tcW w:w="34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6.14. Cash Flow Leverage Ratio</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6.15. Fixed Charge Coverage Ratio</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6.16. Quick Ratio</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6.17. Loan Proceeds</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6.18. Sale and Leaseback Transactions</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Section 6.19. Rate Protection and Foreign Currency Hedging Agreements</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ARTICLE VII. EVENTS OF DEFAULT AND REMEDIES</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8320" w:type="dxa"/>
            <w:vAlign w:val="bottom"/>
          </w:tcPr>
          <w:p>
            <w:pPr>
              <w:ind w:left="220"/>
              <w:spacing w:after="0"/>
              <w:rPr>
                <w:sz w:val="20"/>
                <w:szCs w:val="20"/>
                <w:color w:val="auto"/>
              </w:rPr>
            </w:pPr>
            <w:r>
              <w:rPr>
                <w:rFonts w:ascii="Arial" w:cs="Arial" w:eastAsia="Arial" w:hAnsi="Arial"/>
                <w:sz w:val="18"/>
                <w:szCs w:val="18"/>
                <w:color w:val="auto"/>
              </w:rPr>
              <w:t>Section 7.1. Events of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7.2. Remedies</w:t>
            </w:r>
          </w:p>
        </w:tc>
        <w:tc>
          <w:tcPr>
            <w:tcW w:w="3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Section 7.3. Deposit Accounts; Offset</w:t>
            </w:r>
          </w:p>
        </w:tc>
        <w:tc>
          <w:tcPr>
            <w:tcW w:w="3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ARTICLE VIII. MISCELLANEOUS</w:t>
            </w:r>
          </w:p>
        </w:tc>
        <w:tc>
          <w:tcPr>
            <w:tcW w:w="3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8320" w:type="dxa"/>
            <w:vAlign w:val="bottom"/>
          </w:tcPr>
          <w:p>
            <w:pPr>
              <w:ind w:left="220"/>
              <w:spacing w:after="0"/>
              <w:rPr>
                <w:sz w:val="20"/>
                <w:szCs w:val="20"/>
                <w:color w:val="auto"/>
              </w:rPr>
            </w:pPr>
            <w:r>
              <w:rPr>
                <w:rFonts w:ascii="Arial" w:cs="Arial" w:eastAsia="Arial" w:hAnsi="Arial"/>
                <w:sz w:val="18"/>
                <w:szCs w:val="18"/>
                <w:color w:val="auto"/>
              </w:rPr>
              <w:t>Section 8.1. Modifications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8.2. Expenses</w:t>
            </w:r>
          </w:p>
        </w:tc>
        <w:tc>
          <w:tcPr>
            <w:tcW w:w="3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8.3. Waivers, Etc.</w:t>
            </w:r>
          </w:p>
        </w:tc>
        <w:tc>
          <w:tcPr>
            <w:tcW w:w="3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8.4. 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8.5. Taxes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8.6. Successors and Assigns; Participations; Purchasing Banks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8.7. Confidentiality of Information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8.8. Governing Law and Construction</w:t>
            </w:r>
          </w:p>
        </w:tc>
        <w:tc>
          <w:tcPr>
            <w:tcW w:w="3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8.9. Consent to Jurisdiction</w:t>
            </w:r>
          </w:p>
        </w:tc>
        <w:tc>
          <w:tcPr>
            <w:tcW w:w="3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8.10. Judicial Reference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8.11. Survival of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8.12. 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8.13. Captions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8.14. Entire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8.15. Counterparts</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Section 8.16. Borrower Acknowledgements</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Section 8.17. Interest Rate Limitation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1" w:right="3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12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THIS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 2010,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28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The Borrower and the Bank are parties to a Credit Agreement dated as of December 23, 2009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17"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B. The Borrower has requested that the Bank agree to amend and restate the Existing Credit Agreement and extend to the Borrower a new term loan facility for the purpose of financing in part the Acquisition (Enson) (defined below), and the Bank has agreed to do so, subject to the conditions and limitations set forth herein.</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hereby agree as follows: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ACCOUNTING TERMS</w:t>
      </w:r>
    </w:p>
    <w:p>
      <w:pPr>
        <w:spacing w:after="0" w:line="10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 (and such meanings apply to both the singular and plural forms of the term defined, as the context requires):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Any acquisition of the assets or Equity Interests of another Person in one or more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(Enson)</w:t>
      </w:r>
      <w:r>
        <w:rPr>
          <w:rFonts w:ascii="Arial" w:cs="Arial" w:eastAsia="Arial" w:hAnsi="Arial"/>
          <w:sz w:val="18"/>
          <w:szCs w:val="18"/>
          <w:color w:val="auto"/>
        </w:rPr>
        <w:t>”: The acquisition by the Buyer of all of the capital stock in the Target pursuant to the Acquisition Documents (Enson).</w:t>
      </w:r>
    </w:p>
    <w:p>
      <w:pPr>
        <w:spacing w:after="0" w:line="117" w:lineRule="exact"/>
        <w:rPr>
          <w:sz w:val="20"/>
          <w:szCs w:val="20"/>
          <w:color w:val="auto"/>
        </w:rPr>
      </w:pPr>
    </w:p>
    <w:p>
      <w:pPr>
        <w:ind w:left="240"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 (Enson)</w:t>
      </w:r>
      <w:r>
        <w:rPr>
          <w:rFonts w:ascii="Arial" w:cs="Arial" w:eastAsia="Arial" w:hAnsi="Arial"/>
          <w:sz w:val="18"/>
          <w:szCs w:val="18"/>
          <w:color w:val="auto"/>
        </w:rPr>
        <w:t>”: The Stock Purchase Agreement dated as of November 1, 2010, by and among the Seller (Enson), the Buyer, and the Borrower.</w:t>
      </w:r>
    </w:p>
    <w:p>
      <w:pPr>
        <w:spacing w:after="0" w:line="62" w:lineRule="exact"/>
        <w:rPr>
          <w:sz w:val="20"/>
          <w:szCs w:val="20"/>
          <w:color w:val="auto"/>
        </w:rPr>
      </w:pPr>
    </w:p>
    <w:p>
      <w:pPr>
        <w:ind w:left="2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Documents (Enson)</w:t>
      </w:r>
      <w:r>
        <w:rPr>
          <w:rFonts w:ascii="Arial" w:cs="Arial" w:eastAsia="Arial" w:hAnsi="Arial"/>
          <w:sz w:val="18"/>
          <w:szCs w:val="18"/>
          <w:color w:val="auto"/>
        </w:rPr>
        <w:t>”: The Acquisition Agreement (Enson) and all other agreements, instruments, certificates, and other documents executed and delivered pursuant to or in connection therewith, as the same may be supplemented, amended, or otherwise modified from time to time to the extent not prohibited by the terms of this Agreement.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Target</w:t>
      </w:r>
      <w:r>
        <w:rPr>
          <w:rFonts w:ascii="Arial" w:cs="Arial" w:eastAsia="Arial" w:hAnsi="Arial"/>
          <w:sz w:val="17"/>
          <w:szCs w:val="17"/>
          <w:color w:val="auto"/>
        </w:rPr>
        <w:t>”: The Person from which beneficial ownership of assets or Equity Interests of another Person is acquired in an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05" w:name="page106"/>
    <w:bookmarkEnd w:id="105"/>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Any portion of the outstanding Revolving Loans or the Term Loan as to which one of the available interest rate options and, if pertinent, a Loan Period, is applicable. An Advance may be a LIBOR Rate Loan or a Prime Rate Loan.</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When used with reference to any Person, (a) each Person that, directly or indirectly, controls, is controlled by, or is under common control with the Person referred to, (b) each Person that beneficially owns or holds, directly or indirectly, 5% or more of any class of voting Equity Interests of the Person referred to, (c) each Person, 5% or more of the voting Equity Interests (or if such Person is not a corporation, 5% or more of the equity interest) of which is beneficially owned or held, directly or indirectly, by the Person referred to, and (d) each of such Person’s officers, directors, joint venturers, and partners. The term “control” (including the terms “controlled by” and “under common control with”) means the possession, directly, of the power to direct or cause the direction of the management and policies of the Person in question.</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w:t>
      </w:r>
    </w:p>
    <w:p>
      <w:pPr>
        <w:spacing w:after="0" w:line="117" w:lineRule="exact"/>
        <w:rPr>
          <w:sz w:val="20"/>
          <w:szCs w:val="20"/>
          <w:color w:val="auto"/>
        </w:rPr>
      </w:pPr>
    </w:p>
    <w:p>
      <w:pPr>
        <w:ind w:left="1120" w:hanging="326"/>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Revolving Loans:</w:t>
      </w:r>
    </w:p>
    <w:p>
      <w:pPr>
        <w:spacing w:after="0" w:line="117" w:lineRule="exact"/>
        <w:rPr>
          <w:rFonts w:ascii="Arial" w:cs="Arial" w:eastAsia="Arial" w:hAnsi="Arial"/>
          <w:sz w:val="18"/>
          <w:szCs w:val="18"/>
          <w:color w:val="auto"/>
        </w:rPr>
      </w:pPr>
    </w:p>
    <w:p>
      <w:pPr>
        <w:ind w:left="1460" w:hanging="328"/>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LIBOR Rate Loans: 1.8%.</w:t>
      </w:r>
    </w:p>
    <w:p>
      <w:pPr>
        <w:spacing w:after="0" w:line="130" w:lineRule="exact"/>
        <w:rPr>
          <w:rFonts w:ascii="Arial" w:cs="Arial" w:eastAsia="Arial" w:hAnsi="Arial"/>
          <w:sz w:val="18"/>
          <w:szCs w:val="18"/>
          <w:color w:val="auto"/>
        </w:rPr>
      </w:pPr>
    </w:p>
    <w:p>
      <w:pPr>
        <w:ind w:left="1460" w:hanging="328"/>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Prime Rate Loans: 0%.</w:t>
      </w:r>
    </w:p>
    <w:p>
      <w:pPr>
        <w:spacing w:after="0" w:line="117" w:lineRule="exact"/>
        <w:rPr>
          <w:rFonts w:ascii="Arial" w:cs="Arial" w:eastAsia="Arial" w:hAnsi="Arial"/>
          <w:sz w:val="18"/>
          <w:szCs w:val="18"/>
          <w:color w:val="auto"/>
        </w:rPr>
      </w:pPr>
    </w:p>
    <w:p>
      <w:pPr>
        <w:ind w:left="1120" w:hanging="326"/>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Term Loan:</w:t>
      </w:r>
    </w:p>
    <w:p>
      <w:pPr>
        <w:spacing w:after="0" w:line="117" w:lineRule="exact"/>
        <w:rPr>
          <w:rFonts w:ascii="Arial" w:cs="Arial" w:eastAsia="Arial" w:hAnsi="Arial"/>
          <w:sz w:val="18"/>
          <w:szCs w:val="18"/>
          <w:color w:val="auto"/>
        </w:rPr>
      </w:pPr>
    </w:p>
    <w:p>
      <w:pPr>
        <w:ind w:left="1460" w:hanging="328"/>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LIBOR Rate Loans: 1.5%.</w:t>
      </w:r>
    </w:p>
    <w:p>
      <w:pPr>
        <w:spacing w:after="0" w:line="130" w:lineRule="exact"/>
        <w:rPr>
          <w:rFonts w:ascii="Arial" w:cs="Arial" w:eastAsia="Arial" w:hAnsi="Arial"/>
          <w:sz w:val="18"/>
          <w:szCs w:val="18"/>
          <w:color w:val="auto"/>
        </w:rPr>
      </w:pPr>
    </w:p>
    <w:p>
      <w:pPr>
        <w:ind w:left="1460" w:hanging="328"/>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Prime Rate Loans: 0%.</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w:t>
      </w:r>
      <w:r>
        <w:rPr>
          <w:rFonts w:ascii="Arial" w:cs="Arial" w:eastAsia="Arial" w:hAnsi="Arial"/>
          <w:sz w:val="18"/>
          <w:szCs w:val="18"/>
          <w:color w:val="auto"/>
        </w:rPr>
        <w:t>”: As defined in the opening paragraph hereof.</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Day</w:t>
      </w:r>
      <w:r>
        <w:rPr>
          <w:rFonts w:ascii="Arial" w:cs="Arial" w:eastAsia="Arial" w:hAnsi="Arial"/>
          <w:sz w:val="18"/>
          <w:szCs w:val="18"/>
          <w:color w:val="auto"/>
        </w:rPr>
        <w:t>”: Any day (other than a Saturday, Sunday, or federal or state legal holiday in the State of California) on which banks are permitted to be open in the State of California and New York City, New York.</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or any successor thereto.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opening paragraph 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UEI Hong Kong Private Limited, a company organized under the Laws of Hong Kong.</w:t>
      </w:r>
    </w:p>
    <w:p>
      <w:pPr>
        <w:spacing w:after="0" w:line="117"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For any period, the sum of all amounts that would, in accordance with GAAP, be included as additions to property, plant, and equipment on a consolidated statement of cash flows for the Borrower during such period, in respect of (a) the acquisition, construction, improvement, replacement, or betterment of land, buildings, machinery, equipment, or any other fixed assets or leaseholds, (b) to the extent</w:t>
      </w:r>
    </w:p>
    <w:p>
      <w:pPr>
        <w:spacing w:after="0" w:line="1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06" w:name="page107"/>
    <w:bookmarkEnd w:id="106"/>
    <w:p>
      <w:pPr>
        <w:ind w:right="20"/>
        <w:spacing w:after="0" w:line="342" w:lineRule="auto"/>
        <w:rPr>
          <w:sz w:val="20"/>
          <w:szCs w:val="20"/>
          <w:color w:val="auto"/>
        </w:rPr>
      </w:pPr>
      <w:r>
        <w:rPr>
          <w:rFonts w:ascii="Arial" w:cs="Arial" w:eastAsia="Arial" w:hAnsi="Arial"/>
          <w:sz w:val="16"/>
          <w:szCs w:val="16"/>
          <w:color w:val="auto"/>
        </w:rPr>
        <w:t>related to and not included in (a) above, materials and contract labor (excluding expenditures properly chargeable to repairs or maintenance in accordance with GAAP), and (c) other capital expenditures and other uses recorded as capital expenditures or similar terms having substantially the same effect.</w:t>
      </w:r>
    </w:p>
    <w:p>
      <w:pPr>
        <w:spacing w:after="0" w:line="16"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A lease of (or other agreement conveying the right to use) real or personal property with respect to which at least a portion of the rent or other amounts thereon constitutes Capitalized Lease Obligations.</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As to any Person, the obligations of such Person to pay rent or other amounts under a lease of (or other agreement conveying the right to use) real or personal property which obligations are required to be classified and accounted for as a capital lease on a balance sheet of such Person under GAAP (including Statement of Financial Accounting Standards No. 13 of the Financial Accounting Standards Board). For purposes of this Agreement, the amount of such obligations shall be the capitalized amount thereof, determined in accordance with GAAP (including such Statement No. 13).</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Flow Leverage Ratio</w:t>
      </w:r>
      <w:r>
        <w:rPr>
          <w:rFonts w:ascii="Arial" w:cs="Arial" w:eastAsia="Arial" w:hAnsi="Arial"/>
          <w:sz w:val="18"/>
          <w:szCs w:val="18"/>
          <w:color w:val="auto"/>
        </w:rPr>
        <w:t>”: At any time of determination, the ratio of (a) interest-bearing Indebtedness to (b) EBITDA.</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The occurrence, after the Effective Date, of any of the following circumstances: (a) any Person or two or more Persons acting in concert acquiring beneficial ownership (within the meaning of Rule 13d-3 of the Securities and Exchange Commission under the Securities Exchange Act of 1934), directly or indirectly, of Equity Interests of the Borrower representing 30% or more of the combined voting power of all Equity Interests of the Borrower entitled to vote in the election of directors; (b) during any period of up to twelve consecutive months, whether commencing before or after the Effective Date, individuals who at the beginning of such twelve-month period were directors of the Borrower ceasing for any reason to constitute a majority of the board of directors of the Borrower (other than by reason of death, disability, or scheduled retirement); or (c) any Person or two or more Persons acting in concert acquiring by contract or otherwise, or entering into a contract or arrangement that upon consummation will result in its or their acquisition of, control over Equity Interests of the Borrower representing 30% or more of the combined voting power of all Equity Interests of the Borrower entitled to vote in the election of directors.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As defined in Section 8.17.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The Revolving Commitment and the Term Loan Commitment.</w:t>
      </w:r>
    </w:p>
    <w:p>
      <w:pPr>
        <w:spacing w:after="0" w:line="117"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With respect to any Person at the time of any determination, without duplication, any obligation, contingent or otherwise, of such Person guaranteeing or having the economic effect of guaranteeing any Indebtedness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otherwise, (a) to purchase or pay (or advance or supply funds for the purchase or payment of) such</w:t>
      </w:r>
    </w:p>
    <w:p>
      <w:pPr>
        <w:spacing w:after="0" w:line="13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6" w:right="319" w:bottom="1440" w:gutter="0" w:footer="0" w:header="0"/>
        </w:sectPr>
      </w:pPr>
    </w:p>
    <w:bookmarkStart w:id="107" w:name="page108"/>
    <w:bookmarkEnd w:id="107"/>
    <w:p>
      <w:pPr>
        <w:ind w:right="120"/>
        <w:spacing w:after="0" w:line="273" w:lineRule="auto"/>
        <w:rPr>
          <w:sz w:val="20"/>
          <w:szCs w:val="20"/>
          <w:color w:val="auto"/>
        </w:rPr>
      </w:pPr>
      <w:r>
        <w:rPr>
          <w:rFonts w:ascii="Arial" w:cs="Arial" w:eastAsia="Arial" w:hAnsi="Arial"/>
          <w:sz w:val="17"/>
          <w:szCs w:val="17"/>
          <w:color w:val="auto"/>
        </w:rPr>
        <w:t>Indebtedness or to purchase (or advance or supply funds for the purchase of) any direct or indirect security therefor, (b) to purchase property, securities, Equity Interests, or services for the purpose of assuring the owner of such Indebtedness of the payment of such Indebtedness, (c) to maintain working capital, equity capital, or other financial statement condition of the primary obligor so as to enable the primary obligor to pay such Indebtedness or otherwise to protect the owner thereof against loss in respect thereof, or (d) entered into for the purpose of assuring in any manner the owner of such Indebtedness of the payment of such Indebtedness or to protect the owner against loss in respect thereof; provided, that the term “Contingent Obligation” shall not include endorsements for collection or deposit, in each case in the ordinary course of business.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As of any date, the consolidated current liabilities of the Borrower, determined in accordance with GAAP.</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event that with the giving of notice (whether such notice is required under Section 7.1, under some other provision of this Agreement, or otherwise) or lapse of time, or both, would constitute an Event of Default.</w:t>
      </w:r>
    </w:p>
    <w:p>
      <w:pPr>
        <w:spacing w:after="0" w:line="62"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For any period of determination, the consolidated net income of the Borrower before deductions for income taxes, Interest Expense, depreciation, and amortization, all as determined in accordance with GAAP.</w:t>
      </w:r>
    </w:p>
    <w:p>
      <w:pPr>
        <w:spacing w:after="0" w:line="62"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EBITDAR</w:t>
      </w:r>
      <w:r>
        <w:rPr>
          <w:rFonts w:ascii="Arial" w:cs="Arial" w:eastAsia="Arial" w:hAnsi="Arial"/>
          <w:sz w:val="17"/>
          <w:szCs w:val="17"/>
          <w:color w:val="auto"/>
        </w:rPr>
        <w:t>”: For any period of determination, the consolidated net income, plus interest expense, plus income tax expense, plus depreciation expense, plus amortization expense, plus rent or lease expense of the Borrower, all as determined for said period in accordance with GAAP.</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Any Banking Day on which all the conditions precedent to the Bank’s obligation to make the Revolving Loans and the Term Loan, as set forth in Article III, have been, or, on such Effective Date, will be, satisfied.</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All shares, interests, participations, or other equivalents, however designated, of or in a corporation or limited liability company, whether or not voting, including but not limited to common stock, member interests, warrants, preferred stock, convertible debentures, and all agreements, instruments, and documents convertible, in whole or in part, into any one or more of the foregoing.</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Any trade or business (whether or not incorporated) that is a member of a group of which the Borrower is a member and that is treated as a single employer under § 414 of the Code.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Any event described in Section 7.1.</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For any period, a fluctuating interest rate per annum equal for each day during such period to the weighted average of the rates on overnight Federal funds transactions, with members of the Federal Reserve System arranged by Federal</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6" w:right="279" w:bottom="1440" w:gutter="0" w:footer="0" w:header="0"/>
        </w:sectPr>
      </w:pPr>
    </w:p>
    <w:bookmarkStart w:id="108" w:name="page109"/>
    <w:bookmarkEnd w:id="108"/>
    <w:p>
      <w:pPr>
        <w:ind w:right="100"/>
        <w:spacing w:after="0" w:line="264" w:lineRule="auto"/>
        <w:rPr>
          <w:sz w:val="20"/>
          <w:szCs w:val="20"/>
          <w:color w:val="auto"/>
        </w:rPr>
      </w:pPr>
      <w:r>
        <w:rPr>
          <w:rFonts w:ascii="Arial" w:cs="Arial" w:eastAsia="Arial" w:hAnsi="Arial"/>
          <w:sz w:val="18"/>
          <w:szCs w:val="18"/>
          <w:color w:val="auto"/>
        </w:rPr>
        <w:t>funds brokers, as published for such day (or, if such day is not a Banking Day, for the next preceding Banking Day) by the Federal Reserve Bank of New York, or, if such rate is not so published for any day that is a Banking Day, the average of the quotations the Bank receives for such day on such transactions from three Federal funds brokers of recognized standing that the Bank selects.</w:t>
      </w:r>
    </w:p>
    <w:p>
      <w:pPr>
        <w:spacing w:after="0" w:line="7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For any period of determination, (a) EBITDAR minus cash taxes, cash dividends, cash distributions, and Maintenance Capital Expenditures divided by (b) the sum of all consolidated required principal payments (on short and long term debt and capital leases), interest, and rental or lease expense, all as determined for said period in accordance with GAAP.</w:t>
      </w:r>
    </w:p>
    <w:p>
      <w:pPr>
        <w:spacing w:after="0" w:line="73"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Currency Hedging Agreement</w:t>
      </w:r>
      <w:r>
        <w:rPr>
          <w:rFonts w:ascii="Arial" w:cs="Arial" w:eastAsia="Arial" w:hAnsi="Arial"/>
          <w:sz w:val="16"/>
          <w:szCs w:val="16"/>
          <w:color w:val="auto"/>
        </w:rPr>
        <w:t>”: Any foreign currency swap, exchange, cap, collar, floor, forward, future or option agreement, or any other similar hedging arrangement, between the Borrower or any Restricted Subsidiary, as the case may be, and any one or more counterparties, including the Bank, provided that such agreements are entered into by such Person in the ordinary course of its business and not for purposes of speculation.</w:t>
      </w:r>
    </w:p>
    <w:p>
      <w:pPr>
        <w:spacing w:after="0" w:line="39"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Generally accepted accounting principles set forth in the opinions and pronouncements of the Accounting Principles Board of the American Institute of Certified Public Accountants, statements and pronouncements of the Financial Accounting Standards Board, or such other statements by such other entity as are approved by a significant segment of the accounting profession that are applicable to the circumstances as of any date of determination.</w:t>
      </w:r>
    </w:p>
    <w:p>
      <w:pPr>
        <w:spacing w:after="0" w:line="39"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 Account</w:t>
      </w:r>
      <w:r>
        <w:rPr>
          <w:rFonts w:ascii="Arial" w:cs="Arial" w:eastAsia="Arial" w:hAnsi="Arial"/>
          <w:sz w:val="18"/>
          <w:szCs w:val="18"/>
          <w:color w:val="auto"/>
        </w:rPr>
        <w:t>”: A deposit account belonging to the Bank into which the Borrower may be required to make deposits pursuant to this Agreement, such account to be under the sole dominion and control of the Bank and not subject to withdrawal by the Borrower, with any amounts therein to be held for application as specified in Sections 2.6, 2.10, and 2.13 as the case may be.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Immediately Available Funds</w:t>
      </w:r>
      <w:r>
        <w:rPr>
          <w:rFonts w:ascii="Arial" w:cs="Arial" w:eastAsia="Arial" w:hAnsi="Arial"/>
          <w:sz w:val="18"/>
          <w:szCs w:val="18"/>
          <w:color w:val="auto"/>
        </w:rPr>
        <w:t>”: Funds with good value on the day and in the city in which payment is received.</w:t>
      </w:r>
    </w:p>
    <w:p>
      <w:pPr>
        <w:spacing w:after="0" w:line="117"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With respect to any Person at the time of any determination, without duplication, all obligations, contingent or otherwise, of such Person that in accordance with GAAP should be classified upon the balance sheet of such Person as liabilities, but in any event including: (a) all obligations of such Person for borrowed money (including non-recourse obligations), (b) all obligations of such Person evidenced by bonds, debentures, notes, or other similar instruments, (c) all obligations of such Person upon which interest charges are customarily paid or accrued, (d) all obligations of such Person under conditional sale or other title retention agreements relating to property purchased by such Person, (e) all obligations of such Person issued or assumed as the deferred purchase price of property or services, but excluding trade payables incurred in the ordinary course of business that are not more than 90 days past due, (f) all obligations of others secured by any Lien on property owned or acquired by such Person, whether or</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09" w:name="page110"/>
    <w:bookmarkEnd w:id="109"/>
    <w:p>
      <w:pPr>
        <w:spacing w:after="0" w:line="276" w:lineRule="auto"/>
        <w:rPr>
          <w:sz w:val="20"/>
          <w:szCs w:val="20"/>
          <w:color w:val="auto"/>
        </w:rPr>
      </w:pPr>
      <w:r>
        <w:rPr>
          <w:rFonts w:ascii="Arial" w:cs="Arial" w:eastAsia="Arial" w:hAnsi="Arial"/>
          <w:sz w:val="17"/>
          <w:szCs w:val="17"/>
          <w:color w:val="auto"/>
        </w:rPr>
        <w:t>not the obligations secured thereby have been assumed, (g) all Capitalized Lease Obligations of such Person, (h) all obligations of such Person in respect of interest rate swap agreements, cap or collar agreements, interest rate futures or option contracts, currency swap agreements, currency futures or option agreements, and other similar contracts, (i) all obligations of such Person, actual or contingent, as an account party in respect of letters of credit or bankers’ acceptances, (j) all obligations of any partnership or joint venture as to which such Person is or may become personally liable, (k) all obligations of such Person under any Equity Interests issued by such Person, and (l) all Contingent Obligations of such Person.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8.12.</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Differential</w:t>
      </w:r>
      <w:r>
        <w:rPr>
          <w:rFonts w:ascii="Arial" w:cs="Arial" w:eastAsia="Arial" w:hAnsi="Arial"/>
          <w:sz w:val="18"/>
          <w:szCs w:val="18"/>
          <w:color w:val="auto"/>
        </w:rPr>
        <w:t>”: As defined in Section 2.4(d).</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Expense</w:t>
      </w:r>
      <w:r>
        <w:rPr>
          <w:rFonts w:ascii="Arial" w:cs="Arial" w:eastAsia="Arial" w:hAnsi="Arial"/>
          <w:sz w:val="16"/>
          <w:szCs w:val="16"/>
          <w:color w:val="auto"/>
        </w:rPr>
        <w:t>”: For any period of determination, the aggregate consolidated amount, without duplication, of interest paid, accrued, or scheduled to be paid in respect of any Indebtedness of the Borrower, including (a) all but the principal component of payments in respect of conditional sale contracts, Capitalized Leases, and other title retention agreements, (b) commissions, discounts, and other fees and charges with respect to letters of credit and bankers’ acceptance financings, and (c) net costs under interest rate protection agreements, in each case determined in accordance with GAAP.</w:t>
      </w:r>
    </w:p>
    <w:p>
      <w:pPr>
        <w:spacing w:after="0" w:line="46"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(a) The acquisition, purchase, making, or holding of any Equity Interests or other security, or any loan, advance, contribution to capital, or extension of credit (except for trade and customer accounts receivable for inventory sold or services rendered in the ordinary course of business and payable in accordance with customary trade terms), (b) any acquisition of real or personal property (other than real and personal property acquired in the ordinary course of business), and any purchase of or commitment or option to purchase Equity Interests, securities, or other debt of or any interest in another Person or any integral part of any business or the assets constituting such business or part thereof, and (c) the formation of, or entry into, any partnership as a limited or general partner with any other Person or the entry into any joint venture with any other Person. The amount of any Investment shall be the original cost of such Investment plus the cost of all additions thereto, without any adjustments for increases or decreases in value or write-ups, write-downs, or write-offs with respect to such Investment.</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A letter of credit issued by the Bank pursuant to this Agreement for the account of the Borrower.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As defined in Section 2.14.</w:t>
      </w:r>
    </w:p>
    <w:p>
      <w:pPr>
        <w:spacing w:after="0" w:line="117" w:lineRule="exact"/>
        <w:rPr>
          <w:sz w:val="20"/>
          <w:szCs w:val="20"/>
          <w:color w:val="auto"/>
        </w:rPr>
      </w:pPr>
    </w:p>
    <w:p>
      <w:pPr>
        <w:ind w:right="9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Outstandings</w:t>
      </w:r>
      <w:r>
        <w:rPr>
          <w:rFonts w:ascii="Arial" w:cs="Arial" w:eastAsia="Arial" w:hAnsi="Arial"/>
          <w:sz w:val="18"/>
          <w:szCs w:val="18"/>
          <w:color w:val="auto"/>
        </w:rPr>
        <w:t>”: The aggregate maximum amount available to be drawn under Letters of Credit outstanding on any date of determination.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As defined in Section 2.4(a).</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10" w:name="page111"/>
    <w:bookmarkEnd w:id="110"/>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With respect to any Person, any security interest, mortgage, pledge, lien, charge, encumbrance, title retention agreement, or analogous instrument or device (including the interest of each lessor under any Capitalized Lease) in, of, or on any assets or properties of such Person, now owned or hereafter acquired, whether arising by agreement or operation of law.</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 Revolving Loan or the Term Loan.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Pledge Agreement, the Security Agreement, the Revolving Note, and the Term Note.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Period</w:t>
      </w:r>
      <w:r>
        <w:rPr>
          <w:rFonts w:ascii="Arial" w:cs="Arial" w:eastAsia="Arial" w:hAnsi="Arial"/>
          <w:sz w:val="18"/>
          <w:szCs w:val="18"/>
          <w:color w:val="auto"/>
        </w:rPr>
        <w:t>”: As defined in Section 2.4(b).</w:t>
      </w:r>
    </w:p>
    <w:p>
      <w:pPr>
        <w:spacing w:after="0" w:line="11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Capital Expenditures</w:t>
      </w:r>
      <w:r>
        <w:rPr>
          <w:rFonts w:ascii="Arial" w:cs="Arial" w:eastAsia="Arial" w:hAnsi="Arial"/>
          <w:sz w:val="18"/>
          <w:szCs w:val="18"/>
          <w:color w:val="auto"/>
        </w:rPr>
        <w:t>”: For any period of determination, 50% of the consolidated equipment depreciation expense of the Borrower, determined in accordance with GAAP.</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Occurrence</w:t>
      </w:r>
      <w:r>
        <w:rPr>
          <w:rFonts w:ascii="Arial" w:cs="Arial" w:eastAsia="Arial" w:hAnsi="Arial"/>
          <w:sz w:val="16"/>
          <w:szCs w:val="16"/>
          <w:color w:val="auto"/>
        </w:rPr>
        <w:t>”: Any occurrence of whatsoever nature (including, without limitation, any adverse determination in any litigation, arbitration, or governmental investigation or proceeding) that could reasonably be expected to materially and adversely affect (a) the financial condition or operations of the Borrower and its Subsidiaries taken as a whole, (b) the ability of the Borrower or any Subsidiary to perform its obligations under any Transaction Document, or any writing executed pursuant thereto, (c) the validity or enforceability of the material obligations of the Borrower or any Subsidiary under any Transaction Document, (d) the rights and remedies of the Bank against the Borrower or any Subsidiary under any Loan Document, or (e) the timely payment of the principal of and interest on the Loans or other amounts payable by the Borrower hereunder.</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As defined in Section 8.17.</w:t>
      </w:r>
    </w:p>
    <w:p>
      <w:pPr>
        <w:spacing w:after="0" w:line="11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A multiemployer plan, as such term is defined in § 4001(a)(3) of ERISA, that is maintained (on the Effective Date, within the five years preceding the Effective Date, or at any time after the Effective Date) for employees of the Borrower or any ERISA Affiliate.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The Term Note or the Revolving Note.</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Borrower’s obligations in respect of the due and punctual payment of principal and interest on the Revolving Note, the Term Note, and Unpaid Drawings when and as due, whether by acceleration or otherwise, all fees, expenses, indemnities, reimbursements, and other obligations of the Borrower under the Loan Documents, and the Rate Protection Obligations, in all cases whether now existing or hereafter arising or incurred.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As defined in Section 2.20(b).</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As defined in Section 8.6(b).</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11" w:name="page112"/>
    <w:bookmarkEnd w:id="111"/>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and any successor thereto or to the functions thereof.</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(a) The Acquisition (Enson); (b) any other Acquisition to which the Bank has provided written consent, or (c) any Acquisition for which the following conditions are met:</w:t>
      </w:r>
    </w:p>
    <w:p>
      <w:pPr>
        <w:spacing w:after="0" w:line="62" w:lineRule="exact"/>
        <w:rPr>
          <w:sz w:val="20"/>
          <w:szCs w:val="20"/>
          <w:color w:val="auto"/>
        </w:rPr>
      </w:pPr>
    </w:p>
    <w:p>
      <w:pPr>
        <w:ind w:left="220" w:right="120" w:firstLine="229"/>
        <w:spacing w:after="0" w:line="277" w:lineRule="auto"/>
        <w:tabs>
          <w:tab w:leader="none" w:pos="6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Acquisition is not “hostile” and has been approved by the Acquisition Target by action of the board of directors or other similar governing body of the Acquisition Target;</w:t>
      </w:r>
    </w:p>
    <w:p>
      <w:pPr>
        <w:spacing w:after="0" w:line="62" w:lineRule="exact"/>
        <w:rPr>
          <w:rFonts w:ascii="Arial" w:cs="Arial" w:eastAsia="Arial" w:hAnsi="Arial"/>
          <w:sz w:val="18"/>
          <w:szCs w:val="18"/>
          <w:color w:val="auto"/>
        </w:rPr>
      </w:pPr>
    </w:p>
    <w:p>
      <w:pPr>
        <w:ind w:left="220" w:right="520" w:firstLine="229"/>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Acquisition Target is in a line of business the same as or similar to the electronics industry or is complementary to the line of business engaged in by the Borrower as of the Effective Date; and</w:t>
      </w:r>
    </w:p>
    <w:p>
      <w:pPr>
        <w:spacing w:after="0" w:line="62" w:lineRule="exact"/>
        <w:rPr>
          <w:rFonts w:ascii="Arial" w:cs="Arial" w:eastAsia="Arial" w:hAnsi="Arial"/>
          <w:sz w:val="18"/>
          <w:szCs w:val="18"/>
          <w:color w:val="auto"/>
        </w:rPr>
      </w:pPr>
    </w:p>
    <w:p>
      <w:pPr>
        <w:ind w:left="220" w:right="1000" w:firstLine="229"/>
        <w:spacing w:after="0" w:line="342" w:lineRule="auto"/>
        <w:tabs>
          <w:tab w:leader="none" w:pos="69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Borrower has delivered to the Bank a pro forma Compliance Certificate, certified by the chief financial officer of the Borrower, demonstrating that both before and after giving effect to such Acquisition, no Event of Default is continuing or will result therefrom.</w:t>
      </w:r>
    </w:p>
    <w:p>
      <w:pPr>
        <w:spacing w:after="0" w:line="16"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natural person, corporation, partnership, limited partnership, limited liability company, joint venture, firm, association, trust, unincorporated organization, government, governmental agency or political subdivision, or other entity, whether acting in an individual, fiduciary, or other capacity.</w:t>
      </w:r>
    </w:p>
    <w:p>
      <w:pPr>
        <w:spacing w:after="0" w:line="73"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Each employee benefit plan (whether in existence on the Effective Date or thereafter instituted), as such term is defined in § 3 of ERISA, maintained for the benefit of employees, officers, or directors of the Borrower or of any ERISA Affiliate.</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The Pledge Agreement of even date herewith given by the Buyer in favor of the Bank, as the same may be amended, restated, or otherwise modified from time to time.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As defined in Section 2.4(a).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Loan</w:t>
      </w:r>
      <w:r>
        <w:rPr>
          <w:rFonts w:ascii="Arial" w:cs="Arial" w:eastAsia="Arial" w:hAnsi="Arial"/>
          <w:sz w:val="18"/>
          <w:szCs w:val="18"/>
          <w:color w:val="auto"/>
        </w:rPr>
        <w:t>”: As defined in Section 2.4(a).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As defined in § 4975 of the Code and § 406 of ERISA.</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Quick Ratio</w:t>
      </w:r>
      <w:r>
        <w:rPr>
          <w:rFonts w:ascii="Arial" w:cs="Arial" w:eastAsia="Arial" w:hAnsi="Arial"/>
          <w:sz w:val="18"/>
          <w:szCs w:val="18"/>
          <w:color w:val="auto"/>
        </w:rPr>
        <w:t>”: As of any date of determination, the ratio of (a) the Borrower’s consolidated accounts receivable plus the Borrower’s consolidated cash on hand and marketable securities to (b) Current Liabilities (including the Obligations).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Protection Agreement</w:t>
      </w:r>
      <w:r>
        <w:rPr>
          <w:rFonts w:ascii="Arial" w:cs="Arial" w:eastAsia="Arial" w:hAnsi="Arial"/>
          <w:sz w:val="18"/>
          <w:szCs w:val="18"/>
          <w:color w:val="auto"/>
        </w:rPr>
        <w:t>”: Any interest rate swap, cap, or option agreement, or other agreement pursuant to which the Borrower hedges interest rate risk with respect to a portion of the Obligations, entered into by the Borrower with a Rate Protection Provider.</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12" w:name="page113"/>
    <w:bookmarkEnd w:id="112"/>
    <w:p>
      <w:pPr>
        <w:jc w:val="both"/>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Protection Obligations</w:t>
      </w:r>
      <w:r>
        <w:rPr>
          <w:rFonts w:ascii="Arial" w:cs="Arial" w:eastAsia="Arial" w:hAnsi="Arial"/>
          <w:sz w:val="18"/>
          <w:szCs w:val="18"/>
          <w:color w:val="auto"/>
        </w:rPr>
        <w:t>”: The liabilities, indebtedness, and obligations of the Borrower, if any, to Rate Protection Providers under Rate Protection Agreements.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Rate Protection Provider</w:t>
      </w:r>
      <w:r>
        <w:rPr>
          <w:rFonts w:ascii="Arial" w:cs="Arial" w:eastAsia="Arial" w:hAnsi="Arial"/>
          <w:sz w:val="17"/>
          <w:szCs w:val="17"/>
          <w:color w:val="auto"/>
        </w:rPr>
        <w:t>”: The Bank, or any Affiliate of the Bank, that is the counterparty of the Borrower under any Rate Protection Agreement.</w:t>
      </w:r>
    </w:p>
    <w:p>
      <w:pPr>
        <w:spacing w:after="0" w:line="129"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Change</w:t>
      </w:r>
      <w:r>
        <w:rPr>
          <w:rFonts w:ascii="Arial" w:cs="Arial" w:eastAsia="Arial" w:hAnsi="Arial"/>
          <w:sz w:val="16"/>
          <w:szCs w:val="16"/>
          <w:color w:val="auto"/>
        </w:rPr>
        <w:t>”: Any change after the Effective Date in federal, state, or foreign laws or regulations or the adoption or making after such date of any interpretations, directives, or requests applying to a class of banks including the Bank under any federal, state, or foreign laws or regulations (whether or not having the force of law) by any court or governmental or monetary authority charged with the interpretation or administration thereof.</w:t>
      </w:r>
    </w:p>
    <w:p>
      <w:pPr>
        <w:spacing w:after="0" w:line="3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 reportable event as defined in § 4043 of ERISA and the regulations issued under such section, with respect to a Plan, excluding, however, such events as to which the PBGC by regulation has waived the requirement of § 4043(a) of ERISA that it be notified within 30 days of the occurrence of such event, provided that a failure to meet the minimum funding standard of § 412 of the Code and § 302 of ERISA shall be a Reportable Event regardless of the issuance of any waiver in accordance with § 412(d) of the Code.</w:t>
      </w:r>
    </w:p>
    <w:p>
      <w:pPr>
        <w:spacing w:after="0" w:line="79"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Payments</w:t>
      </w:r>
      <w:r>
        <w:rPr>
          <w:rFonts w:ascii="Arial" w:cs="Arial" w:eastAsia="Arial" w:hAnsi="Arial"/>
          <w:sz w:val="17"/>
          <w:szCs w:val="17"/>
          <w:color w:val="auto"/>
        </w:rPr>
        <w:t>”: With respect to the Borrower and its Subsidiaries, collectively, all dividends or other distributions of any nature (whether cash, Equity Interests other than common stock of the Borrower, assets, or otherwise), and all payments on any class of Equity Interests (including warrants, options, or rights therefor) issued by the Borrower, whether or not such Equity Interests are authorized or outstanding on the Effective Date or at any time thereafter, and any redemption or purchase of, or distribution in respect of, any of the foregoing, whether directly or indirectly.</w:t>
      </w:r>
    </w:p>
    <w:p>
      <w:pPr>
        <w:spacing w:after="0" w:line="63" w:lineRule="exact"/>
        <w:rPr>
          <w:sz w:val="20"/>
          <w:szCs w:val="20"/>
          <w:color w:val="auto"/>
        </w:rPr>
      </w:pPr>
    </w:p>
    <w:p>
      <w:pPr>
        <w:ind w:right="2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(a) Universal Electronics BV, (b) the Target, (c) the Buyer, (d) C.G. Development Limited (Hong Kong), a Hong Kong company, (e) Gemstar Technology (China) Co. Ltd., a People’s Republic of China company, (f) Gemstar Technology (Yasngzhou) Co. Ltd., a People’s Republic of China company, and (g) each other Subsidiary designated in writing by the Borrower pursuant to Section 5.14.</w:t>
      </w:r>
    </w:p>
    <w:p>
      <w:pPr>
        <w:spacing w:after="0" w:line="5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The Bank’s obligation to make Revolving Loans to, and issue Letters of Credit for, the Borrower in an aggregate principal amount outstanding at any time not to exceed the Revolving Commitment Amount upon the terms and subject to the conditions and limitations of this Agreement.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Amount</w:t>
      </w:r>
      <w:r>
        <w:rPr>
          <w:rFonts w:ascii="Arial" w:cs="Arial" w:eastAsia="Arial" w:hAnsi="Arial"/>
          <w:sz w:val="18"/>
          <w:szCs w:val="18"/>
          <w:color w:val="auto"/>
        </w:rPr>
        <w:t>”: $20,000,000.</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Ending Date</w:t>
      </w:r>
      <w:r>
        <w:rPr>
          <w:rFonts w:ascii="Arial" w:cs="Arial" w:eastAsia="Arial" w:hAnsi="Arial"/>
          <w:sz w:val="18"/>
          <w:szCs w:val="18"/>
          <w:color w:val="auto"/>
        </w:rPr>
        <w:t>”: As defined in Section 2.17.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As defined in Section 2.1.</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Date</w:t>
      </w:r>
      <w:r>
        <w:rPr>
          <w:rFonts w:ascii="Arial" w:cs="Arial" w:eastAsia="Arial" w:hAnsi="Arial"/>
          <w:sz w:val="18"/>
          <w:szCs w:val="18"/>
          <w:color w:val="auto"/>
        </w:rPr>
        <w:t>”: The date of the making of any Revolving Loan.</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13" w:name="page114"/>
    <w:bookmarkEnd w:id="113"/>
    <w:p>
      <w:pPr>
        <w:ind w:left="4"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A promissory note of the Borrower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evidencing the Borrower’s obligation to repay the Revolving Loans, as the same may be amended, restated, or otherwise modified from time to time.</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Agreement of even date herewith given by the Borrower in favor of the Bank.</w:t>
      </w:r>
    </w:p>
    <w:p>
      <w:pPr>
        <w:spacing w:after="0" w:line="117" w:lineRule="exact"/>
        <w:rPr>
          <w:sz w:val="20"/>
          <w:szCs w:val="20"/>
          <w:color w:val="auto"/>
        </w:rPr>
      </w:pPr>
    </w:p>
    <w:p>
      <w:pPr>
        <w:ind w:left="4"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(Enson)</w:t>
      </w:r>
      <w:r>
        <w:rPr>
          <w:rFonts w:ascii="Arial" w:cs="Arial" w:eastAsia="Arial" w:hAnsi="Arial"/>
          <w:sz w:val="18"/>
          <w:szCs w:val="18"/>
          <w:color w:val="auto"/>
        </w:rPr>
        <w:t>”: CG International Holdings Limited, an exempted company incorporated in the Cayman Islands under the Companies Law with limited liability.</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Letter of Credit Sublimit</w:t>
      </w:r>
      <w:r>
        <w:rPr>
          <w:rFonts w:ascii="Arial" w:cs="Arial" w:eastAsia="Arial" w:hAnsi="Arial"/>
          <w:sz w:val="18"/>
          <w:szCs w:val="18"/>
          <w:color w:val="auto"/>
        </w:rPr>
        <w:t>”: $4,500,000.</w:t>
      </w:r>
    </w:p>
    <w:p>
      <w:pPr>
        <w:spacing w:after="0" w:line="117" w:lineRule="exact"/>
        <w:rPr>
          <w:sz w:val="20"/>
          <w:szCs w:val="20"/>
          <w:color w:val="auto"/>
        </w:rPr>
      </w:pPr>
    </w:p>
    <w:p>
      <w:pPr>
        <w:ind w:left="4"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Debt</w:t>
      </w:r>
      <w:r>
        <w:rPr>
          <w:rFonts w:ascii="Arial" w:cs="Arial" w:eastAsia="Arial" w:hAnsi="Arial"/>
          <w:sz w:val="16"/>
          <w:szCs w:val="16"/>
          <w:color w:val="auto"/>
        </w:rPr>
        <w:t>”: Any Indebtedness of the Borrower, now existing or hereafter created, incurred, or arising, that is subordinated in right of payment to the payment of the Obligations in a manner and to an extent (a) that the Bank has approved in writing prior to the creation of such Indebtedness, or</w:t>
      </w:r>
    </w:p>
    <w:p>
      <w:pPr>
        <w:ind w:left="4" w:right="60" w:hanging="4"/>
        <w:spacing w:after="0" w:line="261" w:lineRule="auto"/>
        <w:tabs>
          <w:tab w:leader="none" w:pos="2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to any Indebtedness of the Borrower existing on the date of this Agreement, that the Bank has approved as Subordinated Debt in a writing delivered by the Bank to the Borrower on or prior to the Effective Date.</w:t>
      </w:r>
    </w:p>
    <w:p>
      <w:pPr>
        <w:spacing w:after="0" w:line="76" w:lineRule="exact"/>
        <w:rPr>
          <w:sz w:val="20"/>
          <w:szCs w:val="20"/>
          <w:color w:val="auto"/>
        </w:rPr>
      </w:pPr>
    </w:p>
    <w:p>
      <w:pPr>
        <w:ind w:left="4" w:right="4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Any corporation or other entity of which Equity Interests having ordinary voting power for the election of a majority of the board of directors or other Persons performing similar functions are owned by the Borrower either directly or through one or more Subsidiaries.</w:t>
      </w:r>
    </w:p>
    <w:p>
      <w:pPr>
        <w:spacing w:after="0" w:line="38" w:lineRule="exact"/>
        <w:rPr>
          <w:sz w:val="20"/>
          <w:szCs w:val="20"/>
          <w:color w:val="auto"/>
        </w:rPr>
      </w:pPr>
    </w:p>
    <w:p>
      <w:pPr>
        <w:ind w:left="4"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Net Worth</w:t>
      </w:r>
      <w:r>
        <w:rPr>
          <w:rFonts w:ascii="Arial" w:cs="Arial" w:eastAsia="Arial" w:hAnsi="Arial"/>
          <w:sz w:val="18"/>
          <w:szCs w:val="18"/>
          <w:color w:val="auto"/>
        </w:rPr>
        <w:t>”: As of any date of determination, the sum of the amounts set forth on the consolidated balance sheet of the Borrower as the sum of the common stock, preferred stock, additional paid-in capital, and retained earnings of the Borrower (excluding treasury stock), less the book value of all intangible assets of the Borrower and its Subsidiaries, including all such items as goodwill, trademarks, trade names, service marks, copyrights, patents, licenses, unamortized debt discount and expenses, and the excess of the purchase price of the assets of any business acquired by the Borrower or any of its Subsidiaries over the book value of such assets.</w:t>
      </w:r>
    </w:p>
    <w:p>
      <w:pPr>
        <w:spacing w:after="0" w:line="80"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Enson Assets Limited, a company incorporated under the laws of the British Virgin Islands.</w:t>
      </w:r>
    </w:p>
    <w:p>
      <w:pPr>
        <w:spacing w:after="0" w:line="117"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As defined in Section 2.1.</w:t>
      </w:r>
    </w:p>
    <w:p>
      <w:pPr>
        <w:spacing w:after="0" w:line="117" w:lineRule="exact"/>
        <w:rPr>
          <w:sz w:val="20"/>
          <w:szCs w:val="20"/>
          <w:color w:val="auto"/>
        </w:rPr>
      </w:pPr>
    </w:p>
    <w:p>
      <w:pPr>
        <w:ind w:left="4"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The agreement of the Bank to make the Term Loan to the Borrower in the amount specified in Section 2.1 upon the terms and subject to the conditions of this Agreement.</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November 1, 2011.</w:t>
      </w:r>
    </w:p>
    <w:p>
      <w:pPr>
        <w:spacing w:after="0" w:line="117" w:lineRule="exact"/>
        <w:rPr>
          <w:sz w:val="20"/>
          <w:szCs w:val="20"/>
          <w:color w:val="auto"/>
        </w:rPr>
      </w:pPr>
    </w:p>
    <w:p>
      <w:pPr>
        <w:ind w:left="4"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Note</w:t>
      </w:r>
      <w:r>
        <w:rPr>
          <w:rFonts w:ascii="Arial" w:cs="Arial" w:eastAsia="Arial" w:hAnsi="Arial"/>
          <w:sz w:val="18"/>
          <w:szCs w:val="18"/>
          <w:color w:val="auto"/>
        </w:rPr>
        <w:t>”: A promissory note of the Borrower in the form of Exhibit A2 hereto, evidencing the obligation of the Borrower to repay the Term Loan, as the same may be amended, restated, or otherwise modified from time to time.</w:t>
      </w:r>
    </w:p>
    <w:p>
      <w:pPr>
        <w:spacing w:after="0" w:line="143"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114" w:name="page115"/>
    <w:bookmarkEnd w:id="114"/>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The earlier of (a) the Revolving Commitment Ending Date or (b) the date on which the Revolving Commitment is terminated pursuant to Section 7.2.</w:t>
      </w:r>
    </w:p>
    <w:p>
      <w:pPr>
        <w:spacing w:after="0" w:line="62" w:lineRule="exact"/>
        <w:rPr>
          <w:sz w:val="20"/>
          <w:szCs w:val="20"/>
          <w:color w:val="auto"/>
        </w:rPr>
      </w:pPr>
    </w:p>
    <w:p>
      <w:pPr>
        <w:ind w:right="8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Revolving Outstandings</w:t>
      </w:r>
      <w:r>
        <w:rPr>
          <w:rFonts w:ascii="Arial" w:cs="Arial" w:eastAsia="Arial" w:hAnsi="Arial"/>
          <w:sz w:val="17"/>
          <w:szCs w:val="17"/>
          <w:color w:val="auto"/>
        </w:rPr>
        <w:t>”: As of any date of determination, the sum of (a) the aggregate unpaid principal balance of Revolving Loans outstanding on such date, (b) the Letter of Credit Outstandings, and (c) the aggregate amount of Unpaid Drawings on such date.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The Loan Documents and the Acquisition Documents (Enson).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Taxes</w:t>
      </w:r>
      <w:r>
        <w:rPr>
          <w:rFonts w:ascii="Arial" w:cs="Arial" w:eastAsia="Arial" w:hAnsi="Arial"/>
          <w:sz w:val="18"/>
          <w:szCs w:val="18"/>
          <w:color w:val="auto"/>
        </w:rPr>
        <w:t>”: As defined in Section 2.19(e).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Universal Electronics BV</w:t>
      </w:r>
      <w:r>
        <w:rPr>
          <w:rFonts w:ascii="Arial" w:cs="Arial" w:eastAsia="Arial" w:hAnsi="Arial"/>
          <w:sz w:val="18"/>
          <w:szCs w:val="18"/>
          <w:color w:val="auto"/>
        </w:rPr>
        <w:t>”: Universal Electronics, B.V., a corporation organized under the laws of the Netherlands.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w:t>
      </w:r>
      <w:r>
        <w:rPr>
          <w:rFonts w:ascii="Arial" w:cs="Arial" w:eastAsia="Arial" w:hAnsi="Arial"/>
          <w:sz w:val="18"/>
          <w:szCs w:val="18"/>
          <w:color w:val="auto"/>
        </w:rPr>
        <w:t>”: As defined in Section 2.10.</w:t>
      </w:r>
    </w:p>
    <w:p>
      <w:pPr>
        <w:spacing w:after="0" w:line="117" w:lineRule="exact"/>
        <w:rPr>
          <w:sz w:val="20"/>
          <w:szCs w:val="20"/>
          <w:color w:val="auto"/>
        </w:rPr>
      </w:pPr>
    </w:p>
    <w:p>
      <w:pPr>
        <w:ind w:right="320" w:firstLine="225"/>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Accounting Terms and Calculations</w:t>
      </w:r>
      <w:r>
        <w:rPr>
          <w:rFonts w:ascii="Arial" w:cs="Arial" w:eastAsia="Arial" w:hAnsi="Arial"/>
          <w:sz w:val="18"/>
          <w:szCs w:val="18"/>
          <w:color w:val="auto"/>
        </w:rPr>
        <w:t>. Except as expressly provided to the contrary herein, all accounting terms used herein shall be interpreted and all accounting determinations hereunder shall be made in accordance with GAAP. To the extent any change in GAAP affects any computation or determination required to be made pursuant to this Agreement, such computation or determination shall be made as if such change in GAAP had not occurred unless the Borrower and the Bank agree in writing on an adjustment to such computation or determination to account for such change in GAAP.</w:t>
      </w:r>
    </w:p>
    <w:p>
      <w:pPr>
        <w:spacing w:after="0" w:line="80" w:lineRule="exact"/>
        <w:rPr>
          <w:sz w:val="20"/>
          <w:szCs w:val="20"/>
          <w:color w:val="auto"/>
        </w:rPr>
      </w:pPr>
    </w:p>
    <w:p>
      <w:pPr>
        <w:ind w:right="360" w:firstLine="225"/>
        <w:spacing w:after="0" w:line="308"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Computation of Time Periods</w:t>
      </w:r>
      <w:r>
        <w:rPr>
          <w:rFonts w:ascii="Arial" w:cs="Arial" w:eastAsia="Arial" w:hAnsi="Arial"/>
          <w:sz w:val="17"/>
          <w:szCs w:val="17"/>
          <w:color w:val="auto"/>
        </w:rPr>
        <w:t>. In this Agreement, in the computation of a period of time from a specified date to a later specified date, unless otherwise stated the word “from” means “from and including” and the words “to” and “until” mean “to but excluding.”</w:t>
      </w:r>
    </w:p>
    <w:p>
      <w:pPr>
        <w:spacing w:after="0" w:line="3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Other Definitional Terms</w:t>
      </w:r>
      <w:r>
        <w:rPr>
          <w:rFonts w:ascii="Arial" w:cs="Arial" w:eastAsia="Arial" w:hAnsi="Arial"/>
          <w:sz w:val="17"/>
          <w:szCs w:val="17"/>
          <w:color w:val="auto"/>
        </w:rPr>
        <w:t>. The words “hereof,” “herein,” and “hereunder” and words of similar import when used in this Agreement refer to this Agreement as a whole and not to any particular provision hereof. References to sections, exhibits, and schedules and like references are to sections, exhibits, schedules, and the like of this Agreement unless otherwise provided. The words “include,” “includes,” and “including” shall be deemed to be followed by the phrase “without limitation.” Unless the context otherwise clearly requires, “or” has the inclusive meaning represented by the phrase “and/or.” All covenants, terms, definitions, or other provisions from other agreements incorporated by reference are incorporated into this Agreement as if fully set forth herein, and such incorporation shall include all necessary definitions and related provisions from such other agreements but only amendments thereto agreed to by the Bank, and shall survive any termination of such other agreements until the obligations of the Borrower under the Loan Documents are irrevocably paid in full, all Letters of Credit have expired without renewal or been returned to the Bank, and the Bank’s commitments to advance funds to the Borrower are terminated.</w:t>
      </w:r>
    </w:p>
    <w:p>
      <w:pPr>
        <w:spacing w:after="0" w:line="15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CREDIT FACILITIES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A—Terms of Lending</w:t>
      </w:r>
    </w:p>
    <w:p>
      <w:pPr>
        <w:spacing w:after="0" w:line="117" w:lineRule="exact"/>
        <w:rPr>
          <w:sz w:val="20"/>
          <w:szCs w:val="20"/>
          <w:color w:val="auto"/>
        </w:rPr>
      </w:pPr>
    </w:p>
    <w:p>
      <w:pPr>
        <w:ind w:left="200" w:right="40" w:firstLine="225"/>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Commitments</w:t>
      </w:r>
      <w:r>
        <w:rPr>
          <w:rFonts w:ascii="Arial" w:cs="Arial" w:eastAsia="Arial" w:hAnsi="Arial"/>
          <w:sz w:val="18"/>
          <w:szCs w:val="18"/>
          <w:color w:val="auto"/>
        </w:rPr>
        <w:t>. On the terms and subject to the conditions hereof, the Bank agrees to make the following lending facilities available to the Borrower:</w:t>
      </w:r>
    </w:p>
    <w:p>
      <w:pPr>
        <w:spacing w:after="0" w:line="62" w:lineRule="exact"/>
        <w:rPr>
          <w:sz w:val="20"/>
          <w:szCs w:val="20"/>
          <w:color w:val="auto"/>
        </w:rPr>
      </w:pPr>
    </w:p>
    <w:p>
      <w:pPr>
        <w:ind w:left="-40" w:firstLine="233"/>
        <w:spacing w:after="0" w:line="259" w:lineRule="auto"/>
        <w:tabs>
          <w:tab w:leader="none" w:pos="43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Revolving loans (the “</w:t>
      </w:r>
      <w:r>
        <w:rPr>
          <w:rFonts w:ascii="Arial" w:cs="Arial" w:eastAsia="Arial" w:hAnsi="Arial"/>
          <w:sz w:val="18"/>
          <w:szCs w:val="18"/>
          <w:u w:val="single" w:color="auto"/>
          <w:color w:val="auto"/>
        </w:rPr>
        <w:t>Revolving Loans</w:t>
      </w:r>
      <w:r>
        <w:rPr>
          <w:rFonts w:ascii="Arial" w:cs="Arial" w:eastAsia="Arial" w:hAnsi="Arial"/>
          <w:sz w:val="18"/>
          <w:szCs w:val="18"/>
          <w:color w:val="auto"/>
        </w:rPr>
        <w:t>”) to the Borrower on a revolving basis at any time and from time to time from the Effective Date to the Termination Date, during which period the Borrower may borrow, repay, and reborrow in accordance with the provisions hereof, provided, that no Revolving Loan will be made in any amount that, after giving effect thereto, would cause the Total Revolving Outstandings to exceed the Revolving Commitment Amount.</w:t>
      </w:r>
    </w:p>
    <w:p>
      <w:pPr>
        <w:spacing w:after="0" w:line="78" w:lineRule="exact"/>
        <w:rPr>
          <w:rFonts w:ascii="Arial" w:cs="Arial" w:eastAsia="Arial" w:hAnsi="Arial"/>
          <w:sz w:val="18"/>
          <w:szCs w:val="18"/>
          <w:color w:val="auto"/>
        </w:rPr>
      </w:pPr>
    </w:p>
    <w:p>
      <w:pPr>
        <w:ind w:left="440" w:hanging="247"/>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A term loan (the “</w:t>
      </w:r>
      <w:r>
        <w:rPr>
          <w:rFonts w:ascii="Arial" w:cs="Arial" w:eastAsia="Arial" w:hAnsi="Arial"/>
          <w:sz w:val="18"/>
          <w:szCs w:val="18"/>
          <w:u w:val="single" w:color="auto"/>
          <w:color w:val="auto"/>
        </w:rPr>
        <w:t>Term Loan</w:t>
      </w:r>
      <w:r>
        <w:rPr>
          <w:rFonts w:ascii="Arial" w:cs="Arial" w:eastAsia="Arial" w:hAnsi="Arial"/>
          <w:sz w:val="18"/>
          <w:szCs w:val="18"/>
          <w:color w:val="auto"/>
        </w:rPr>
        <w:t>”) from the Bank to the Borrower on the Effective Date in the amount of $35,000,000.</w:t>
      </w:r>
    </w:p>
    <w:p>
      <w:pPr>
        <w:spacing w:after="0" w:line="117" w:lineRule="exact"/>
        <w:rPr>
          <w:sz w:val="20"/>
          <w:szCs w:val="20"/>
          <w:color w:val="auto"/>
        </w:rPr>
      </w:pPr>
    </w:p>
    <w:p>
      <w:pPr>
        <w:ind w:left="200" w:right="60" w:firstLine="225"/>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Procedure for Revolving Loans</w:t>
      </w:r>
      <w:r>
        <w:rPr>
          <w:rFonts w:ascii="Arial" w:cs="Arial" w:eastAsia="Arial" w:hAnsi="Arial"/>
          <w:sz w:val="16"/>
          <w:szCs w:val="16"/>
          <w:color w:val="auto"/>
        </w:rPr>
        <w:t>. Any request by the Borrower for a Revolving Loan shall be in writing or by telephone and shall be received by the Bank not later than 9:00 A.M. (Pacific time) two Banking Days prior to the requested Revolving Loan Date if the Revolving Loan (or any portion thereof) is requested as a LIBOR Rate Loan and not later than 12:00 P.M. (Pacific time) on the requested Revolving Loan Date if the Revolving Loan is requested as a Prime Rate Loan. Each request for a Revolving Loan hereunder shall be irrevocable and shall be deemed a representation by the Borrower that on the requested Revolving Loan Date and after giving effect to the requested Revolving Loan the applicable conditions specified in Article III have been and will be satisfied. Each request for a Revolving Loan shall specify (i) the requested Revolving Loan Date, (ii) the amount of the Revolving Loan to be made on such date, (iii) whether such Revolving Loan is to be funded as a Prime Rate Loan or a LIBOR Rate Loan (and, if such Revolving Loan is to be made with more than one applicable interest rate choice, the amount to which each interest rate choice is applicable), and (iv) in the case of a LIBOR Rate Loan, the duration of the initial Loan Period applicable thereto. The Bank may rely on any telephone request by the Borrower for a Revolving Loan that it believes in good faith to be genuine, and the Borrower hereby waives the right to dispute the Bank’s record of the terms of such telephone request. Unless the Bank determines that any applicable condition specified in Article III has not been satisfied, the Bank will make available to the Borrower at the Bank’s principal office in Newport Beach, California in Immediately Available Funds not later than 3:00 P.M. (Pacific time) on the requested Revolving Loan Date the amount of the requested Revolving Loan.</w:t>
      </w:r>
    </w:p>
    <w:p>
      <w:pPr>
        <w:spacing w:after="0" w:line="67" w:lineRule="exact"/>
        <w:rPr>
          <w:sz w:val="20"/>
          <w:szCs w:val="20"/>
          <w:color w:val="auto"/>
        </w:rPr>
      </w:pPr>
    </w:p>
    <w:p>
      <w:pPr>
        <w:ind w:left="200" w:right="40" w:firstLine="225"/>
        <w:spacing w:after="0" w:line="29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The Notes</w:t>
      </w:r>
      <w:r>
        <w:rPr>
          <w:rFonts w:ascii="Arial" w:cs="Arial" w:eastAsia="Arial" w:hAnsi="Arial"/>
          <w:sz w:val="16"/>
          <w:szCs w:val="16"/>
          <w:color w:val="auto"/>
        </w:rPr>
        <w:t>. The Revolving Loans shall be evidenced by a single Revolving Note payable to the order of the Bank in a principal amount equal to the Revolving Commitment Amount. The Term Loan shall be evidenced by a Term Note payable to the order of the Bank in the principal amount of the Term Loan. The Bank shall enter in its ledgers and records the amount of each Advance, any conversion or continuation thereof, and the payments made thereon; provided, however, that any failure by the Bank to make any such entry or any error in making such entry shall not limit or otherwise affect the obligation of the Borrower hereunder and on the Notes, and, in all events, the principal amounts owing by the Borrower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58" w:right="279" w:bottom="1440" w:gutter="0" w:footer="0" w:header="0"/>
        </w:sectPr>
      </w:pPr>
    </w:p>
    <w:bookmarkStart w:id="116" w:name="page117"/>
    <w:bookmarkEnd w:id="116"/>
    <w:p>
      <w:pPr>
        <w:jc w:val="both"/>
        <w:ind w:left="200" w:right="100"/>
        <w:spacing w:after="0" w:line="264" w:lineRule="auto"/>
        <w:rPr>
          <w:sz w:val="20"/>
          <w:szCs w:val="20"/>
          <w:color w:val="auto"/>
        </w:rPr>
      </w:pPr>
      <w:r>
        <w:rPr>
          <w:rFonts w:ascii="Arial" w:cs="Arial" w:eastAsia="Arial" w:hAnsi="Arial"/>
          <w:sz w:val="18"/>
          <w:szCs w:val="18"/>
          <w:color w:val="auto"/>
        </w:rPr>
        <w:t>respect of the Revolving Note shall be the aggregate amount of all Revolving Loans made by the Bank less all payments of principal thereof made by the Borrower and the principal amount owing by the Borrower in respect of the Term Note shall be the aggregate amount of the Term Loan less all payments of principal thereof made by the Borrower.</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Interest Rates; Conversions and Continuations; Etc.</w:t>
      </w:r>
    </w:p>
    <w:p>
      <w:pPr>
        <w:spacing w:after="0" w:line="117" w:lineRule="exact"/>
        <w:rPr>
          <w:sz w:val="20"/>
          <w:szCs w:val="20"/>
          <w:color w:val="auto"/>
        </w:rPr>
      </w:pPr>
    </w:p>
    <w:p>
      <w:pPr>
        <w:ind w:left="-40" w:firstLine="233"/>
        <w:spacing w:after="0" w:line="255" w:lineRule="auto"/>
        <w:tabs>
          <w:tab w:leader="none" w:pos="43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Interest Rate Options</w:t>
      </w:r>
      <w:r>
        <w:rPr>
          <w:rFonts w:ascii="Arial" w:cs="Arial" w:eastAsia="Arial" w:hAnsi="Arial"/>
          <w:sz w:val="18"/>
          <w:szCs w:val="18"/>
          <w:color w:val="auto"/>
        </w:rPr>
        <w:t>. Interest on each Advance shall accrue at one of the following per annum rates selected by the Borrower: (i) upon notice to the Bank, the Applicable Margin plus the prime rate announced by the Bank from time to time (the “</w:t>
      </w:r>
      <w:r>
        <w:rPr>
          <w:rFonts w:ascii="Arial" w:cs="Arial" w:eastAsia="Arial" w:hAnsi="Arial"/>
          <w:sz w:val="18"/>
          <w:szCs w:val="18"/>
          <w:u w:val="single" w:color="auto"/>
          <w:color w:val="auto"/>
        </w:rPr>
        <w:t>Prime Rate</w:t>
      </w:r>
      <w:r>
        <w:rPr>
          <w:rFonts w:ascii="Arial" w:cs="Arial" w:eastAsia="Arial" w:hAnsi="Arial"/>
          <w:sz w:val="18"/>
          <w:szCs w:val="18"/>
          <w:color w:val="auto"/>
        </w:rPr>
        <w:t>”), as and when such rate changes (a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or (ii) upon a minimum of two Banking Days’ prior notice, the Applicable Margin plus the 1, 3, 6, or 12 month LIBOR rate quoted by the Bank from Reuters Screen LIBOR01 Page or any successor thereto (which shall be the LIBOR rate in effect two Banking Days prior to commencement of the advance), adjusted for any reserve requirement and any subsequent costs arising from a change in government regulation (a “</w:t>
      </w:r>
      <w:r>
        <w:rPr>
          <w:rFonts w:ascii="Arial" w:cs="Arial" w:eastAsia="Arial" w:hAnsi="Arial"/>
          <w:sz w:val="18"/>
          <w:szCs w:val="18"/>
          <w:u w:val="single" w:color="auto"/>
          <w:color w:val="auto"/>
        </w:rPr>
        <w:t>LIBOR Rate Loan</w:t>
      </w:r>
      <w:r>
        <w:rPr>
          <w:rFonts w:ascii="Arial" w:cs="Arial" w:eastAsia="Arial" w:hAnsi="Arial"/>
          <w:sz w:val="18"/>
          <w:szCs w:val="18"/>
          <w:color w:val="auto"/>
        </w:rPr>
        <w:t>”), provided, however, that no Advance may be converted into or continued as a LIBOR Rate Loan if after giving effect to such conversion or continuation there would be more than 5 LIBOR Rate Loans outstanding.</w:t>
      </w:r>
    </w:p>
    <w:p>
      <w:pPr>
        <w:spacing w:after="0" w:line="81" w:lineRule="exact"/>
        <w:rPr>
          <w:rFonts w:ascii="Arial" w:cs="Arial" w:eastAsia="Arial" w:hAnsi="Arial"/>
          <w:sz w:val="18"/>
          <w:szCs w:val="18"/>
          <w:color w:val="auto"/>
        </w:rPr>
      </w:pPr>
    </w:p>
    <w:p>
      <w:pPr>
        <w:ind w:left="-40" w:right="20" w:firstLine="233"/>
        <w:spacing w:after="0" w:line="289"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 In the event the Borrower does not timely select another interest rate option at least two Banking Days before the end of the Loan Period for a LIBOR Rate Loan, the Bank may at any time after the end of the Loan Period convert such LIBOR Rate Loan to a Prime Rate Loan, but until such conversion, the funds advanced under the LIBOR Rate Loan shall continue to accrue interest at the same rate as the interest rate in effect for such LIBOR Rate Loan prior to the end of the Loan Period. The term “Loan Period” means the period commencing on the advance date of the applicable LIBOR Rate Loan and ending on the numerically corresponding day 1, 3, 6, or 12 months thereafter matching the interest rate term selected by the Borrower; provided, that (a) if any Loan Period would otherwise end on a day that is not a Banking Day, then the Loan Period shall end on the next succeeding Banking Day unless the next succeeding Banking Day falls in another calendar month, in which case the Loan Period shall end on the immediately preceding Banking Day; or (b) if any Loan Period begins on the last Banking Day of a calendar month (or on a day for which there is no numerically corresponding day in the calendar month at the end of the Loan Period), then the Loan Period shall end on the last Banking Day of the calendar month at the end of such Loan Period.</w:t>
      </w:r>
    </w:p>
    <w:p>
      <w:pPr>
        <w:spacing w:after="0" w:line="58" w:lineRule="exact"/>
        <w:rPr>
          <w:rFonts w:ascii="Arial" w:cs="Arial" w:eastAsia="Arial" w:hAnsi="Arial"/>
          <w:sz w:val="16"/>
          <w:szCs w:val="16"/>
          <w:color w:val="auto"/>
        </w:rPr>
      </w:pPr>
    </w:p>
    <w:p>
      <w:pPr>
        <w:ind w:left="-40" w:right="20" w:firstLine="233"/>
        <w:spacing w:after="0" w:line="255" w:lineRule="auto"/>
        <w:tabs>
          <w:tab w:leader="none" w:pos="43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Limitations on LIBOR Rate Loans</w:t>
      </w:r>
      <w:r>
        <w:rPr>
          <w:rFonts w:ascii="Arial" w:cs="Arial" w:eastAsia="Arial" w:hAnsi="Arial"/>
          <w:sz w:val="18"/>
          <w:szCs w:val="18"/>
          <w:color w:val="auto"/>
        </w:rPr>
        <w:t>. No LIBOR Rate Loan may extend beyond the Termination Date (with respect Revolving Loans) or beyond the Term Loan Maturity Date (with respect to the Term Loan). In any event, if the Loan Period for a LIBOR Rate Loan extends beyond the Termination Date (with respect Revolving Loans) or beyond the Term Loan Maturity Date (with respect to the Term Loan), such LIBOR Rate Loan must be prepaid on the Termination Date (with respect Revolving Loans) or the Term Loan Maturity Date (with respect to the Term Loan). Notwithstanding anything to the contrary, the Bank’s internal records of applicable interest rates shall be determinative absent manifest error. Notwithstanding anything to the contrary, each LIBOR Rate Loan shall be in a minimum principal amount of $500,000.</w:t>
      </w:r>
    </w:p>
    <w:p>
      <w:pPr>
        <w:spacing w:after="0" w:line="85" w:lineRule="exact"/>
        <w:rPr>
          <w:rFonts w:ascii="Arial" w:cs="Arial" w:eastAsia="Arial" w:hAnsi="Arial"/>
          <w:sz w:val="18"/>
          <w:szCs w:val="18"/>
          <w:color w:val="auto"/>
        </w:rPr>
      </w:pPr>
    </w:p>
    <w:p>
      <w:pPr>
        <w:ind w:left="-40" w:right="180" w:firstLine="233"/>
        <w:spacing w:after="0" w:line="26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Prepayment of LIBOR Rate Loans</w:t>
      </w:r>
      <w:r>
        <w:rPr>
          <w:rFonts w:ascii="Arial" w:cs="Arial" w:eastAsia="Arial" w:hAnsi="Arial"/>
          <w:sz w:val="18"/>
          <w:szCs w:val="18"/>
          <w:color w:val="auto"/>
        </w:rPr>
        <w:t>. If a LIBOR Rate Loan is prepaid prior to the end of the applicable Loan Period, whether voluntarily or because prepayment is required due to the relevant Loan maturing, acceleration of the relevant Loan upon an Event of Default, or otherwise, the Borrower shall pay all of the Bank’s costs, expenses, and Interest Differential (as determined by the Bank)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17" w:name="page118"/>
    <w:bookmarkEnd w:id="117"/>
    <w:p>
      <w:pPr>
        <w:spacing w:after="0" w:line="254" w:lineRule="auto"/>
        <w:rPr>
          <w:sz w:val="20"/>
          <w:szCs w:val="20"/>
          <w:color w:val="auto"/>
        </w:rPr>
      </w:pPr>
      <w:r>
        <w:rPr>
          <w:rFonts w:ascii="Arial" w:cs="Arial" w:eastAsia="Arial" w:hAnsi="Arial"/>
          <w:sz w:val="18"/>
          <w:szCs w:val="18"/>
          <w:color w:val="auto"/>
        </w:rPr>
        <w:t>incurred as a result of such prepayment. The term “Interest Differential” means the greater of zero and the financial loss incurred by the Bank resulting from prepayment, calculated as the difference between the amount of interest the Bank would have earned (from like investments in the Money Markets as of the first day of the LIBOR Rate Loan) had prepayment not occurred and the interest the Bank will actually earn (from like investments in the Money Markets as of the date of prepayment) as a result of the redeployment of funds from the prepayment. Because of the short-term nature of the Loan facilities, the Borrower agrees that the Interest Differential shall not be discounted to its present value. Any prepayment of a LIBOR Rate Loan shall be in an amount equal to the remaining entire principal balance of such LIBOR Rate Loan. The term “Money Markets” refers to one or more wholesale funding markets available to and selected by the Bank, including negotiable certificates of deposit, commercial paper, Eurodollar deposits, bank notes, federal funds, interest rate and swaps, or others.</w:t>
      </w:r>
    </w:p>
    <w:p>
      <w:pPr>
        <w:spacing w:after="0" w:line="84" w:lineRule="exact"/>
        <w:rPr>
          <w:sz w:val="20"/>
          <w:szCs w:val="20"/>
          <w:color w:val="auto"/>
        </w:rPr>
      </w:pPr>
    </w:p>
    <w:p>
      <w:pPr>
        <w:ind w:right="240" w:firstLine="233"/>
        <w:spacing w:after="0" w:line="257" w:lineRule="auto"/>
        <w:tabs>
          <w:tab w:leader="none" w:pos="47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Interest Upon Event of Default</w:t>
      </w:r>
      <w:r>
        <w:rPr>
          <w:rFonts w:ascii="Arial" w:cs="Arial" w:eastAsia="Arial" w:hAnsi="Arial"/>
          <w:sz w:val="18"/>
          <w:szCs w:val="18"/>
          <w:color w:val="auto"/>
        </w:rPr>
        <w:t>. Upon any Event of Default, each Loan shall, at the option of the Bank (or, in the case of an Event of Default under Sections 7.1(e), (f), or (g), automatically upon such Event of Default), bear interest until paid in full at the rate otherwise applicable thereto plus 5.0% per annum. Further, notwithstanding anything to the contrary in this Agreement, upon any Event of Default, at the Bank’s option (or, in the case of an Event of Default under Sections 7.1(e), (f), or (g), automatically upon such Event of Default), no Advance may be made, converted, or continued as a LIBOR Rate Loan.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Payment of Interest and Principal of Loans.</w:t>
      </w:r>
    </w:p>
    <w:p>
      <w:pPr>
        <w:spacing w:after="0" w:line="117" w:lineRule="exact"/>
        <w:rPr>
          <w:sz w:val="20"/>
          <w:szCs w:val="20"/>
          <w:color w:val="auto"/>
        </w:rPr>
      </w:pPr>
    </w:p>
    <w:p>
      <w:pPr>
        <w:ind w:left="480" w:hanging="247"/>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Interest and principal on the Revolving Loans shall be paid as follows:</w:t>
      </w:r>
    </w:p>
    <w:p>
      <w:pPr>
        <w:spacing w:after="0" w:line="117" w:lineRule="exact"/>
        <w:rPr>
          <w:rFonts w:ascii="Arial" w:cs="Arial" w:eastAsia="Arial" w:hAnsi="Arial"/>
          <w:sz w:val="18"/>
          <w:szCs w:val="18"/>
          <w:color w:val="auto"/>
        </w:rPr>
      </w:pPr>
    </w:p>
    <w:p>
      <w:pPr>
        <w:ind w:left="700" w:right="120" w:firstLine="218"/>
        <w:spacing w:after="0" w:line="277"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Interest shall be payable (A) on the last day of each month, and (B) on the Termination Date; provided that interest under Section 2.4(e) shall be payable on demand.</w:t>
      </w:r>
    </w:p>
    <w:p>
      <w:pPr>
        <w:spacing w:after="0" w:line="62" w:lineRule="exact"/>
        <w:rPr>
          <w:rFonts w:ascii="Arial" w:cs="Arial" w:eastAsia="Arial" w:hAnsi="Arial"/>
          <w:sz w:val="18"/>
          <w:szCs w:val="18"/>
          <w:color w:val="auto"/>
        </w:rPr>
      </w:pPr>
    </w:p>
    <w:p>
      <w:pPr>
        <w:ind w:left="1180" w:hanging="262"/>
        <w:spacing w:after="0"/>
        <w:tabs>
          <w:tab w:leader="none" w:pos="11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Principal on the Revolving Loans is payable on the Termination Date.</w:t>
      </w:r>
    </w:p>
    <w:p>
      <w:pPr>
        <w:spacing w:after="0" w:line="117" w:lineRule="exact"/>
        <w:rPr>
          <w:rFonts w:ascii="Arial" w:cs="Arial" w:eastAsia="Arial" w:hAnsi="Arial"/>
          <w:sz w:val="18"/>
          <w:szCs w:val="18"/>
          <w:color w:val="auto"/>
        </w:rPr>
      </w:pPr>
    </w:p>
    <w:p>
      <w:pPr>
        <w:jc w:val="both"/>
        <w:ind w:left="700" w:right="40" w:firstLine="218"/>
        <w:spacing w:after="0" w:line="264" w:lineRule="auto"/>
        <w:tabs>
          <w:tab w:leader="none" w:pos="12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Bank is hereby authorized by the Borrower to charge on any day the depository accounts of the Borrower maintained with the Bank for any amount of accrued and unpaid interest or principal which is due and owing, unless such amount is being disputed in good faith in writing by the Borrower.</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Interest and principal upon the Term Loan shall be paid as follows:</w:t>
      </w:r>
    </w:p>
    <w:p>
      <w:pPr>
        <w:spacing w:after="0" w:line="117" w:lineRule="exact"/>
        <w:rPr>
          <w:rFonts w:ascii="Arial" w:cs="Arial" w:eastAsia="Arial" w:hAnsi="Arial"/>
          <w:sz w:val="18"/>
          <w:szCs w:val="18"/>
          <w:color w:val="auto"/>
        </w:rPr>
      </w:pPr>
    </w:p>
    <w:p>
      <w:pPr>
        <w:ind w:left="700" w:right="380" w:firstLine="218"/>
        <w:spacing w:after="0" w:line="277"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Interest shall be payable (A) on January 5, April 5, July 5, and October 5 of each year beginning on January 5, 2011, and (B) on the Term Loan Maturity Date; provided that interest under Section 2.4(e) shall be payable on demand.</w:t>
      </w:r>
    </w:p>
    <w:p>
      <w:pPr>
        <w:spacing w:after="0" w:line="62" w:lineRule="exact"/>
        <w:rPr>
          <w:rFonts w:ascii="Arial" w:cs="Arial" w:eastAsia="Arial" w:hAnsi="Arial"/>
          <w:sz w:val="18"/>
          <w:szCs w:val="18"/>
          <w:color w:val="auto"/>
        </w:rPr>
      </w:pPr>
    </w:p>
    <w:p>
      <w:pPr>
        <w:ind w:left="700" w:firstLine="218"/>
        <w:spacing w:after="0" w:line="277" w:lineRule="auto"/>
        <w:tabs>
          <w:tab w:leader="none" w:pos="11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Principal on the Term Loan is payable in installments of $2,200,000 each, on January 5, April 5, July 5, and October 5 of each year beginning on January 5, 2011, plus a final payment equal to all unpaid principal on the Term Loan Maturity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8" w:name="page119"/>
    <w:bookmarkEnd w:id="118"/>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17" w:lineRule="exact"/>
        <w:rPr>
          <w:sz w:val="20"/>
          <w:szCs w:val="20"/>
          <w:color w:val="auto"/>
        </w:rPr>
      </w:pPr>
    </w:p>
    <w:p>
      <w:pPr>
        <w:ind w:left="-20" w:right="420" w:firstLine="233"/>
        <w:spacing w:after="0" w:line="264" w:lineRule="auto"/>
        <w:tabs>
          <w:tab w:leader="none" w:pos="4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Prime Rate Loans, in whole or in part, at any time, without premium or penalty. Each partial prepayment shall be in a minimum amount of $500,000 or an integral multiple thereof. The Borrower may prepay LIBOR Rate Loans only if it pays any indemnities payable with respect thereto pursuant to Section 2.4(d).</w:t>
      </w:r>
    </w:p>
    <w:p>
      <w:pPr>
        <w:spacing w:after="0" w:line="73" w:lineRule="exact"/>
        <w:rPr>
          <w:rFonts w:ascii="Arial" w:cs="Arial" w:eastAsia="Arial" w:hAnsi="Arial"/>
          <w:sz w:val="18"/>
          <w:szCs w:val="18"/>
          <w:color w:val="auto"/>
        </w:rPr>
      </w:pPr>
    </w:p>
    <w:p>
      <w:pPr>
        <w:ind w:left="-20" w:right="140" w:firstLine="233"/>
        <w:spacing w:after="0" w:line="279"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If at any time the Borrower receives any payments in connection with the enforcement of its rights under the Acquisition Documents (Enson), the Borrower shall immediately pay to the Bank the net proceeds of such payments, together with any indemnities payable with respect to prepayment of LIBOR Rate Loans pursuant to Section 2.4(d). All such payments shall be applied to first to the scheduled principal payments on the Term Loan in the inverse order of their maturities and second to any outstanding Revolving Loans.</w:t>
      </w:r>
    </w:p>
    <w:p>
      <w:pPr>
        <w:spacing w:after="0" w:line="63" w:lineRule="exact"/>
        <w:rPr>
          <w:rFonts w:ascii="Arial" w:cs="Arial" w:eastAsia="Arial" w:hAnsi="Arial"/>
          <w:sz w:val="17"/>
          <w:szCs w:val="17"/>
          <w:color w:val="auto"/>
        </w:rPr>
      </w:pPr>
    </w:p>
    <w:p>
      <w:pPr>
        <w:ind w:left="-20" w:firstLine="233"/>
        <w:spacing w:after="0" w:line="264"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paid (unless following an acceleration or upon termination of the Revolving Commitment in whole) or prepaid on Revolving Loans under this section may be reborrowed upon the terms and subject to the conditions and limitations of this Agreement. Amounts paid or prepaid on the Term Loan may not be reborrowed.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B—Terms of the Letter of Credit Facility</w:t>
      </w:r>
    </w:p>
    <w:p>
      <w:pPr>
        <w:spacing w:after="0" w:line="117" w:lineRule="exact"/>
        <w:rPr>
          <w:sz w:val="20"/>
          <w:szCs w:val="20"/>
          <w:color w:val="auto"/>
        </w:rPr>
      </w:pPr>
    </w:p>
    <w:p>
      <w:pPr>
        <w:ind w:left="220" w:right="60" w:firstLine="225"/>
        <w:spacing w:after="0" w:line="29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Letters of Credit</w:t>
      </w:r>
      <w:r>
        <w:rPr>
          <w:rFonts w:ascii="Arial" w:cs="Arial" w:eastAsia="Arial" w:hAnsi="Arial"/>
          <w:sz w:val="16"/>
          <w:szCs w:val="16"/>
          <w:color w:val="auto"/>
        </w:rPr>
        <w:t>. Upon the terms and subject to the conditions of this Agreement, the Bank agrees to issue commercial and standby Letters of Credit for the account of the Borrower from time to time between the Effective Date and the Termination Date in such amounts as the Borrower requests up to an aggregate amount at any time outstanding not exceeding the Revolving Commitment Amount; provided that no Letter of Credit will be issued in any amount that, after giving effect to such issuance, would cause (a) the Total Revolving Outstandings to exceed the Revolving Commitment Amount or (b) the Letter of Credit Outstandings with respect to standby Letters of Credit to exceed the Standby Letter of Credit Sublimit.</w:t>
      </w:r>
    </w:p>
    <w:p>
      <w:pPr>
        <w:spacing w:after="0" w:line="50" w:lineRule="exact"/>
        <w:rPr>
          <w:sz w:val="20"/>
          <w:szCs w:val="20"/>
          <w:color w:val="auto"/>
        </w:rPr>
      </w:pPr>
    </w:p>
    <w:p>
      <w:pPr>
        <w:ind w:left="220" w:right="40" w:firstLine="225"/>
        <w:spacing w:after="0" w:line="293"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Procedures for Letters of Credit</w:t>
      </w:r>
      <w:r>
        <w:rPr>
          <w:rFonts w:ascii="Arial" w:cs="Arial" w:eastAsia="Arial" w:hAnsi="Arial"/>
          <w:sz w:val="16"/>
          <w:szCs w:val="16"/>
          <w:color w:val="auto"/>
        </w:rPr>
        <w:t>. The Borrower shall make each request for a Letter of Credit in writing by facsimile transmission, or electronic conveyance received by the Bank by 12:00 P.M. (Pacific time) on a Banking Day that is not less than three Banking Days before the requested date of issuance (which shall also be a Banking Day). Each request for a Letter of Credit shall be deemed a representation by the Borrower that on the date of issuance of such Letter of Credit and after giving effect thereto the applicable conditions specified in Article III have been and will be satisfied. The Bank may require that such request be made on such letter of credit application and reimbursement agreement form as the Bank from time to time specifies, along with satisfactory evidence of the authority and incumbency of the officials of the Borrower making such request.</w:t>
      </w:r>
    </w:p>
    <w:p>
      <w:pPr>
        <w:spacing w:after="0" w:line="57" w:lineRule="exact"/>
        <w:rPr>
          <w:sz w:val="20"/>
          <w:szCs w:val="20"/>
          <w:color w:val="auto"/>
        </w:rPr>
      </w:pPr>
    </w:p>
    <w:p>
      <w:pPr>
        <w:ind w:left="220" w:right="320" w:firstLine="225"/>
        <w:spacing w:after="0" w:line="312"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Terms of Letters of Credit</w:t>
      </w:r>
      <w:r>
        <w:rPr>
          <w:rFonts w:ascii="Arial" w:cs="Arial" w:eastAsia="Arial" w:hAnsi="Arial"/>
          <w:sz w:val="16"/>
          <w:szCs w:val="16"/>
          <w:color w:val="auto"/>
        </w:rPr>
        <w:t>. Letters of Credit shall be issued in support of obligations of the Borrower or any Subsidiary, contingent or otherwise, and to finance the working capital and business needs of the Borrower or any Subsidiary. All Letters of Credit must expire not later than the Banking Day preceding the Revolving Commitment Ending Date. No standby Letter of Credit may have a term longer than 12 months.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19" w:name="page120"/>
    <w:bookmarkEnd w:id="119"/>
    <w:p>
      <w:pPr>
        <w:ind w:left="220" w:firstLine="225"/>
        <w:spacing w:after="0" w:line="27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Agreement to Repay Letter of Credit Drawings</w:t>
      </w:r>
      <w:r>
        <w:rPr>
          <w:rFonts w:ascii="Arial" w:cs="Arial" w:eastAsia="Arial" w:hAnsi="Arial"/>
          <w:sz w:val="17"/>
          <w:szCs w:val="17"/>
          <w:color w:val="auto"/>
        </w:rPr>
        <w:t>. If the Bank has received documents purporting to draw under a Letter of Credit that the Bank believes conform to the requirements of such Letter of Credit, or if the Bank has decided that it will comply with the Borrower’s written or oral request or authorization to pay a drawing on any Letter of Credit that the Bank does not believe conforms to the requirements of the Letter of Credit, it will notify the Borrower of that fact. The Borrower shall reimburse the Bank by 10:00 A.M. (Pacific time) on the day on which such drawing is to be paid in Immediately Available Funds in an amount equal to the amount of such drawing. Any amount by which the Borrower has failed to reimburse the Bank for the full amount of such drawing by 10:00 A.M. (Pacific time) on the date on which the Bank in its notice indicated that it would pay such drawing, until reimbursed by the Borrower from the proceeds of Revolving Loans pursuant to Section 2.13 or out of funds available in the Holding Account, is an “Unpaid Drawing.” Unpaid Drawings shall bear interest at a rate equal to the sum of (a) the Applicable Margin for Prime Rate Loans plus (b) the Prime Rate plus (c) 5.0% per annum. Such interest shall be payable on demand.</w:t>
      </w:r>
    </w:p>
    <w:p>
      <w:pPr>
        <w:spacing w:after="0" w:line="74" w:lineRule="exact"/>
        <w:rPr>
          <w:sz w:val="20"/>
          <w:szCs w:val="20"/>
          <w:color w:val="auto"/>
        </w:rPr>
      </w:pPr>
    </w:p>
    <w:p>
      <w:pPr>
        <w:ind w:left="220" w:right="60" w:firstLine="225"/>
        <w:spacing w:after="0" w:line="27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Borrower’s obligation under Section 2.10 to repay the Bank for any amount drawn on any Letter of Credit and for any Revolving Loans made under Section 2.13 to cover Unpaid Drawings shall be absolute, unconditional, and irrevocable, shall continue so long as any Letter of Credit is outstanding notwithstanding any termination of this Agreement, and shall be paid strictly in accordance with the terms of this Agreement, under all circumstances whatsoever, including without limitation the following circumstances:</w:t>
      </w:r>
    </w:p>
    <w:p>
      <w:pPr>
        <w:spacing w:after="0" w:line="63" w:lineRule="exact"/>
        <w:rPr>
          <w:sz w:val="20"/>
          <w:szCs w:val="20"/>
          <w:color w:val="auto"/>
        </w:rPr>
      </w:pPr>
    </w:p>
    <w:p>
      <w:pPr>
        <w:ind w:left="440" w:hanging="227"/>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w:t>
      </w:r>
    </w:p>
    <w:p>
      <w:pPr>
        <w:spacing w:after="0" w:line="117" w:lineRule="exact"/>
        <w:rPr>
          <w:rFonts w:ascii="Arial" w:cs="Arial" w:eastAsia="Arial" w:hAnsi="Arial"/>
          <w:sz w:val="18"/>
          <w:szCs w:val="18"/>
          <w:color w:val="auto"/>
        </w:rPr>
      </w:pPr>
    </w:p>
    <w:p>
      <w:pPr>
        <w:ind w:left="-20" w:right="60" w:firstLine="233"/>
        <w:spacing w:after="0" w:line="264" w:lineRule="auto"/>
        <w:tabs>
          <w:tab w:leader="none" w:pos="4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has or claims at any time against any beneficiary, transferee, or holder of any Letter of Credit (or any Person for whom any such beneficiary, transferee, or holder is acting), the Bank, or any other Person, whether in connection with a Letter of Credit, this Agreement, the transactions contemplated hereby, or any unrelated transaction; or</w:t>
      </w:r>
    </w:p>
    <w:p>
      <w:pPr>
        <w:spacing w:after="0" w:line="73" w:lineRule="exact"/>
        <w:rPr>
          <w:rFonts w:ascii="Arial" w:cs="Arial" w:eastAsia="Arial" w:hAnsi="Arial"/>
          <w:sz w:val="18"/>
          <w:szCs w:val="18"/>
          <w:color w:val="auto"/>
        </w:rPr>
      </w:pPr>
    </w:p>
    <w:p>
      <w:pPr>
        <w:ind w:left="-20" w:right="280" w:firstLine="233"/>
        <w:spacing w:after="0" w:line="277"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statement or any other document presented under any Letter of Credit proving to be forged, fraudulent, invalid, or insufficient in any respect or any statement therein being untrue or inaccurate in any respect whatsoever.</w:t>
      </w:r>
    </w:p>
    <w:p>
      <w:pPr>
        <w:spacing w:after="0" w:line="62" w:lineRule="exact"/>
        <w:rPr>
          <w:sz w:val="20"/>
          <w:szCs w:val="20"/>
          <w:color w:val="auto"/>
        </w:rPr>
      </w:pPr>
    </w:p>
    <w:p>
      <w:pPr>
        <w:ind w:left="220" w:right="320"/>
        <w:spacing w:after="0" w:line="277" w:lineRule="auto"/>
        <w:rPr>
          <w:sz w:val="20"/>
          <w:szCs w:val="20"/>
          <w:color w:val="auto"/>
        </w:rPr>
      </w:pPr>
      <w:r>
        <w:rPr>
          <w:rFonts w:ascii="Arial" w:cs="Arial" w:eastAsia="Arial" w:hAnsi="Arial"/>
          <w:sz w:val="18"/>
          <w:szCs w:val="18"/>
          <w:color w:val="auto"/>
        </w:rPr>
        <w:t>Neither the Bank nor its officers, directors, or employees shall be liable or responsible for, and the obligations of the Borrower to the Bank shall not be impaired by:</w:t>
      </w:r>
    </w:p>
    <w:p>
      <w:pPr>
        <w:spacing w:after="0" w:line="62" w:lineRule="exact"/>
        <w:rPr>
          <w:sz w:val="20"/>
          <w:szCs w:val="20"/>
          <w:color w:val="auto"/>
        </w:rPr>
      </w:pPr>
    </w:p>
    <w:p>
      <w:pPr>
        <w:ind w:left="460" w:hanging="247"/>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use made of any Letter of Credit or any acts or omissions of any beneficiary, transferee, or holder thereof in connection therewith;</w:t>
      </w:r>
    </w:p>
    <w:p>
      <w:pPr>
        <w:spacing w:after="0" w:line="117" w:lineRule="exact"/>
        <w:rPr>
          <w:rFonts w:ascii="Arial" w:cs="Arial" w:eastAsia="Arial" w:hAnsi="Arial"/>
          <w:sz w:val="18"/>
          <w:szCs w:val="18"/>
          <w:color w:val="auto"/>
        </w:rPr>
      </w:pPr>
    </w:p>
    <w:p>
      <w:pPr>
        <w:ind w:left="-20" w:right="80" w:firstLine="233"/>
        <w:spacing w:after="0" w:line="277" w:lineRule="auto"/>
        <w:tabs>
          <w:tab w:leader="none" w:pos="4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validity, sufficiency, or genuineness of documents, or of any endorsements thereon, even if such documents or endorsements in fact prove to be in any or all respects invalid, insufficient, fraudulent, or forged;</w:t>
      </w:r>
    </w:p>
    <w:p>
      <w:pPr>
        <w:spacing w:after="0" w:line="62" w:lineRule="exact"/>
        <w:rPr>
          <w:rFonts w:ascii="Arial" w:cs="Arial" w:eastAsia="Arial" w:hAnsi="Arial"/>
          <w:sz w:val="18"/>
          <w:szCs w:val="18"/>
          <w:color w:val="auto"/>
        </w:rPr>
      </w:pPr>
    </w:p>
    <w:p>
      <w:pPr>
        <w:ind w:left="-20" w:right="40" w:firstLine="233"/>
        <w:spacing w:after="0" w:line="277" w:lineRule="auto"/>
        <w:tabs>
          <w:tab w:leader="none" w:pos="4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Bank’s acceptance of documents that appear on their face to be in order, without responsibility for further investigation, regardless of any notice or information to the contrary;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20" w:name="page121"/>
    <w:bookmarkEnd w:id="120"/>
    <w:p>
      <w:pPr>
        <w:ind w:left="-20" w:right="200" w:firstLine="233"/>
        <w:spacing w:after="0" w:line="277" w:lineRule="auto"/>
        <w:tabs>
          <w:tab w:leader="none" w:pos="4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action of the Bank in making or failing to make payment under any Letter of Credit if in good faith and in conformity with U.S. or foreign laws, regulations, or customs applicable thereto.</w:t>
      </w:r>
    </w:p>
    <w:p>
      <w:pPr>
        <w:spacing w:after="0" w:line="62" w:lineRule="exact"/>
        <w:rPr>
          <w:sz w:val="20"/>
          <w:szCs w:val="20"/>
          <w:color w:val="auto"/>
        </w:rPr>
      </w:pPr>
    </w:p>
    <w:p>
      <w:pPr>
        <w:ind w:left="220" w:right="220"/>
        <w:spacing w:after="0" w:line="312" w:lineRule="auto"/>
        <w:rPr>
          <w:sz w:val="20"/>
          <w:szCs w:val="20"/>
          <w:color w:val="auto"/>
        </w:rPr>
      </w:pPr>
      <w:r>
        <w:rPr>
          <w:rFonts w:ascii="Arial" w:cs="Arial" w:eastAsia="Arial" w:hAnsi="Arial"/>
          <w:sz w:val="16"/>
          <w:szCs w:val="16"/>
          <w:color w:val="auto"/>
        </w:rPr>
        <w:t>Notwithstanding the foregoing, the Borrower shall have a claim against the Bank, and the Bank shall be liable to the Borrower, to the extent, but only to the extent, of any direct, as opposed to consequential, damages suffered by the Borrower that the Borrower proves were caused by the Bank’s willful misconduct or gross negligence in determining whether documents presented under any Letter of Credit comply with the terms thereof.</w:t>
      </w:r>
    </w:p>
    <w:p>
      <w:pPr>
        <w:spacing w:after="0" w:line="39" w:lineRule="exact"/>
        <w:rPr>
          <w:sz w:val="20"/>
          <w:szCs w:val="20"/>
          <w:color w:val="auto"/>
        </w:rPr>
      </w:pPr>
    </w:p>
    <w:p>
      <w:pPr>
        <w:ind w:left="220" w:right="120" w:firstLine="225"/>
        <w:spacing w:after="0" w:line="288"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Outstanding Letters of Credit Following Event of Default</w:t>
      </w:r>
      <w:r>
        <w:rPr>
          <w:rFonts w:ascii="Arial" w:cs="Arial" w:eastAsia="Arial" w:hAnsi="Arial"/>
          <w:sz w:val="16"/>
          <w:szCs w:val="16"/>
          <w:color w:val="auto"/>
        </w:rPr>
        <w:t>. Upon a Default or Event of Default, the Borrower shall either (a) replace all outstanding Letters of Credit with letters of credit issued by another issuer acceptable to the respective beneficiaries of such Letters of Credit (whereupon such Letters of Credit shall be canceled), or (b) provide the Bank, as security for all outstanding Letters of Credit, with a cash collateral deposit in an amount that equals at least 110% of the Letter of Credit Outstandings at all times during the continuance of such Default or Event of Default. The Borrower hereby grants to the Bank a security interest in such cash collateral to secure all Obligations. The Bank will apply such cash collateral to the payment of drafts drawn under such Letters of Credit and customary costs and expenses charged or incurred by the Bank in connection therewith, and apply the unused portion thereof after all such Letters of Credit have expired or been fully drawn upon, if any, to repay other Obligations. After all such Letters of Credit have expired or been fully drawn upon, all Obligations have been paid in full in cash, and the Bank’s obligations hereunder have terminated, the balance, if any, of such cash collateral shall be returned to the Borrower. The Borrower shall execute and deliver to the Bank such further documents and instruments as the Bank requests to evidence the creation and perfection of the security interest in such cash collateral account.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C—General</w:t>
      </w:r>
    </w:p>
    <w:p>
      <w:pPr>
        <w:spacing w:after="0" w:line="117" w:lineRule="exact"/>
        <w:rPr>
          <w:sz w:val="20"/>
          <w:szCs w:val="20"/>
          <w:color w:val="auto"/>
        </w:rPr>
      </w:pPr>
    </w:p>
    <w:p>
      <w:pPr>
        <w:ind w:left="220" w:firstLine="225"/>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Revolving Loans to Cover Unpaid Drawings</w:t>
      </w:r>
      <w:r>
        <w:rPr>
          <w:rFonts w:ascii="Arial" w:cs="Arial" w:eastAsia="Arial" w:hAnsi="Arial"/>
          <w:sz w:val="17"/>
          <w:szCs w:val="17"/>
          <w:color w:val="auto"/>
        </w:rPr>
        <w:t>. Whenever any Unpaid Drawing exists and there are not then funds in the Holding Account to cover the same, the Bank is authorized (and the Borrower does here so authorize the Bank) to, and shall, make a Revolving Loan (as a Prime Rate Loan) to the Borrower in an amount equal to the amount of the Unpaid Drawing. The Bank shall apply the proceeds of such Revolving Loan directly to reimburse itself for such Unpaid Drawing. If at the time the Bank makes a Revolving Loan pursuant to this section, the applicable conditions precedent specified in Article III have not been satisfied, the Borrower shall pay to the Bank interest on the funds so advanced at a floating rate per annum equal to the sum of (a) the Applicable Margin for Prime Rate Loans plus (b) the Prime Rate plus (c) 5.0% per annum.</w:t>
      </w:r>
    </w:p>
    <w:p>
      <w:pPr>
        <w:spacing w:after="0" w:line="70" w:lineRule="exact"/>
        <w:rPr>
          <w:sz w:val="20"/>
          <w:szCs w:val="20"/>
          <w:color w:val="auto"/>
        </w:rPr>
      </w:pPr>
    </w:p>
    <w:p>
      <w:pPr>
        <w:ind w:left="220" w:right="20" w:firstLine="225"/>
        <w:spacing w:after="0" w:line="291"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Facility Fees and Letter of Credit Fees</w:t>
      </w:r>
      <w:r>
        <w:rPr>
          <w:rFonts w:ascii="Arial" w:cs="Arial" w:eastAsia="Arial" w:hAnsi="Arial"/>
          <w:sz w:val="16"/>
          <w:szCs w:val="16"/>
          <w:color w:val="auto"/>
        </w:rPr>
        <w:t>. Upon the Effective Date, the Borrower shall pay to the Bank a one-time facility fee in connection with the Term Loan in the amount of $25,000. For each Letter of Credit issued, the Borrower shall pay to the Bank a fee (a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equal to</w:t>
      </w:r>
    </w:p>
    <w:p>
      <w:pPr>
        <w:ind w:left="220" w:right="20" w:hanging="4"/>
        <w:spacing w:after="0" w:line="255" w:lineRule="auto"/>
        <w:tabs>
          <w:tab w:leader="none" w:pos="4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each standby Letter of Credit, at all times such Letter of Credit is outstanding, an amount determined by multiplying 1.8% by the original face amount of each such Letter of Credit determined on a per annum basis, payable on the date such Letter of Credit is issued, and (b) in the case of commercial Letters of Credit, the Bank’s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21" w:name="page122"/>
    <w:bookmarkEnd w:id="121"/>
    <w:p>
      <w:pPr>
        <w:ind w:left="200" w:right="140"/>
        <w:spacing w:after="0" w:line="259" w:lineRule="auto"/>
        <w:rPr>
          <w:sz w:val="20"/>
          <w:szCs w:val="20"/>
          <w:color w:val="auto"/>
        </w:rPr>
      </w:pPr>
      <w:r>
        <w:rPr>
          <w:rFonts w:ascii="Arial" w:cs="Arial" w:eastAsia="Arial" w:hAnsi="Arial"/>
          <w:sz w:val="18"/>
          <w:szCs w:val="18"/>
          <w:color w:val="auto"/>
        </w:rPr>
        <w:t>standard fees as set forth on the Bank’s Commercial Letter of Credit Fee Schedule, as updated from time to time. In addition to the Letter of Credit Fees, the Borrower shall pay to the Bank, on demand, all issuance, amendment, drawing, and other fees regularly charged by the Bank to its letter of credit customers and all reasonable out-of-pocket expenses the Bank incurs in connection with the issuance, amendment, administration, or payment of any Letter of Credit.</w:t>
      </w:r>
    </w:p>
    <w:p>
      <w:pPr>
        <w:spacing w:after="0" w:line="79" w:lineRule="exact"/>
        <w:rPr>
          <w:sz w:val="20"/>
          <w:szCs w:val="20"/>
          <w:color w:val="auto"/>
        </w:rPr>
      </w:pPr>
    </w:p>
    <w:p>
      <w:pPr>
        <w:ind w:left="200" w:right="240" w:firstLine="225"/>
        <w:spacing w:after="0" w:line="277"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Computation</w:t>
      </w:r>
      <w:r>
        <w:rPr>
          <w:rFonts w:ascii="Arial" w:cs="Arial" w:eastAsia="Arial" w:hAnsi="Arial"/>
          <w:sz w:val="18"/>
          <w:szCs w:val="18"/>
          <w:color w:val="auto"/>
        </w:rPr>
        <w:t>. Letter of Credit Fees and interest on Obligations shall be computed on the basis of actual days elapsed (or, in the case of Letter of Credit Fees that are paid in advance, actual days to elapse) and a year of 360 days.</w:t>
      </w:r>
    </w:p>
    <w:p>
      <w:pPr>
        <w:spacing w:after="0" w:line="62" w:lineRule="exact"/>
        <w:rPr>
          <w:sz w:val="20"/>
          <w:szCs w:val="20"/>
          <w:color w:val="auto"/>
        </w:rPr>
      </w:pPr>
    </w:p>
    <w:p>
      <w:pPr>
        <w:ind w:left="200" w:firstLine="225"/>
        <w:spacing w:after="0" w:line="291"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Payments</w:t>
      </w:r>
      <w:r>
        <w:rPr>
          <w:rFonts w:ascii="Arial" w:cs="Arial" w:eastAsia="Arial" w:hAnsi="Arial"/>
          <w:sz w:val="16"/>
          <w:szCs w:val="16"/>
          <w:color w:val="auto"/>
        </w:rPr>
        <w:t>. Payments and prepayments of principal of, and interest on, the Notes and all fees, expenses, and other obligations under this Agreement payable to the Bank shall be made without setoff or counterclaim in Immediately Available Funds not later than 1:00 P.M. (Pacific time) on the dates called for under the Loan Documents to the Bank at its main office in Newport Beach, California. Funds received after such time shall be deemed to have been received on the next Banking Day. Whenever any payment to be made under the Loan Documents is stated to be due on a day that is not a Banking Day, such payment shall be made on the next succeeding Banking Day, and such extension of time, in the case of a payment of principal, shall be included in the computation of any interest on such principal payment; provided, however, that if such extension would cause payment of interest on or principal of a LIBOR Rate Loan to be made in the next following calendar month, such payment shall be made on the next preceding Banking Day.</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Revolving Commitment Ending Date</w:t>
      </w:r>
      <w:r>
        <w:rPr>
          <w:rFonts w:ascii="Arial" w:cs="Arial" w:eastAsia="Arial" w:hAnsi="Arial"/>
          <w:sz w:val="18"/>
          <w:szCs w:val="18"/>
          <w:color w:val="auto"/>
        </w:rPr>
        <w:t>. The “Revolving Commitment Ending Date” is November 1, 2012.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Use of Proceeds.</w:t>
      </w:r>
    </w:p>
    <w:p>
      <w:pPr>
        <w:spacing w:after="0" w:line="117" w:lineRule="exact"/>
        <w:rPr>
          <w:sz w:val="20"/>
          <w:szCs w:val="20"/>
          <w:color w:val="auto"/>
        </w:rPr>
      </w:pPr>
    </w:p>
    <w:p>
      <w:pPr>
        <w:jc w:val="both"/>
        <w:ind w:left="-40" w:right="60" w:firstLine="233"/>
        <w:spacing w:after="0" w:line="264" w:lineRule="auto"/>
        <w:tabs>
          <w:tab w:leader="none" w:pos="4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Revolving Loans shall be used to (a) provide financing for the Borrower’s general corporate purposes, (b) support the issuance of commercial and standby Letters of Credit, and (c) provide temporary bridge financing for certain Permitted Acquisitions, in each case in a manner not in conflict with any of the Borrower’s covenants in this Agreement.</w:t>
      </w:r>
    </w:p>
    <w:p>
      <w:pPr>
        <w:spacing w:after="0" w:line="73" w:lineRule="exact"/>
        <w:rPr>
          <w:rFonts w:ascii="Arial" w:cs="Arial" w:eastAsia="Arial" w:hAnsi="Arial"/>
          <w:sz w:val="18"/>
          <w:szCs w:val="18"/>
          <w:color w:val="auto"/>
        </w:rPr>
      </w:pPr>
    </w:p>
    <w:p>
      <w:pPr>
        <w:ind w:left="440" w:hanging="247"/>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 Loan shall be used to finance the Acquisition (Enson) and to pay related transaction costs, fees, and expenses.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Taxes.</w:t>
      </w:r>
    </w:p>
    <w:p>
      <w:pPr>
        <w:spacing w:after="0" w:line="117" w:lineRule="exact"/>
        <w:rPr>
          <w:sz w:val="20"/>
          <w:szCs w:val="20"/>
          <w:color w:val="auto"/>
        </w:rPr>
      </w:pPr>
    </w:p>
    <w:p>
      <w:pPr>
        <w:ind w:left="-40" w:firstLine="233"/>
        <w:spacing w:after="0" w:line="279" w:lineRule="auto"/>
        <w:tabs>
          <w:tab w:leader="none" w:pos="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Any and all payments by the Borrower under the Loan Documents shall be made free and clear of and without deduction for any and all present or future taxes, levies, imposts, deductions, charges, or withholdings, and all liabilities with respect thereto, </w:t>
      </w:r>
      <w:r>
        <w:rPr>
          <w:rFonts w:ascii="Arial" w:cs="Arial" w:eastAsia="Arial" w:hAnsi="Arial"/>
          <w:sz w:val="17"/>
          <w:szCs w:val="17"/>
          <w:u w:val="single" w:color="auto"/>
          <w:color w:val="auto"/>
        </w:rPr>
        <w:t>excluding</w:t>
      </w:r>
      <w:r>
        <w:rPr>
          <w:rFonts w:ascii="Arial" w:cs="Arial" w:eastAsia="Arial" w:hAnsi="Arial"/>
          <w:sz w:val="17"/>
          <w:szCs w:val="17"/>
          <w:color w:val="auto"/>
        </w:rPr>
        <w:t>, in the case of the Bank, taxes imposed on its overall net income and franchise taxes imposed on it in lieu of net income taxes (all such non-excluded taxes, levies, imposts, deductions, charges, withholdings, and liabilities in respect of payments under the Loan Documents being hereinafter referred to as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0" w:right="20" w:firstLine="233"/>
        <w:spacing w:after="0" w:line="277" w:lineRule="auto"/>
        <w:tabs>
          <w:tab w:leader="none" w:pos="4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agrees to pay any present or future stamp or documentary taxes or any other excise or property taxes, charges, or similar levies that arise from any payment made under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122" w:name="page123"/>
    <w:bookmarkEnd w:id="122"/>
    <w:p>
      <w:pPr>
        <w:ind w:right="100"/>
        <w:spacing w:after="0" w:line="277" w:lineRule="auto"/>
        <w:rPr>
          <w:sz w:val="20"/>
          <w:szCs w:val="20"/>
          <w:color w:val="auto"/>
        </w:rPr>
      </w:pPr>
      <w:r>
        <w:rPr>
          <w:rFonts w:ascii="Arial" w:cs="Arial" w:eastAsia="Arial" w:hAnsi="Arial"/>
          <w:sz w:val="18"/>
          <w:szCs w:val="18"/>
          <w:color w:val="auto"/>
        </w:rPr>
        <w:t>Loan Documents or from the execution, delivery, or registration of, performing under, or otherwise with respect to the Loan Documents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62" w:lineRule="exact"/>
        <w:rPr>
          <w:sz w:val="20"/>
          <w:szCs w:val="20"/>
          <w:color w:val="auto"/>
        </w:rPr>
      </w:pPr>
    </w:p>
    <w:p>
      <w:pPr>
        <w:ind w:right="280" w:firstLine="233"/>
        <w:spacing w:after="0" w:line="342" w:lineRule="auto"/>
        <w:tabs>
          <w:tab w:leader="none" w:pos="46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Borrower shall indemnify the Bank for the full amount of Taxes or Other Taxes imposed on or paid by the Bank and any penalties, interest, and expenses with respect thereto. Payments on this indemnification shall be made within 30 days from the date the Bank makes written demand therefor.</w:t>
      </w:r>
    </w:p>
    <w:p>
      <w:pPr>
        <w:spacing w:after="0" w:line="15" w:lineRule="exact"/>
        <w:rPr>
          <w:rFonts w:ascii="Arial" w:cs="Arial" w:eastAsia="Arial" w:hAnsi="Arial"/>
          <w:sz w:val="16"/>
          <w:szCs w:val="16"/>
          <w:color w:val="auto"/>
        </w:rPr>
      </w:pPr>
    </w:p>
    <w:p>
      <w:pPr>
        <w:ind w:right="20" w:firstLine="233"/>
        <w:spacing w:after="0" w:line="255" w:lineRule="auto"/>
        <w:tabs>
          <w:tab w:leader="none" w:pos="4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Within 30 days after the date of any payment of Taxes, the Borrower shall furnish to the Bank, at its address referred to on the signature page hereof, a certified copy of a receipt evidencing payment thereof. In the case of any payment under the Loan Documents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Bank at such address an opinion of counsel reasonably acceptable to the Bank stating that such payment is exempt from Taxes. For purposes of this subsection (d), the terms “United States” and “United States person” have the meanings specified in § 7701 of the Code.</w:t>
      </w:r>
    </w:p>
    <w:p>
      <w:pPr>
        <w:spacing w:after="0" w:line="85" w:lineRule="exact"/>
        <w:rPr>
          <w:rFonts w:ascii="Arial" w:cs="Arial" w:eastAsia="Arial" w:hAnsi="Arial"/>
          <w:sz w:val="18"/>
          <w:szCs w:val="18"/>
          <w:color w:val="auto"/>
        </w:rPr>
      </w:pPr>
    </w:p>
    <w:p>
      <w:pPr>
        <w:ind w:right="60" w:firstLine="233"/>
        <w:spacing w:after="0" w:line="297" w:lineRule="auto"/>
        <w:tabs>
          <w:tab w:leader="none" w:pos="4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Borrower is required by law or regulation to make any deduction, withholding, or backup withholding of any taxes, levies, imposts, duties, fees, liabilities, or similar charges of the United States of America, any possession or territory of the United States of America (including the Commonwealth of Puerto Rico), or any area subject to the jurisdiction of the United States of America (“</w:t>
      </w:r>
      <w:r>
        <w:rPr>
          <w:rFonts w:ascii="Arial" w:cs="Arial" w:eastAsia="Arial" w:hAnsi="Arial"/>
          <w:sz w:val="16"/>
          <w:szCs w:val="16"/>
          <w:u w:val="single" w:color="auto"/>
          <w:color w:val="auto"/>
        </w:rPr>
        <w:t>U.S. Taxes</w:t>
      </w:r>
      <w:r>
        <w:rPr>
          <w:rFonts w:ascii="Arial" w:cs="Arial" w:eastAsia="Arial" w:hAnsi="Arial"/>
          <w:sz w:val="16"/>
          <w:szCs w:val="16"/>
          <w:color w:val="auto"/>
        </w:rPr>
        <w:t>”) from any payments to the Bank pursuant to any Loan Document in respect of the Obligations payable to the Bank then or thereafter outstanding, the Borrower shall make such withholdings or deductions and pay the full amount withheld or deducted to the relevant taxation authority or other authority in accordance with applicable law.</w:t>
      </w:r>
    </w:p>
    <w:p>
      <w:pPr>
        <w:spacing w:after="0" w:line="50" w:lineRule="exact"/>
        <w:rPr>
          <w:sz w:val="20"/>
          <w:szCs w:val="20"/>
          <w:color w:val="auto"/>
        </w:rPr>
      </w:pPr>
    </w:p>
    <w:p>
      <w:pPr>
        <w:ind w:left="240" w:firstLine="225"/>
        <w:spacing w:after="0" w:line="259"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Effect of Existing Credit Agreement</w:t>
      </w:r>
      <w:r>
        <w:rPr>
          <w:rFonts w:ascii="Arial" w:cs="Arial" w:eastAsia="Arial" w:hAnsi="Arial"/>
          <w:sz w:val="18"/>
          <w:szCs w:val="18"/>
          <w:color w:val="auto"/>
        </w:rPr>
        <w:t>. This Agreement amends and replaces in its entirety the Existing Credit Agreement, provided that the obligations of the Borrower incurred under the Existing Credit Agreement shall continue under this Agreement and shall not in any circumstance be terminated, extinguished, or discharged hereby but shall hereafter be governed by the terms of this Agreement. None of the liens created by the Existing Credit Agreement shall be terminated, extinguished, or discharged hereby.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Conditions of Initial Transaction</w:t>
      </w:r>
      <w:r>
        <w:rPr>
          <w:rFonts w:ascii="Arial" w:cs="Arial" w:eastAsia="Arial" w:hAnsi="Arial"/>
          <w:sz w:val="17"/>
          <w:szCs w:val="17"/>
          <w:color w:val="auto"/>
        </w:rPr>
        <w:t>. The making of the Term Loan and the initial Revolving Loan and the issuance of the initial Letter of</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Credit shall be subject to the prior or simultaneous fulfillment of the following conditions:</w:t>
      </w:r>
    </w:p>
    <w:p>
      <w:pPr>
        <w:spacing w:after="0" w:line="103" w:lineRule="exact"/>
        <w:rPr>
          <w:sz w:val="20"/>
          <w:szCs w:val="20"/>
          <w:color w:val="auto"/>
        </w:rPr>
      </w:pPr>
    </w:p>
    <w:p>
      <w:pPr>
        <w:ind w:left="480" w:hanging="247"/>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The Bank shall have received the following:</w:t>
      </w:r>
    </w:p>
    <w:p>
      <w:pPr>
        <w:spacing w:after="0" w:line="117" w:lineRule="exact"/>
        <w:rPr>
          <w:rFonts w:ascii="Arial" w:cs="Arial" w:eastAsia="Arial" w:hAnsi="Arial"/>
          <w:sz w:val="18"/>
          <w:szCs w:val="18"/>
          <w:color w:val="auto"/>
        </w:rPr>
      </w:pPr>
    </w:p>
    <w:p>
      <w:pPr>
        <w:ind w:left="1140" w:hanging="222"/>
        <w:spacing w:after="0"/>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Revolving Note and the Term Note, each executed by a duly authorized officer (or officers) of the Borrower and dated the Effective Date.</w:t>
      </w:r>
    </w:p>
    <w:p>
      <w:pPr>
        <w:spacing w:after="0" w:line="140" w:lineRule="exact"/>
        <w:rPr>
          <w:rFonts w:ascii="Arial" w:cs="Arial" w:eastAsia="Arial" w:hAnsi="Arial"/>
          <w:sz w:val="16"/>
          <w:szCs w:val="16"/>
          <w:color w:val="auto"/>
        </w:rPr>
      </w:pPr>
    </w:p>
    <w:p>
      <w:pPr>
        <w:ind w:left="1180" w:hanging="262"/>
        <w:spacing w:after="0"/>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Pledge Agreement, duly executed by a duly authorized officer (or officers) of the Buyer and dated the Effective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3" w:name="page124"/>
    <w:bookmarkEnd w:id="123"/>
    <w:p>
      <w:pPr>
        <w:ind w:left="322" w:hanging="322"/>
        <w:spacing w:after="0"/>
        <w:tabs>
          <w:tab w:leader="none" w:pos="3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Security Agreement, duly executed by a duly authorized officer (or officers) of the Borrower and dated the Effective Date.</w:t>
      </w:r>
    </w:p>
    <w:p>
      <w:pPr>
        <w:spacing w:after="0" w:line="117" w:lineRule="exact"/>
        <w:rPr>
          <w:rFonts w:ascii="Arial" w:cs="Arial" w:eastAsia="Arial" w:hAnsi="Arial"/>
          <w:sz w:val="18"/>
          <w:szCs w:val="18"/>
          <w:color w:val="auto"/>
        </w:rPr>
      </w:pPr>
    </w:p>
    <w:p>
      <w:pPr>
        <w:ind w:left="302" w:hanging="302"/>
        <w:spacing w:after="0"/>
        <w:tabs>
          <w:tab w:leader="none" w:pos="3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statement of sources and uses of funds, duly exected by the Borrower and in form and substance satisfactory to the Bank.</w:t>
      </w:r>
    </w:p>
    <w:p>
      <w:pPr>
        <w:spacing w:after="0" w:line="117" w:lineRule="exact"/>
        <w:rPr>
          <w:rFonts w:ascii="Arial" w:cs="Arial" w:eastAsia="Arial" w:hAnsi="Arial"/>
          <w:sz w:val="18"/>
          <w:szCs w:val="18"/>
          <w:color w:val="auto"/>
        </w:rPr>
      </w:pPr>
    </w:p>
    <w:p>
      <w:pPr>
        <w:ind w:left="262" w:hanging="262"/>
        <w:spacing w:after="0"/>
        <w:tabs>
          <w:tab w:leader="none" w:pos="2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certificate of</w:t>
      </w:r>
    </w:p>
    <w:p>
      <w:pPr>
        <w:spacing w:after="0" w:line="117" w:lineRule="exact"/>
        <w:rPr>
          <w:rFonts w:ascii="Arial" w:cs="Arial" w:eastAsia="Arial" w:hAnsi="Arial"/>
          <w:sz w:val="18"/>
          <w:szCs w:val="18"/>
          <w:color w:val="auto"/>
        </w:rPr>
      </w:pPr>
    </w:p>
    <w:p>
      <w:pPr>
        <w:ind w:left="1162" w:hanging="370"/>
        <w:spacing w:after="0"/>
        <w:tabs>
          <w:tab w:leader="none" w:pos="116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Secretary or Assistant Secretary of the Borrower dated of as the Effective Date and certifying as to the following:</w:t>
      </w:r>
    </w:p>
    <w:p>
      <w:pPr>
        <w:spacing w:after="0" w:line="117" w:lineRule="exact"/>
        <w:rPr>
          <w:rFonts w:ascii="Arial" w:cs="Arial" w:eastAsia="Arial" w:hAnsi="Arial"/>
          <w:sz w:val="18"/>
          <w:szCs w:val="18"/>
          <w:color w:val="auto"/>
        </w:rPr>
      </w:pPr>
    </w:p>
    <w:p>
      <w:pPr>
        <w:ind w:left="1462" w:right="240" w:hanging="319"/>
        <w:spacing w:after="0" w:line="277" w:lineRule="auto"/>
        <w:tabs>
          <w:tab w:leader="none" w:pos="1462"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copy of the Borrower’s corporate resolutions authorizing the execution, delivery, and performance of the Transaction Documents to which it is a party;</w:t>
      </w:r>
    </w:p>
    <w:p>
      <w:pPr>
        <w:spacing w:after="0" w:line="75" w:lineRule="exact"/>
        <w:rPr>
          <w:rFonts w:ascii="Arial" w:cs="Arial" w:eastAsia="Arial" w:hAnsi="Arial"/>
          <w:sz w:val="18"/>
          <w:szCs w:val="18"/>
          <w:color w:val="auto"/>
        </w:rPr>
      </w:pPr>
    </w:p>
    <w:p>
      <w:pPr>
        <w:ind w:left="1462" w:hanging="319"/>
        <w:spacing w:after="0" w:line="342" w:lineRule="auto"/>
        <w:tabs>
          <w:tab w:leader="none" w:pos="1462"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incumbency, names, titles, and signatures of the Borrower’s officers authorized to execute the Loan Documents and to request Letters of Credit, Revolving Loans, the Term Loan, and conversions and continuations of Advances hereunder;</w:t>
      </w:r>
    </w:p>
    <w:p>
      <w:pPr>
        <w:spacing w:after="0" w:line="29" w:lineRule="exact"/>
        <w:rPr>
          <w:rFonts w:ascii="Arial" w:cs="Arial" w:eastAsia="Arial" w:hAnsi="Arial"/>
          <w:sz w:val="16"/>
          <w:szCs w:val="16"/>
          <w:color w:val="auto"/>
        </w:rPr>
      </w:pPr>
    </w:p>
    <w:p>
      <w:pPr>
        <w:ind w:left="1462" w:hanging="319"/>
        <w:spacing w:after="0"/>
        <w:tabs>
          <w:tab w:leader="none" w:pos="1462" w:val="left"/>
        </w:tabs>
        <w:numPr>
          <w:ilvl w:val="2"/>
          <w:numId w:val="59"/>
        </w:numPr>
        <w:rPr>
          <w:rFonts w:ascii="Arial" w:cs="Arial" w:eastAsia="Arial" w:hAnsi="Arial"/>
          <w:sz w:val="17"/>
          <w:szCs w:val="17"/>
          <w:color w:val="auto"/>
        </w:rPr>
      </w:pPr>
      <w:r>
        <w:rPr>
          <w:rFonts w:ascii="Arial" w:cs="Arial" w:eastAsia="Arial" w:hAnsi="Arial"/>
          <w:sz w:val="17"/>
          <w:szCs w:val="17"/>
          <w:color w:val="auto"/>
        </w:rPr>
        <w:t>A true and accurate copy of the Borrower’s Restated Certificate of Incorporation and all amendments thereto; and</w:t>
      </w:r>
    </w:p>
    <w:p>
      <w:pPr>
        <w:spacing w:after="0" w:line="142" w:lineRule="exact"/>
        <w:rPr>
          <w:rFonts w:ascii="Arial" w:cs="Arial" w:eastAsia="Arial" w:hAnsi="Arial"/>
          <w:sz w:val="17"/>
          <w:szCs w:val="17"/>
          <w:color w:val="auto"/>
        </w:rPr>
      </w:pPr>
    </w:p>
    <w:p>
      <w:pPr>
        <w:ind w:left="1462" w:hanging="319"/>
        <w:spacing w:after="0"/>
        <w:tabs>
          <w:tab w:leader="none" w:pos="1462"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true and accurate copy of the Borrower’s Amended and Restated Bylaws; and</w:t>
      </w:r>
    </w:p>
    <w:p>
      <w:pPr>
        <w:spacing w:after="0" w:line="117" w:lineRule="exact"/>
        <w:rPr>
          <w:rFonts w:ascii="Arial" w:cs="Arial" w:eastAsia="Arial" w:hAnsi="Arial"/>
          <w:sz w:val="18"/>
          <w:szCs w:val="18"/>
          <w:color w:val="auto"/>
        </w:rPr>
      </w:pPr>
    </w:p>
    <w:p>
      <w:pPr>
        <w:ind w:left="1142" w:right="540" w:hanging="350"/>
        <w:spacing w:after="0" w:line="277" w:lineRule="auto"/>
        <w:tabs>
          <w:tab w:leader="none" w:pos="114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Secretary, Assistant Secretary, or equivalent officer of the Buyer dated of as the Effective Date and certifying as to the following:</w:t>
      </w:r>
    </w:p>
    <w:p>
      <w:pPr>
        <w:spacing w:after="0" w:line="62" w:lineRule="exact"/>
        <w:rPr>
          <w:rFonts w:ascii="Arial" w:cs="Arial" w:eastAsia="Arial" w:hAnsi="Arial"/>
          <w:sz w:val="18"/>
          <w:szCs w:val="18"/>
          <w:color w:val="auto"/>
        </w:rPr>
      </w:pPr>
    </w:p>
    <w:p>
      <w:pPr>
        <w:ind w:left="1462" w:right="160" w:hanging="319"/>
        <w:spacing w:after="0" w:line="277" w:lineRule="auto"/>
        <w:tabs>
          <w:tab w:leader="none" w:pos="1462"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copy of the Buyer’s resolutions authorizing the execution, delivery, and performance of the Transaction Documents to which it is a party;</w:t>
      </w:r>
    </w:p>
    <w:p>
      <w:pPr>
        <w:spacing w:after="0" w:line="75" w:lineRule="exact"/>
        <w:rPr>
          <w:rFonts w:ascii="Arial" w:cs="Arial" w:eastAsia="Arial" w:hAnsi="Arial"/>
          <w:sz w:val="18"/>
          <w:szCs w:val="18"/>
          <w:color w:val="auto"/>
        </w:rPr>
      </w:pPr>
    </w:p>
    <w:p>
      <w:pPr>
        <w:ind w:left="1462" w:hanging="319"/>
        <w:spacing w:after="0"/>
        <w:tabs>
          <w:tab w:leader="none" w:pos="1462"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incumbency, names, titles, and signatures of the Buyer’s officers authorized to execute the Pledge Agreement; and</w:t>
      </w:r>
    </w:p>
    <w:p>
      <w:pPr>
        <w:spacing w:after="0" w:line="153" w:lineRule="exact"/>
        <w:rPr>
          <w:rFonts w:ascii="Arial" w:cs="Arial" w:eastAsia="Arial" w:hAnsi="Arial"/>
          <w:sz w:val="16"/>
          <w:szCs w:val="16"/>
          <w:color w:val="auto"/>
        </w:rPr>
      </w:pPr>
    </w:p>
    <w:p>
      <w:pPr>
        <w:ind w:left="1462" w:hanging="319"/>
        <w:spacing w:after="0"/>
        <w:tabs>
          <w:tab w:leader="none" w:pos="1462"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true and accurate copy of the Buyer’s organizational documents and all amendments thereto.</w:t>
      </w:r>
    </w:p>
    <w:p>
      <w:pPr>
        <w:spacing w:after="0" w:line="117" w:lineRule="exact"/>
        <w:rPr>
          <w:rFonts w:ascii="Arial" w:cs="Arial" w:eastAsia="Arial" w:hAnsi="Arial"/>
          <w:sz w:val="18"/>
          <w:szCs w:val="18"/>
          <w:color w:val="auto"/>
        </w:rPr>
      </w:pPr>
    </w:p>
    <w:p>
      <w:pPr>
        <w:ind w:left="1142" w:right="520" w:hanging="350"/>
        <w:spacing w:after="0" w:line="277" w:lineRule="auto"/>
        <w:tabs>
          <w:tab w:leader="none" w:pos="114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Secretary, Assistant Secretary, or equivalent officer of the Target dated of as the Effective Date and certifying as to the following:</w:t>
      </w:r>
    </w:p>
    <w:p>
      <w:pPr>
        <w:spacing w:after="0" w:line="62" w:lineRule="exact"/>
        <w:rPr>
          <w:rFonts w:ascii="Arial" w:cs="Arial" w:eastAsia="Arial" w:hAnsi="Arial"/>
          <w:sz w:val="18"/>
          <w:szCs w:val="18"/>
          <w:color w:val="auto"/>
        </w:rPr>
      </w:pPr>
    </w:p>
    <w:p>
      <w:pPr>
        <w:ind w:left="1462" w:hanging="319"/>
        <w:spacing w:after="0"/>
        <w:tabs>
          <w:tab w:leader="none" w:pos="1462"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copy of the Buyer’s resolutions authorizing the execution, delivery, and performance of the</w:t>
      </w:r>
    </w:p>
    <w:p>
      <w:pPr>
        <w:spacing w:after="0" w:line="198" w:lineRule="exact"/>
        <w:rPr>
          <w:sz w:val="20"/>
          <w:szCs w:val="20"/>
          <w:color w:val="auto"/>
        </w:rPr>
      </w:pPr>
    </w:p>
    <w:p>
      <w:pPr>
        <w:ind w:left="470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2"/>
          </w:cols>
          <w:pgMar w:left="1158" w:top="935" w:right="439" w:bottom="1440" w:gutter="0" w:footer="0" w:header="0"/>
        </w:sectPr>
      </w:pPr>
    </w:p>
    <w:bookmarkStart w:id="124" w:name="page125"/>
    <w:bookmarkEnd w:id="124"/>
    <w:p>
      <w:pPr>
        <w:ind w:left="1462"/>
        <w:spacing w:after="0"/>
        <w:rPr>
          <w:sz w:val="20"/>
          <w:szCs w:val="20"/>
          <w:color w:val="auto"/>
        </w:rPr>
      </w:pPr>
      <w:r>
        <w:rPr>
          <w:rFonts w:ascii="Arial" w:cs="Arial" w:eastAsia="Arial" w:hAnsi="Arial"/>
          <w:sz w:val="18"/>
          <w:szCs w:val="18"/>
          <w:color w:val="auto"/>
        </w:rPr>
        <w:t>Transaction Documents to which it is a party and the transfer of its shares to the Bank;</w:t>
      </w:r>
    </w:p>
    <w:p>
      <w:pPr>
        <w:spacing w:after="0" w:line="131" w:lineRule="exact"/>
        <w:rPr>
          <w:sz w:val="20"/>
          <w:szCs w:val="20"/>
          <w:color w:val="auto"/>
        </w:rPr>
      </w:pPr>
    </w:p>
    <w:p>
      <w:pPr>
        <w:ind w:left="1462" w:hanging="319"/>
        <w:spacing w:after="0"/>
        <w:tabs>
          <w:tab w:leader="none" w:pos="1462"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incumbency, names, titles, and signatures of the Target’s officers authorized to execute the Pledge Agreement; and</w:t>
      </w:r>
    </w:p>
    <w:p>
      <w:pPr>
        <w:spacing w:after="0" w:line="153" w:lineRule="exact"/>
        <w:rPr>
          <w:rFonts w:ascii="Arial" w:cs="Arial" w:eastAsia="Arial" w:hAnsi="Arial"/>
          <w:sz w:val="16"/>
          <w:szCs w:val="16"/>
          <w:color w:val="auto"/>
        </w:rPr>
      </w:pPr>
    </w:p>
    <w:p>
      <w:pPr>
        <w:ind w:left="1462" w:hanging="319"/>
        <w:spacing w:after="0"/>
        <w:tabs>
          <w:tab w:leader="none" w:pos="1462" w:val="left"/>
        </w:tabs>
        <w:numPr>
          <w:ilvl w:val="2"/>
          <w:numId w:val="60"/>
        </w:numPr>
        <w:rPr>
          <w:rFonts w:ascii="Arial" w:cs="Arial" w:eastAsia="Arial" w:hAnsi="Arial"/>
          <w:sz w:val="18"/>
          <w:szCs w:val="18"/>
          <w:color w:val="auto"/>
        </w:rPr>
      </w:pPr>
      <w:r>
        <w:rPr>
          <w:rFonts w:ascii="Arial" w:cs="Arial" w:eastAsia="Arial" w:hAnsi="Arial"/>
          <w:sz w:val="18"/>
          <w:szCs w:val="18"/>
          <w:color w:val="auto"/>
        </w:rPr>
        <w:t>A true and accurate copy of the Target’s organizational documents and all amendments thereto.</w:t>
      </w:r>
    </w:p>
    <w:p>
      <w:pPr>
        <w:spacing w:after="0" w:line="130" w:lineRule="exact"/>
        <w:rPr>
          <w:rFonts w:ascii="Arial" w:cs="Arial" w:eastAsia="Arial" w:hAnsi="Arial"/>
          <w:sz w:val="18"/>
          <w:szCs w:val="18"/>
          <w:color w:val="auto"/>
        </w:rPr>
      </w:pPr>
    </w:p>
    <w:p>
      <w:pPr>
        <w:ind w:left="1462" w:right="740" w:hanging="319"/>
        <w:spacing w:after="0" w:line="277" w:lineRule="auto"/>
        <w:tabs>
          <w:tab w:leader="none" w:pos="1462" w:val="left"/>
        </w:tabs>
        <w:numPr>
          <w:ilvl w:val="2"/>
          <w:numId w:val="60"/>
        </w:numPr>
        <w:rPr>
          <w:rFonts w:ascii="Arial" w:cs="Arial" w:eastAsia="Arial" w:hAnsi="Arial"/>
          <w:sz w:val="18"/>
          <w:szCs w:val="18"/>
          <w:color w:val="auto"/>
        </w:rPr>
      </w:pPr>
      <w:r>
        <w:rPr>
          <w:rFonts w:ascii="Arial" w:cs="Arial" w:eastAsia="Arial" w:hAnsi="Arial"/>
          <w:sz w:val="18"/>
          <w:szCs w:val="18"/>
          <w:color w:val="auto"/>
        </w:rPr>
        <w:t>Resolutions of the shareholders of the Target approving an amendment to the Target’s memorandum and articles of association, in form and sustance satisfactory to the Bank.</w:t>
      </w:r>
    </w:p>
    <w:p>
      <w:pPr>
        <w:spacing w:after="0" w:line="62" w:lineRule="exact"/>
        <w:rPr>
          <w:rFonts w:ascii="Arial" w:cs="Arial" w:eastAsia="Arial" w:hAnsi="Arial"/>
          <w:sz w:val="18"/>
          <w:szCs w:val="18"/>
          <w:color w:val="auto"/>
        </w:rPr>
      </w:pPr>
    </w:p>
    <w:p>
      <w:pPr>
        <w:ind w:left="-218" w:right="480" w:firstLine="218"/>
        <w:spacing w:after="0" w:line="277" w:lineRule="auto"/>
        <w:tabs>
          <w:tab w:leader="none" w:pos="3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copy of the Borrower’s Restated Certificate of Incorporation with all amendments thereto, certified by the appropriate governmental official of the State of Delaware as of a date not more than 30 days prior to the Effective Date.</w:t>
      </w:r>
    </w:p>
    <w:p>
      <w:pPr>
        <w:spacing w:after="0" w:line="62" w:lineRule="exact"/>
        <w:rPr>
          <w:rFonts w:ascii="Arial" w:cs="Arial" w:eastAsia="Arial" w:hAnsi="Arial"/>
          <w:sz w:val="18"/>
          <w:szCs w:val="18"/>
          <w:color w:val="auto"/>
        </w:rPr>
      </w:pPr>
    </w:p>
    <w:p>
      <w:pPr>
        <w:ind w:left="-218" w:firstLine="218"/>
        <w:spacing w:after="0" w:line="277" w:lineRule="auto"/>
        <w:tabs>
          <w:tab w:leader="none" w:pos="3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certificate of the Target’s registered agent in the British Virgin Islands stating that the Target’s shares are not encumbered and otherwise in form and substance satisfactory to the Bank.</w:t>
      </w:r>
    </w:p>
    <w:p>
      <w:pPr>
        <w:spacing w:after="0" w:line="62" w:lineRule="exact"/>
        <w:rPr>
          <w:rFonts w:ascii="Arial" w:cs="Arial" w:eastAsia="Arial" w:hAnsi="Arial"/>
          <w:sz w:val="18"/>
          <w:szCs w:val="18"/>
          <w:color w:val="auto"/>
        </w:rPr>
      </w:pPr>
    </w:p>
    <w:p>
      <w:pPr>
        <w:ind w:left="-218" w:right="140" w:firstLine="218"/>
        <w:spacing w:after="0" w:line="277" w:lineRule="auto"/>
        <w:tabs>
          <w:tab w:leader="none" w:pos="4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Certificates of good standing for the Borrower in the States of Delaware and California certified by the appropriate governmental officials as of a date not more than 30 days prior to the Effective Date.</w:t>
      </w:r>
    </w:p>
    <w:p>
      <w:pPr>
        <w:spacing w:after="0" w:line="62" w:lineRule="exact"/>
        <w:rPr>
          <w:rFonts w:ascii="Arial" w:cs="Arial" w:eastAsia="Arial" w:hAnsi="Arial"/>
          <w:sz w:val="18"/>
          <w:szCs w:val="18"/>
          <w:color w:val="auto"/>
        </w:rPr>
      </w:pPr>
    </w:p>
    <w:p>
      <w:pPr>
        <w:ind w:left="302" w:hanging="302"/>
        <w:spacing w:after="0"/>
        <w:tabs>
          <w:tab w:leader="none" w:pos="3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certificate dated as of the Effective Date of an officer of the Borrower certifying that:</w:t>
      </w:r>
    </w:p>
    <w:p>
      <w:pPr>
        <w:spacing w:after="0" w:line="117" w:lineRule="exact"/>
        <w:rPr>
          <w:rFonts w:ascii="Arial" w:cs="Arial" w:eastAsia="Arial" w:hAnsi="Arial"/>
          <w:sz w:val="18"/>
          <w:szCs w:val="18"/>
          <w:color w:val="auto"/>
        </w:rPr>
      </w:pPr>
    </w:p>
    <w:p>
      <w:pPr>
        <w:ind w:left="1162" w:right="180" w:hanging="370"/>
        <w:spacing w:after="0" w:line="277"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True and accurate copies of the Acquisition Documents (Enson) have been attached thereto, and remain in full force and effect, without modification or amendment;</w:t>
      </w:r>
    </w:p>
    <w:p>
      <w:pPr>
        <w:spacing w:after="0" w:line="75" w:lineRule="exact"/>
        <w:rPr>
          <w:rFonts w:ascii="Arial" w:cs="Arial" w:eastAsia="Arial" w:hAnsi="Arial"/>
          <w:sz w:val="18"/>
          <w:szCs w:val="18"/>
          <w:color w:val="auto"/>
        </w:rPr>
      </w:pPr>
    </w:p>
    <w:p>
      <w:pPr>
        <w:ind w:left="1162" w:right="280" w:hanging="370"/>
        <w:spacing w:after="0" w:line="277"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conditions to the closing of the Acquisition (Enson) (other than payment of the consideration) are satisfied or waived and, upon the funding of the Term Loans, the Acquisition (Enson) shall be consummated; and</w:t>
      </w:r>
    </w:p>
    <w:p>
      <w:pPr>
        <w:spacing w:after="0" w:line="75" w:lineRule="exact"/>
        <w:rPr>
          <w:rFonts w:ascii="Arial" w:cs="Arial" w:eastAsia="Arial" w:hAnsi="Arial"/>
          <w:sz w:val="18"/>
          <w:szCs w:val="18"/>
          <w:color w:val="auto"/>
        </w:rPr>
      </w:pPr>
    </w:p>
    <w:p>
      <w:pPr>
        <w:ind w:left="1162" w:hanging="370"/>
        <w:spacing w:after="0" w:line="277"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Upon the closing of the Acquisition (Enson), the Buyer shall own all of the issued and outstanding shares of common stock of the Target.</w:t>
      </w:r>
    </w:p>
    <w:p>
      <w:pPr>
        <w:spacing w:after="0" w:line="62" w:lineRule="exact"/>
        <w:rPr>
          <w:rFonts w:ascii="Arial" w:cs="Arial" w:eastAsia="Arial" w:hAnsi="Arial"/>
          <w:sz w:val="18"/>
          <w:szCs w:val="18"/>
          <w:color w:val="auto"/>
        </w:rPr>
      </w:pPr>
    </w:p>
    <w:p>
      <w:pPr>
        <w:ind w:left="-218" w:right="40" w:firstLine="218"/>
        <w:spacing w:after="0" w:line="277" w:lineRule="auto"/>
        <w:tabs>
          <w:tab w:leader="none" w:pos="2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Evidence that the Seller (Enson) has received the full amount of the purchase price under the Acquisition Agreement (Enson) in excess of the amount of the Term Loan.</w:t>
      </w:r>
    </w:p>
    <w:p>
      <w:pPr>
        <w:spacing w:after="0" w:line="143" w:lineRule="exact"/>
        <w:rPr>
          <w:sz w:val="20"/>
          <w:szCs w:val="20"/>
          <w:color w:val="auto"/>
        </w:rPr>
      </w:pPr>
    </w:p>
    <w:p>
      <w:pPr>
        <w:ind w:left="4702"/>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2"/>
          </w:cols>
          <w:pgMar w:left="1158" w:top="935" w:right="259" w:bottom="1440" w:gutter="0" w:footer="0" w:header="0"/>
        </w:sectPr>
      </w:pPr>
    </w:p>
    <w:bookmarkStart w:id="125" w:name="page126"/>
    <w:bookmarkEnd w:id="125"/>
    <w:p>
      <w:pPr>
        <w:ind w:left="660" w:right="160" w:firstLine="218"/>
        <w:spacing w:after="0" w:line="277" w:lineRule="auto"/>
        <w:tabs>
          <w:tab w:leader="none" w:pos="11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certificate dated the Effective Date of the chief executive officer or chief financial officer of the Borrower certifying as to the matters set forth in Sections 3.2(a) and (b) below.</w:t>
      </w:r>
    </w:p>
    <w:p>
      <w:pPr>
        <w:spacing w:after="0" w:line="62" w:lineRule="exact"/>
        <w:rPr>
          <w:rFonts w:ascii="Arial" w:cs="Arial" w:eastAsia="Arial" w:hAnsi="Arial"/>
          <w:sz w:val="18"/>
          <w:szCs w:val="18"/>
          <w:color w:val="auto"/>
        </w:rPr>
      </w:pPr>
    </w:p>
    <w:p>
      <w:pPr>
        <w:ind w:left="660" w:firstLine="218"/>
        <w:spacing w:after="0" w:line="293" w:lineRule="auto"/>
        <w:tabs>
          <w:tab w:leader="none" w:pos="12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Copies of (1) audited financial statements of the Target for the fiscal years ended March 31, 2008, March 31, 2009, and March 31, 2010, prepared in accordance with Hong Kong financial reporting standards, (2) unaudited financial statements of the Target for the five months ending August 31, 2010, prepared in accordance with Hong Kong financial reporting standards, (3) projections and unaudited consolidated financial statements of the Borrower giving pro forma effect to the Acquisition (Enson) demonstrating, to the Bank’s reasonable satisfaction, the solvency of the Borrower and each of its Subsidiaries and compliance with this Agreement, and (4) tax and accounting reports with respect to the Borrower after giving effect to the Acquisition (Enson) prepared by an accounting firm reasonably acceptable to the Bank, .</w:t>
      </w:r>
    </w:p>
    <w:p>
      <w:pPr>
        <w:spacing w:after="0" w:line="56" w:lineRule="exact"/>
        <w:rPr>
          <w:rFonts w:ascii="Arial" w:cs="Arial" w:eastAsia="Arial" w:hAnsi="Arial"/>
          <w:sz w:val="16"/>
          <w:szCs w:val="16"/>
          <w:color w:val="auto"/>
        </w:rPr>
      </w:pPr>
    </w:p>
    <w:p>
      <w:pPr>
        <w:ind w:left="660" w:right="300" w:firstLine="218"/>
        <w:spacing w:after="0" w:line="277"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ACORD 24 and 25 certificates of insurance with respect to each of the businesses and real properties of the Borrower and its Restricted Subsidiaries in such amounts and with such carriers as are reasonably acceptable to the Bank</w:t>
      </w:r>
    </w:p>
    <w:p>
      <w:pPr>
        <w:spacing w:after="0" w:line="62" w:lineRule="exact"/>
        <w:rPr>
          <w:rFonts w:ascii="Arial" w:cs="Arial" w:eastAsia="Arial" w:hAnsi="Arial"/>
          <w:sz w:val="18"/>
          <w:szCs w:val="18"/>
          <w:color w:val="auto"/>
        </w:rPr>
      </w:pPr>
    </w:p>
    <w:p>
      <w:pPr>
        <w:ind w:left="1280" w:hanging="402"/>
        <w:spacing w:after="0"/>
        <w:tabs>
          <w:tab w:leader="none" w:pos="12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Original stock certificates evidencing 65% of the Equity Interests in the Target.</w:t>
      </w:r>
    </w:p>
    <w:p>
      <w:pPr>
        <w:spacing w:after="0" w:line="117" w:lineRule="exact"/>
        <w:rPr>
          <w:rFonts w:ascii="Arial" w:cs="Arial" w:eastAsia="Arial" w:hAnsi="Arial"/>
          <w:sz w:val="18"/>
          <w:szCs w:val="18"/>
          <w:color w:val="auto"/>
        </w:rPr>
      </w:pPr>
    </w:p>
    <w:p>
      <w:pPr>
        <w:ind w:left="440" w:hanging="247"/>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Opinions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60" w:right="60" w:firstLine="218"/>
        <w:spacing w:after="0" w:line="264" w:lineRule="auto"/>
        <w:tabs>
          <w:tab w:leader="none" w:pos="11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Borrower shall have requested Richard A. Firehammer, Jr., its Senior Vice President, General Counsel and Secretary, to prepare a written opinion, addressed to the Bank and dated the Effective Date, covering the matters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and such opinion shall have been delivered to the Bank.</w:t>
      </w:r>
    </w:p>
    <w:p>
      <w:pPr>
        <w:spacing w:after="0" w:line="73" w:lineRule="exact"/>
        <w:rPr>
          <w:rFonts w:ascii="Arial" w:cs="Arial" w:eastAsia="Arial" w:hAnsi="Arial"/>
          <w:sz w:val="18"/>
          <w:szCs w:val="18"/>
          <w:color w:val="auto"/>
        </w:rPr>
      </w:pPr>
    </w:p>
    <w:p>
      <w:pPr>
        <w:ind w:left="660" w:firstLine="218"/>
        <w:spacing w:after="0" w:line="308" w:lineRule="auto"/>
        <w:tabs>
          <w:tab w:leader="none" w:pos="115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Borrower shall have requested Jones Day, its Hong Kong local counsel, to prepare a written opinion, addressed to the Bank and dated the Effective Date, in form and substances satisfactory to the Bank, and such opinion shall have been delivered to the Bank.</w:t>
      </w:r>
    </w:p>
    <w:p>
      <w:pPr>
        <w:spacing w:after="0" w:line="38" w:lineRule="exact"/>
        <w:rPr>
          <w:rFonts w:ascii="Arial" w:cs="Arial" w:eastAsia="Arial" w:hAnsi="Arial"/>
          <w:sz w:val="17"/>
          <w:szCs w:val="17"/>
          <w:color w:val="auto"/>
        </w:rPr>
      </w:pPr>
    </w:p>
    <w:p>
      <w:pPr>
        <w:ind w:left="-40" w:right="80" w:firstLine="233"/>
        <w:spacing w:after="0" w:line="277" w:lineRule="auto"/>
        <w:tabs>
          <w:tab w:leader="none" w:pos="43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Borrower shall have performed and complied with all agreements, terms, and conditions in this Agreement required to be performed or complied with by the Borrower prior to or simultaneously with the Effective Date.</w:t>
      </w:r>
    </w:p>
    <w:p>
      <w:pPr>
        <w:spacing w:after="0" w:line="62" w:lineRule="exact"/>
        <w:rPr>
          <w:rFonts w:ascii="Arial" w:cs="Arial" w:eastAsia="Arial" w:hAnsi="Arial"/>
          <w:sz w:val="18"/>
          <w:szCs w:val="18"/>
          <w:color w:val="auto"/>
        </w:rPr>
      </w:pPr>
    </w:p>
    <w:p>
      <w:pPr>
        <w:ind w:left="-40" w:right="80" w:firstLine="233"/>
        <w:spacing w:after="0" w:line="259"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Pledge Agreement</w:t>
      </w:r>
      <w:r>
        <w:rPr>
          <w:rFonts w:ascii="Arial" w:cs="Arial" w:eastAsia="Arial" w:hAnsi="Arial"/>
          <w:sz w:val="18"/>
          <w:szCs w:val="18"/>
          <w:color w:val="auto"/>
        </w:rPr>
        <w:t>. The Pledge Agreement (or financing statements with respect thereto) shall have been appropriately filed or recorded to the satisfaction of the Bank; any pledged collateral shall have been duly delivered to the Bank; any title insurance required by the Bank (with endorsements required by the Bank) shall have been obtained and be satisfactory to the Bank; and the priority and perfection of the Liens created by the Pledge Agreement shall have been established to the satisfaction of the Bank and its counsel.</w:t>
      </w:r>
    </w:p>
    <w:p>
      <w:pPr>
        <w:spacing w:after="0" w:line="78" w:lineRule="exact"/>
        <w:rPr>
          <w:rFonts w:ascii="Arial" w:cs="Arial" w:eastAsia="Arial" w:hAnsi="Arial"/>
          <w:sz w:val="18"/>
          <w:szCs w:val="18"/>
          <w:color w:val="auto"/>
        </w:rPr>
      </w:pPr>
    </w:p>
    <w:p>
      <w:pPr>
        <w:ind w:left="440" w:hanging="247"/>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Form M1</w:t>
      </w:r>
      <w:r>
        <w:rPr>
          <w:rFonts w:ascii="Arial" w:cs="Arial" w:eastAsia="Arial" w:hAnsi="Arial"/>
          <w:sz w:val="18"/>
          <w:szCs w:val="18"/>
          <w:color w:val="auto"/>
        </w:rPr>
        <w:t>. A Form M1 shall have been prepared and filed in Hong Kong.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26" w:name="page127"/>
    <w:bookmarkEnd w:id="126"/>
    <w:p>
      <w:pPr>
        <w:ind w:left="-20" w:right="380" w:firstLine="233"/>
        <w:spacing w:after="0" w:line="279" w:lineRule="auto"/>
        <w:tabs>
          <w:tab w:leader="none" w:pos="43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All corporate and legal proceedings relating to the Borrower and all instruments and agreements in connection with the transactions contemplated by this Agreement shall be satisfactory in scope, form, and substance to the Bank and its counsel, and the Bank shall have received all information and copies of all documents, including records of corporate proceedings, as the Bank or its counsel reasonably has requested in connection therewith, such documents where appropriate to be certified by proper corporate or governmental authorities.</w:t>
      </w:r>
    </w:p>
    <w:p>
      <w:pPr>
        <w:spacing w:after="0" w:line="63" w:lineRule="exact"/>
        <w:rPr>
          <w:rFonts w:ascii="Arial" w:cs="Arial" w:eastAsia="Arial" w:hAnsi="Arial"/>
          <w:sz w:val="17"/>
          <w:szCs w:val="17"/>
          <w:color w:val="auto"/>
        </w:rPr>
      </w:pPr>
    </w:p>
    <w:p>
      <w:pPr>
        <w:ind w:left="-20" w:right="160" w:firstLine="233"/>
        <w:spacing w:after="0" w:line="34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The Bank shall have received all other fees and other amounts due and payable by the Borrower on or prior to the Effective Date, including the facility fee described in Section 2.14 and the reasonable fees and expenses of counsel to the Bank payable pursuant to Section 8.2.</w:t>
      </w:r>
    </w:p>
    <w:p>
      <w:pPr>
        <w:spacing w:after="0" w:line="16"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Any one or more of the conditions set forth above that the Borrower has not satisfied on or before the date of disbursement of the Term Loan and the initial Revolving Loan under this Agreement shall not be deemed permanently waived by the Bank unless the Bank waives the same in a writing that expressly states that the waiver is permanent, and in all cases in which the waiver is not stated to be permanent the Bank may at any later time insist upon compliance and satisfaction of any such condition as a condition to any subsequent Revolving Loan or Letter of Credit hereunder, and the Borrower’s failure to comply with any such condition within 5 Banking Days’ written notice from the Bank to the Borrower shall constitute an Event of Default under this Agreement.</w:t>
      </w:r>
    </w:p>
    <w:p>
      <w:pPr>
        <w:spacing w:after="0" w:line="85" w:lineRule="exact"/>
        <w:rPr>
          <w:sz w:val="20"/>
          <w:szCs w:val="20"/>
          <w:color w:val="auto"/>
        </w:rPr>
      </w:pPr>
    </w:p>
    <w:p>
      <w:pPr>
        <w:ind w:left="220" w:right="280" w:firstLine="225"/>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Conditions Precedent to the Term Loan and all Revolving Loans and Letters of Credit</w:t>
      </w:r>
      <w:r>
        <w:rPr>
          <w:rFonts w:ascii="Arial" w:cs="Arial" w:eastAsia="Arial" w:hAnsi="Arial"/>
          <w:sz w:val="18"/>
          <w:szCs w:val="18"/>
          <w:color w:val="auto"/>
        </w:rPr>
        <w:t>. The Bank’s obligation to make the Term Loan or any Revolving Loan (including the initial Revolving Loan) or to issue any Letters of Credit (including the initial Letter of Credit) shall be subject to fulfillment of the following conditions:</w:t>
      </w:r>
    </w:p>
    <w:p>
      <w:pPr>
        <w:spacing w:after="0" w:line="73" w:lineRule="exact"/>
        <w:rPr>
          <w:sz w:val="20"/>
          <w:szCs w:val="20"/>
          <w:color w:val="auto"/>
        </w:rPr>
      </w:pPr>
    </w:p>
    <w:p>
      <w:pPr>
        <w:ind w:left="-20" w:right="260" w:firstLine="233"/>
        <w:spacing w:after="0" w:line="308" w:lineRule="auto"/>
        <w:tabs>
          <w:tab w:leader="none" w:pos="45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in Article IV shall be true and correct on and as of the Effective Date and on the date of each Revolving Loan and the date of issuance of each Letter of Credit with the same force and effect as if made on such dates.</w:t>
      </w:r>
    </w:p>
    <w:p>
      <w:pPr>
        <w:spacing w:after="0" w:line="38" w:lineRule="exact"/>
        <w:rPr>
          <w:rFonts w:ascii="Arial" w:cs="Arial" w:eastAsia="Arial" w:hAnsi="Arial"/>
          <w:sz w:val="17"/>
          <w:szCs w:val="17"/>
          <w:color w:val="auto"/>
        </w:rPr>
      </w:pPr>
    </w:p>
    <w:p>
      <w:pPr>
        <w:ind w:left="-20" w:right="80" w:firstLine="233"/>
        <w:spacing w:after="0" w:line="27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on the Effective Date and on the date of each Revolving Loan and the date of issuance of each Letter of Credit or will exist after giving effect to each Revolving Loan made or Letter of Credit issued on such dates.</w:t>
      </w:r>
    </w:p>
    <w:p>
      <w:pPr>
        <w:spacing w:after="0" w:line="62" w:lineRule="exact"/>
        <w:rPr>
          <w:rFonts w:ascii="Arial" w:cs="Arial" w:eastAsia="Arial" w:hAnsi="Arial"/>
          <w:sz w:val="18"/>
          <w:szCs w:val="18"/>
          <w:color w:val="auto"/>
        </w:rPr>
      </w:pPr>
    </w:p>
    <w:p>
      <w:pPr>
        <w:ind w:left="-20" w:right="240" w:firstLine="233"/>
        <w:spacing w:after="0" w:line="277" w:lineRule="auto"/>
        <w:tabs>
          <w:tab w:leader="none" w:pos="45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Notices and Requests</w:t>
      </w:r>
      <w:r>
        <w:rPr>
          <w:rFonts w:ascii="Arial" w:cs="Arial" w:eastAsia="Arial" w:hAnsi="Arial"/>
          <w:sz w:val="18"/>
          <w:szCs w:val="18"/>
          <w:color w:val="auto"/>
        </w:rPr>
        <w:t>. The Bank shall have received the Borrower’s request for such Revolving Loan as required under Section 2.2 or its application for such Letter of Credit specified under Section 2.8.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induce the Bank to enter into this Agreement, to make the Loans, and to issue Letters of Credit, the Borrower represents and warrants to the Bank:</w:t>
      </w:r>
    </w:p>
    <w:p>
      <w:pPr>
        <w:spacing w:after="0" w:line="140" w:lineRule="exact"/>
        <w:rPr>
          <w:sz w:val="20"/>
          <w:szCs w:val="20"/>
          <w:color w:val="auto"/>
        </w:rPr>
      </w:pPr>
    </w:p>
    <w:p>
      <w:pPr>
        <w:ind w:left="220" w:right="120" w:firstLine="225"/>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Standing, Etc</w:t>
      </w:r>
      <w:r>
        <w:rPr>
          <w:rFonts w:ascii="Arial" w:cs="Arial" w:eastAsia="Arial" w:hAnsi="Arial"/>
          <w:sz w:val="18"/>
          <w:szCs w:val="18"/>
          <w:color w:val="auto"/>
        </w:rPr>
        <w:t>. The Borrower is a corporation duly incorporated, validly existing, and in good standing under the laws of the State of Delaware and has all requisite power and authority to carry on its business as now conducted, to enter into this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127" w:name="page128"/>
    <w:bookmarkEnd w:id="127"/>
    <w:p>
      <w:pPr>
        <w:ind w:left="220"/>
        <w:spacing w:after="0" w:line="271" w:lineRule="auto"/>
        <w:rPr>
          <w:sz w:val="20"/>
          <w:szCs w:val="20"/>
          <w:color w:val="auto"/>
        </w:rPr>
      </w:pPr>
      <w:r>
        <w:rPr>
          <w:rFonts w:ascii="Arial" w:cs="Arial" w:eastAsia="Arial" w:hAnsi="Arial"/>
          <w:sz w:val="17"/>
          <w:szCs w:val="17"/>
          <w:color w:val="auto"/>
        </w:rPr>
        <w:t>Agreement, to issue the Notes, and to perform its obligations under the Transaction Documents. Each Restricted Subsidiary is duly organized, validly existing, and in good standing under the laws of the jurisdiction of its organization and has all requisite power and authority to carry on its business as now conducted. Each of the Borrower and the Restricted Subsidiaries (a) holds all certificates of authority, licenses, and permits necessary to carry on its business as presently conducted in each jurisdiction in which it is carrying on such business, except where the failure to hold such certificates, licenses, or permits could not constitute a Material Adverse Occurrence and (b) is duly qualified and in good standing as a foreign corporation (or other organization) in each jurisdiction in which the character of the properties it owns, leases, or operates or the business it conducts makes such qualification necessary and the failure so to qualify could permanently preclude the Borrower or such Restricted Subsidiary from enforcing its rights with respect to any assets or expose the Borrower to any Material Adverse Occurrence.</w:t>
      </w:r>
    </w:p>
    <w:p>
      <w:pPr>
        <w:spacing w:after="0" w:line="71" w:lineRule="exact"/>
        <w:rPr>
          <w:sz w:val="20"/>
          <w:szCs w:val="20"/>
          <w:color w:val="auto"/>
        </w:rPr>
      </w:pPr>
    </w:p>
    <w:p>
      <w:pPr>
        <w:ind w:left="220" w:firstLine="225"/>
        <w:spacing w:after="0" w:line="25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Authorization and Validity</w:t>
      </w:r>
      <w:r>
        <w:rPr>
          <w:rFonts w:ascii="Arial" w:cs="Arial" w:eastAsia="Arial" w:hAnsi="Arial"/>
          <w:sz w:val="18"/>
          <w:szCs w:val="18"/>
          <w:color w:val="auto"/>
        </w:rPr>
        <w:t>. The execution, delivery, and performance by the Borrower of the Transaction Documents have been duly authorized by all necessary corporate action by the Borrower. This Agreement constitutes, and the Notes when executed will constitute, the legal, valid, and binding obligation of the Borrower, enforceable against the Borrower in accordance with its terms, subject to limitations as to enforceability that might result from bankruptcy, insolvency, moratorium, and other similar laws affecting creditors’ rights generally and subject to limitations on the availability of equitable remedies.</w:t>
      </w:r>
    </w:p>
    <w:p>
      <w:pPr>
        <w:spacing w:after="0" w:line="80" w:lineRule="exact"/>
        <w:rPr>
          <w:sz w:val="20"/>
          <w:szCs w:val="20"/>
          <w:color w:val="auto"/>
        </w:rPr>
      </w:pPr>
    </w:p>
    <w:p>
      <w:pPr>
        <w:ind w:left="220" w:right="40" w:firstLine="225"/>
        <w:spacing w:after="0" w:line="271"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No Conflict; No Default</w:t>
      </w:r>
      <w:r>
        <w:rPr>
          <w:rFonts w:ascii="Arial" w:cs="Arial" w:eastAsia="Arial" w:hAnsi="Arial"/>
          <w:sz w:val="17"/>
          <w:szCs w:val="17"/>
          <w:color w:val="auto"/>
        </w:rPr>
        <w:t>. The Borrower’s execution, delivery, and performance of the Transaction Documents will not (a) violate any provision of any law, statute, rule, or regulation or any order, writ, judgment, injunction, decree, determination, or award of any court, governmental agency, or arbitrator presently in effect applying to the Borrower, (b) violate or contravene any provision of the Borrower’s Restated Certificate of Incorporation or Amended and Restated Bylaws, or (c) result in a breach of or constitute a default under any indenture, loan or credit agreement, or other agreement, lease, or instrument to which the Borrower is a party or by which it or any of its properties may be bound or result in the creation of any Lien thereunder. Neither the Borrower nor any Restricted Subsidiary is in default under or in violation of any such law, statute, rule, regulation, order, writ, judgment, injunction, decree, determination, or award or any such indenture, loan or credit agreement, or other agreement, lease, or instrument in any case in which the consequences of such default or violation could constitute a Material Adverse Occurrence.</w:t>
      </w:r>
    </w:p>
    <w:p>
      <w:pPr>
        <w:spacing w:after="0" w:line="71" w:lineRule="exact"/>
        <w:rPr>
          <w:sz w:val="20"/>
          <w:szCs w:val="20"/>
          <w:color w:val="auto"/>
        </w:rPr>
      </w:pPr>
    </w:p>
    <w:p>
      <w:pPr>
        <w:ind w:left="220" w:right="620" w:firstLine="225"/>
        <w:spacing w:after="0" w:line="31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Government Consent</w:t>
      </w:r>
      <w:r>
        <w:rPr>
          <w:rFonts w:ascii="Arial" w:cs="Arial" w:eastAsia="Arial" w:hAnsi="Arial"/>
          <w:sz w:val="16"/>
          <w:szCs w:val="16"/>
          <w:color w:val="auto"/>
        </w:rPr>
        <w:t>. No order, consent, approval, license, authorization, or validation of, filing, recording, or registration with, or exemption by any governmental or public body or authority is required on the Borrower’s part to authorize, or is required in connection with, the execution, delivery, and performance of, or the legality, validity, binding effect, or enforceability of, the Transaction Documents.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Financial Statements and Condition</w:t>
      </w:r>
      <w:r>
        <w:rPr>
          <w:rFonts w:ascii="Arial" w:cs="Arial" w:eastAsia="Arial" w:hAnsi="Arial"/>
          <w:sz w:val="18"/>
          <w:szCs w:val="18"/>
          <w:color w:val="auto"/>
        </w:rPr>
        <w:t>.</w:t>
      </w:r>
    </w:p>
    <w:p>
      <w:pPr>
        <w:spacing w:after="0" w:line="117" w:lineRule="exact"/>
        <w:rPr>
          <w:sz w:val="20"/>
          <w:szCs w:val="20"/>
          <w:color w:val="auto"/>
        </w:rPr>
      </w:pPr>
    </w:p>
    <w:p>
      <w:pPr>
        <w:ind w:left="-20" w:right="180" w:firstLine="233"/>
        <w:spacing w:after="0" w:line="264" w:lineRule="auto"/>
        <w:tabs>
          <w:tab w:leader="none" w:pos="4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Target as at its fiscal years ended March 31, 2008, March 31, 2009, and March 31, 2010, and the unaudited financial statements of the Target for the five months ending August 31, 2010, copies of each of which have been delivered to the Bank, were prepared in accordance with Hong Kong financial reporting standards on a consistent basis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28" w:name="page129"/>
    <w:bookmarkEnd w:id="128"/>
    <w:p>
      <w:pPr>
        <w:ind w:right="20"/>
        <w:spacing w:after="0" w:line="276" w:lineRule="auto"/>
        <w:rPr>
          <w:sz w:val="20"/>
          <w:szCs w:val="20"/>
          <w:color w:val="auto"/>
        </w:rPr>
      </w:pPr>
      <w:r>
        <w:rPr>
          <w:rFonts w:ascii="Arial" w:cs="Arial" w:eastAsia="Arial" w:hAnsi="Arial"/>
          <w:sz w:val="17"/>
          <w:szCs w:val="17"/>
          <w:color w:val="auto"/>
        </w:rPr>
        <w:t>(except for, as to the interim statements, the absence of footnotes and normal year-end audit adjustments) and fairly present the consolidated financial condition of the Target as at such dates and the results of its operations and changes in financial position for the respective periods then ended. As of the dates of such financial statements, the Target did not have any material obligation, contingent liability, liability for taxes, or long-term lease obligation that is not reflected in such financial statements or in the notes thereto. Since March 31, 2010, there has been no Material Adverse Occurrence with respect to the Target. On and after the Effective Date, there has been no Material Adverse Occurrence with respect to the Borrower.</w:t>
      </w:r>
    </w:p>
    <w:p>
      <w:pPr>
        <w:spacing w:after="0" w:line="64" w:lineRule="exact"/>
        <w:rPr>
          <w:sz w:val="20"/>
          <w:szCs w:val="20"/>
          <w:color w:val="auto"/>
        </w:rPr>
      </w:pPr>
    </w:p>
    <w:p>
      <w:pPr>
        <w:ind w:right="80" w:firstLine="233"/>
        <w:spacing w:after="0" w:line="255" w:lineRule="auto"/>
        <w:tabs>
          <w:tab w:leader="none" w:pos="4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consolidated financial projections (including an operating budget and a cash flow budget) of the Borrower delivered pursuant to Section 3.1(a)(xi) were prepared by the Borrower in good faith utilizing assumptions believed by the Borrower to be reasonable at the time. The accompanying unaudited consolidated pro forma balance sheet of the Borrower as at the Effective Date, adjusted to give effect to the consummation of the Acquisition (Enson), the transactions contemplated by the Transaction Documents, and the financings contemplated hereby as if such transactions had occurred on such date (excluding the impact of the revaluation of the balance sheet in accordance with FASB 141 “Business Combinations”), is consistent in all material respects with such projections.</w:t>
      </w:r>
    </w:p>
    <w:p>
      <w:pPr>
        <w:spacing w:after="0" w:line="85" w:lineRule="exact"/>
        <w:rPr>
          <w:sz w:val="20"/>
          <w:szCs w:val="20"/>
          <w:color w:val="auto"/>
        </w:rPr>
      </w:pPr>
    </w:p>
    <w:p>
      <w:pPr>
        <w:ind w:left="240" w:firstLine="225"/>
        <w:spacing w:after="0" w:line="25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Litigation</w:t>
      </w:r>
      <w:r>
        <w:rPr>
          <w:rFonts w:ascii="Arial" w:cs="Arial" w:eastAsia="Arial" w:hAnsi="Arial"/>
          <w:sz w:val="18"/>
          <w:szCs w:val="18"/>
          <w:color w:val="auto"/>
        </w:rPr>
        <w:t>. Other than as set forth in the Borrower’s financial statements delivered pursuant to Section 4.5, there are no actions, suits, or proceedings pending or, to the Borrower’s knowledge, threatened against or affecting the Borrower, any Subsidiary, or any of their properties before any court or arbitrator or any governmental department, board, agency, or other instrumentality that, if determined adversely to the Borrower or any Subsidiary, could constitute a Material Adverse Occurrence, and there are no unsatisfied judgments against the Borrower or any Subsidiary the satisfaction or payment of which could constitute a Material Adverse Occurrence.</w:t>
      </w:r>
    </w:p>
    <w:p>
      <w:pPr>
        <w:spacing w:after="0" w:line="80" w:lineRule="exact"/>
        <w:rPr>
          <w:sz w:val="20"/>
          <w:szCs w:val="20"/>
          <w:color w:val="auto"/>
        </w:rPr>
      </w:pPr>
    </w:p>
    <w:p>
      <w:pPr>
        <w:ind w:left="240" w:right="20" w:firstLine="225"/>
        <w:spacing w:after="0" w:line="270"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Environmental, Health and Safety Laws</w:t>
      </w:r>
      <w:r>
        <w:rPr>
          <w:rFonts w:ascii="Arial" w:cs="Arial" w:eastAsia="Arial" w:hAnsi="Arial"/>
          <w:sz w:val="17"/>
          <w:szCs w:val="17"/>
          <w:color w:val="auto"/>
        </w:rPr>
        <w:t xml:space="preserve">. There exists no violation by the Borrower or any Restricted Subsidiary of any applicable federal, state, or local law, rule or regulation, or order of any government, governmental department, board, agency, or other instrumentality relating to environmental, pollution, health, or safety matters that has imposed, will impose, or threatens to impose a material liability on the Borrower or a Restricted Subsidiary or that has required or would require a material expenditure by the Borrower or a Restricted Subsidiary to cure. Neither the Borrower nor any Restricted Subsidiary has received any notice to the effect that any part of its operations or properties is not in material compliance with any such law, rule, regulation, or order or notice that it or its property is the subject of any governmental investigation evaluating whether any remedial action is needed to respond to any release of any toxic or hazardous waste or substance into the environment, which non-compliance or remedial action could constitute a Material Adverse Occurrence. Except as set out on </w:t>
      </w:r>
      <w:r>
        <w:rPr>
          <w:rFonts w:ascii="Arial" w:cs="Arial" w:eastAsia="Arial" w:hAnsi="Arial"/>
          <w:sz w:val="17"/>
          <w:szCs w:val="17"/>
          <w:u w:val="single" w:color="auto"/>
          <w:color w:val="auto"/>
        </w:rPr>
        <w:t>Schedule 4.7</w:t>
      </w:r>
      <w:r>
        <w:rPr>
          <w:rFonts w:ascii="Arial" w:cs="Arial" w:eastAsia="Arial" w:hAnsi="Arial"/>
          <w:sz w:val="17"/>
          <w:szCs w:val="17"/>
          <w:color w:val="auto"/>
        </w:rPr>
        <w:t>, the Borrower has no knowledge that it, its property, any Restricted Subsidiary, or any Restricted Subsidiary’s property will become subject to environmental laws or regulations during the term of this Agreement, compliance with which could require Capital Expenditures that could constitute a Material Adverse Occurrence.</w:t>
      </w:r>
    </w:p>
    <w:p>
      <w:pPr>
        <w:spacing w:after="0" w:line="70" w:lineRule="exact"/>
        <w:rPr>
          <w:sz w:val="20"/>
          <w:szCs w:val="20"/>
          <w:color w:val="auto"/>
        </w:rPr>
      </w:pPr>
    </w:p>
    <w:p>
      <w:pPr>
        <w:ind w:left="240" w:right="260" w:firstLine="225"/>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ERISA</w:t>
      </w:r>
      <w:r>
        <w:rPr>
          <w:rFonts w:ascii="Arial" w:cs="Arial" w:eastAsia="Arial" w:hAnsi="Arial"/>
          <w:sz w:val="18"/>
          <w:szCs w:val="18"/>
          <w:color w:val="auto"/>
        </w:rPr>
        <w:t>. Each Plan is in substantial compliance with all applicable requirements of ERISA and the Code and with all material applicable rulings and regulations issued under the provisions of ERISA and the Code setting forth those requirements. No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9" w:name="page130"/>
    <w:bookmarkEnd w:id="129"/>
    <w:p>
      <w:pPr>
        <w:ind w:right="60"/>
        <w:spacing w:after="0" w:line="276" w:lineRule="auto"/>
        <w:rPr>
          <w:sz w:val="20"/>
          <w:szCs w:val="20"/>
          <w:color w:val="auto"/>
        </w:rPr>
      </w:pPr>
      <w:r>
        <w:rPr>
          <w:rFonts w:ascii="Arial" w:cs="Arial" w:eastAsia="Arial" w:hAnsi="Arial"/>
          <w:sz w:val="17"/>
          <w:szCs w:val="17"/>
          <w:color w:val="auto"/>
        </w:rPr>
        <w:t>Reportable Event has occurred and is continuing with respect to any Plan. All of the minimum funding standards applicable to such Plans have been satisfied and there exists no event or condition that would reasonably be expected to result in the institution of proceedings to terminate any Plan under § 4042 of ERISA. With respect to each Plan subject to Title IV of ERISA, as of the most recent valuation date for such Plan, the present value (determined on the basis of reasonable assumptions employed by the independent actuary for such Plan and previously furnished in writing to the Bank) of such Plan’s projected benefit obligations did not exceed the fair market value of such Plan’s assets.</w:t>
      </w:r>
    </w:p>
    <w:p>
      <w:pPr>
        <w:spacing w:after="0" w:line="64" w:lineRule="exact"/>
        <w:rPr>
          <w:sz w:val="20"/>
          <w:szCs w:val="20"/>
          <w:color w:val="auto"/>
        </w:rPr>
      </w:pPr>
    </w:p>
    <w:p>
      <w:pPr>
        <w:jc w:val="both"/>
        <w:ind w:right="300" w:firstLine="225"/>
        <w:spacing w:after="0" w:line="286"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Neither the Borrower nor any Subsidiary is engaged principally or as one of its important activities in the business of extending credit for the purpose of purchasing or carrying margin stock (as defined in Regulation U of the Board). The value of all margin stock owned by the Borrower does not constitute more than 25% of the value of the assets of the Borrower.</w:t>
      </w:r>
    </w:p>
    <w:p>
      <w:pPr>
        <w:spacing w:after="0" w:line="5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Title to Property; Leases; Liens; Subordination</w:t>
      </w:r>
      <w:r>
        <w:rPr>
          <w:rFonts w:ascii="Arial" w:cs="Arial" w:eastAsia="Arial" w:hAnsi="Arial"/>
          <w:sz w:val="18"/>
          <w:szCs w:val="18"/>
          <w:color w:val="auto"/>
        </w:rPr>
        <w:t>. Each of the Borrower and its Restricted Subsidiaries has (a) good and marketable title to its real properties and (b) good and sufficient title to, or valid, subsisting, and enforceable leasehold interest in, its other material properties, including all real properties and other properties and assets referred to as owned by the Borrower or any of its Restricted Subsidiaries in the most recent financial statement referred to in Section 5.1 (other than property disposed of since the date of such financial statements in the ordinary course of business). None of such properties is subject to a Lien, except as allowed under Section 6.12. The Borrower has not subordinated any of its rights under any obligation owing to it to the rights of any other person.</w:t>
      </w:r>
    </w:p>
    <w:p>
      <w:pPr>
        <w:spacing w:after="0" w:line="85"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the Subsidiaries has filed all federal, state, and local tax returns required to be filed and has paid or made provision for the payment of all taxes due and payable pursuant to such returns and pursuant to any assessments made against it or any of its property and all other taxes, fees, and other charges imposed on it or any of its property by any governmental authority (other than taxes, fees, or charges the amount or validity of which is currently being contested in good faith by appropriate proceedings and with respect to which reserves in accordance with GAAP have been provided on the books of the Borrower). No tax Liens have been filed and no material claims are being asserted with respect to any such taxes, fees, or charges. The charges, accruals, and reserves on the books of the Borrower in respect of taxes and other governmental charges are adequate, and the Borrower knows of no proposed material tax assessment against it or any Subsidiary or any basis therefor.</w:t>
      </w:r>
    </w:p>
    <w:p>
      <w:pPr>
        <w:spacing w:after="0" w:line="59"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Trademarks; Patents</w:t>
      </w:r>
      <w:r>
        <w:rPr>
          <w:rFonts w:ascii="Arial" w:cs="Arial" w:eastAsia="Arial" w:hAnsi="Arial"/>
          <w:sz w:val="18"/>
          <w:szCs w:val="18"/>
          <w:color w:val="auto"/>
        </w:rPr>
        <w:t>. Each of the Borrower and the Restricted Subsidiaries possesses or has the right to use all of the patents, trademarks, trade names, service marks, and copyrights, and applications therefor, and all technology, know-how, processes, methods, and designs used in or necessary for the conduct of its business, without known conflict with the rights of others.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Neither the Borrower nor any Restricted Subsidiary is a party to or otherwise bound by any indenture, loan or credit agreement, or lease or other agreement or instrument or subject to any charter, corporate, or partnership restriction that could constitute a Material Adverse Occurrence.</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130" w:name="page131"/>
    <w:bookmarkEnd w:id="130"/>
    <w:p>
      <w:pPr>
        <w:ind w:firstLine="225"/>
        <w:spacing w:after="0" w:line="312"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Force Majeure</w:t>
      </w:r>
      <w:r>
        <w:rPr>
          <w:rFonts w:ascii="Arial" w:cs="Arial" w:eastAsia="Arial" w:hAnsi="Arial"/>
          <w:sz w:val="16"/>
          <w:szCs w:val="16"/>
          <w:color w:val="auto"/>
        </w:rPr>
        <w:t>. Since the date of the most recent financial statement referred to in Section 5.1, the business, properties, and other assets of the Borrower and the Restricted Subsidiaries have not been materially and adversely affected in any way as the result of any fire or other casualty, strike, lockout, or other labor trouble, embargo, sabotage, confiscation, condemnation, riot, civil disturbance, activity of armed forces, or act of God.</w:t>
      </w:r>
    </w:p>
    <w:p>
      <w:pPr>
        <w:spacing w:after="0" w:line="39"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nor any Subsidiary is an “investment company” or a company “controlled” by an investment company within the meaning of the Investment Company Act of 1940, as amended.</w:t>
      </w:r>
    </w:p>
    <w:p>
      <w:pPr>
        <w:spacing w:after="0" w:line="62"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Retirement Benefits</w:t>
      </w:r>
      <w:r>
        <w:rPr>
          <w:rFonts w:ascii="Arial" w:cs="Arial" w:eastAsia="Arial" w:hAnsi="Arial"/>
          <w:sz w:val="18"/>
          <w:szCs w:val="18"/>
          <w:color w:val="auto"/>
        </w:rPr>
        <w:t>. Except as required under § 4980B of the Code, § 601 of ERISA, or applicable state law, the Borrower is not obligated to provide post-retirement medical or insurance benefits with respect to employees or former employees.</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Full Disclosure</w:t>
      </w:r>
      <w:r>
        <w:rPr>
          <w:rFonts w:ascii="Arial" w:cs="Arial" w:eastAsia="Arial" w:hAnsi="Arial"/>
          <w:sz w:val="18"/>
          <w:szCs w:val="18"/>
          <w:color w:val="auto"/>
        </w:rPr>
        <w:t>. Subject to the following sentence, neither the financial statements referred to in Section 5.1 nor any other certificate, written statement, exhibit, or report furnished by or on behalf of the Borrower in connection with or pursuant to this Agreement contains any untrue statement of a material fact or omits any material fact necessary to make the statements therein not misleading. Certificates or statements furnished by or on behalf of the Borrower to the Bank consisting of projections or forecasts of future results or events have been prepared in good faith and based on good faith estimates and assumptions of the management of the Borrower, and the Borrower has no reason to believe that such projections or forecasts are not reasonable.</w:t>
      </w:r>
    </w:p>
    <w:p>
      <w:pPr>
        <w:spacing w:after="0" w:line="85"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4.18</w:t>
      </w:r>
      <w:r>
        <w:rPr>
          <w:rFonts w:ascii="Arial" w:cs="Arial" w:eastAsia="Arial" w:hAnsi="Arial"/>
          <w:sz w:val="17"/>
          <w:szCs w:val="17"/>
          <w:color w:val="auto"/>
        </w:rPr>
        <w:t xml:space="preserve"> sets forth as of the date of this Agreement (after giving effect to the Acquisition (Enson)) a list of all Subsidiaries, the number and percentage of the shares of each class of Equity Interests owned beneficially or of record by the Borrower or any Subsidiary therein and the jurisdiction of incorporation of each Subsidiary, and designates whether such Subsidiary is a Restricted Subsidiary.</w:t>
      </w:r>
    </w:p>
    <w:p>
      <w:pPr>
        <w:spacing w:after="0" w:line="5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pending or threatened strikes, lockouts, or slowdowns against the Borrower or any Restricted Subsidiary. Neither the Borrower nor any Restricted Subsidiary has been or is in violation in any material respect of the Fair Labor Standards Act or any other applicable federal, state, local, or foreign law dealing with such matters. All payments due from the Borrower or any Restricted Subsidiary on account of wages and employee health and welfare insurance and other benefits (in each case, except for de minimis amounts) have been paid or accrued as a liability on the books of the Borrower or such Restricted Subsidiary. The consummation of the transactions contemplated under the Transaction Documents will not give rise to any right of termination or right of renegotiation on the part of any union under any collective bargaining agreement to which the Borrower or any Restricted Subsidiary is bound.</w:t>
      </w:r>
    </w:p>
    <w:p>
      <w:pPr>
        <w:spacing w:after="0" w:line="81"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Solvency</w:t>
      </w:r>
      <w:r>
        <w:rPr>
          <w:rFonts w:ascii="Arial" w:cs="Arial" w:eastAsia="Arial" w:hAnsi="Arial"/>
          <w:sz w:val="18"/>
          <w:szCs w:val="18"/>
          <w:color w:val="auto"/>
        </w:rPr>
        <w:t>. As of the Effective Date, after the making of any Loan and giving effect thereto and after giving effect to the Acquisition (Enson), (a) the fair value of the assets of the Borrower will exceed its debts and liabilities, subordinated, contingent, or otherwise; (b) the present fair saleable value of the property of the Borrower will be greater than the amount that will be required to pay the probable liability of its debts and other liabilities,</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31" w:name="page132"/>
    <w:bookmarkEnd w:id="131"/>
    <w:p>
      <w:pPr>
        <w:ind w:left="240" w:right="40"/>
        <w:spacing w:after="0" w:line="259" w:lineRule="auto"/>
        <w:rPr>
          <w:sz w:val="20"/>
          <w:szCs w:val="20"/>
          <w:color w:val="auto"/>
        </w:rPr>
      </w:pPr>
      <w:r>
        <w:rPr>
          <w:rFonts w:ascii="Arial" w:cs="Arial" w:eastAsia="Arial" w:hAnsi="Arial"/>
          <w:sz w:val="18"/>
          <w:szCs w:val="18"/>
          <w:color w:val="auto"/>
        </w:rPr>
        <w:t>subordinated, contingent, or otherwise, as such debts and other liabilities become absolute and matured; (c) the Borrower will be able to pay its debts and liabilities, subordinated, contingent, or otherwise, as such debts and liabilities become absolute and matured; and (d) the Borrower will not have unreasonably small capital with which to conduct the business in which it is engaged as such business is proposed to be conducted following the Effective Date.</w:t>
      </w:r>
    </w:p>
    <w:p>
      <w:pPr>
        <w:spacing w:after="0" w:line="79" w:lineRule="exact"/>
        <w:rPr>
          <w:sz w:val="20"/>
          <w:szCs w:val="20"/>
          <w:color w:val="auto"/>
        </w:rPr>
      </w:pPr>
    </w:p>
    <w:p>
      <w:pPr>
        <w:ind w:left="240" w:right="20" w:firstLine="225"/>
        <w:spacing w:after="0" w:line="27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Representations and Warranties of Seller</w:t>
      </w:r>
      <w:r>
        <w:rPr>
          <w:rFonts w:ascii="Arial" w:cs="Arial" w:eastAsia="Arial" w:hAnsi="Arial"/>
          <w:sz w:val="18"/>
          <w:szCs w:val="18"/>
          <w:color w:val="auto"/>
        </w:rPr>
        <w:t>. All representations and warranties of the Borrower, and, as of the date hereof, to the knowledge of the Borrower, the Seller (Enson), in the Acquisition Agreement (Enson) are true and correct in all material respects.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AFFIRMATIVE COVENANTS</w:t>
      </w:r>
    </w:p>
    <w:p>
      <w:pPr>
        <w:spacing w:after="0" w:line="103" w:lineRule="exact"/>
        <w:rPr>
          <w:sz w:val="20"/>
          <w:szCs w:val="20"/>
          <w:color w:val="auto"/>
        </w:rPr>
      </w:pPr>
    </w:p>
    <w:p>
      <w:pPr>
        <w:jc w:val="both"/>
        <w:ind w:left="240" w:right="220" w:firstLine="225"/>
        <w:spacing w:after="0" w:line="264" w:lineRule="auto"/>
        <w:rPr>
          <w:sz w:val="20"/>
          <w:szCs w:val="20"/>
          <w:color w:val="auto"/>
        </w:rPr>
      </w:pPr>
      <w:r>
        <w:rPr>
          <w:rFonts w:ascii="Arial" w:cs="Arial" w:eastAsia="Arial" w:hAnsi="Arial"/>
          <w:sz w:val="18"/>
          <w:szCs w:val="18"/>
          <w:color w:val="auto"/>
        </w:rPr>
        <w:t>Until any obligation of the Bank hereunder to make the Loans and to issue Letters of Credit has expired or terminated, the Notes and all of the other Obligations have been paid in full, and all outstanding Letters of Credit have expired or the liability of the Bank thereon has otherwise been discharged, unless the Bank otherwise consents in writing: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Financial Statements and Reports</w:t>
      </w:r>
      <w:r>
        <w:rPr>
          <w:rFonts w:ascii="Arial" w:cs="Arial" w:eastAsia="Arial" w:hAnsi="Arial"/>
          <w:sz w:val="18"/>
          <w:szCs w:val="18"/>
          <w:color w:val="auto"/>
        </w:rPr>
        <w:t>. The Borrower will furnish to the Bank:</w:t>
      </w:r>
    </w:p>
    <w:p>
      <w:pPr>
        <w:spacing w:after="0" w:line="117" w:lineRule="exact"/>
        <w:rPr>
          <w:sz w:val="20"/>
          <w:szCs w:val="20"/>
          <w:color w:val="auto"/>
        </w:rPr>
      </w:pPr>
    </w:p>
    <w:p>
      <w:pPr>
        <w:ind w:firstLine="233"/>
        <w:spacing w:after="0" w:line="285" w:lineRule="auto"/>
        <w:tabs>
          <w:tab w:leader="none" w:pos="4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As soon as available and in any event within 120 days after the end of each fiscal year of the Borrower, (i) the consolidated financial statements of the Borrower and the Subsidiaries consisting of at least statements of income, cash flow, and changes in stockholders’ equity, and a consolidated balance sheet as at the end of such year, setting forth in each case in comparative form corresponding figures from the previous annual audit, certified without qualification by independent certified public accountants of recognized national standing selected by the Borrower and acceptable to the Bank, together with any management letters, management reports, or other supplementary comments or reports to the Borrower or its board of directors furnished by such accountants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unaudited consolidating financial statements for the Borrower.</w:t>
      </w:r>
    </w:p>
    <w:p>
      <w:pPr>
        <w:spacing w:after="0" w:line="102" w:lineRule="exact"/>
        <w:rPr>
          <w:rFonts w:ascii="Arial" w:cs="Arial" w:eastAsia="Arial" w:hAnsi="Arial"/>
          <w:sz w:val="18"/>
          <w:szCs w:val="18"/>
          <w:color w:val="auto"/>
        </w:rPr>
      </w:pPr>
    </w:p>
    <w:p>
      <w:pPr>
        <w:ind w:right="100" w:firstLine="233"/>
        <w:spacing w:after="0" w:line="273" w:lineRule="auto"/>
        <w:tabs>
          <w:tab w:leader="none" w:pos="47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As soon as available and in any event within 60 days after the end of each fiscal quarter, unaudited consolidated statements of income, cash flow, and changes in stockholders’ equity for the Borrower and the Subsidiaries for such quarter and for the period from the beginning of such fiscal year to the end of such quarter, and a consolidated balance sheet of the Borrower as at the end of such quarter, setting forth in comparative form figures for the corresponding period for the preceding fiscal year, accompanied by a certificate signed by the chief financial officer of the Borrower stating that such financial statements present fairly the financial condition of the Borrower and the Subsidiaries and that the same have been prepared in accordance with GAAP (except for the absence of footnotes and subject to year-end audit adjustments as to the interim statements).</w:t>
      </w:r>
    </w:p>
    <w:p>
      <w:pPr>
        <w:spacing w:after="0" w:line="70" w:lineRule="exact"/>
        <w:rPr>
          <w:rFonts w:ascii="Arial" w:cs="Arial" w:eastAsia="Arial" w:hAnsi="Arial"/>
          <w:sz w:val="17"/>
          <w:szCs w:val="17"/>
          <w:color w:val="auto"/>
        </w:rPr>
      </w:pPr>
    </w:p>
    <w:p>
      <w:pPr>
        <w:ind w:right="60" w:firstLine="233"/>
        <w:spacing w:after="0" w:line="291" w:lineRule="auto"/>
        <w:tabs>
          <w:tab w:leader="none" w:pos="4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As soon as practicable and in any event within 60 days after the end of each fiscal quarter, a Compliance Certificate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signed by the chief financial officer of the Borrower and demonstrating in reasonable detail compliance (or noncompliance, as the case may be) with Sections 5.14,</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6.14, 6.15, and 6.16 as at the end of such quarter and stating that as at the end of such quarter there existed no Default or Event of Default or, if a Default or Event of Default existed,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specifying the nature and period of existence thereof and what action the Borrower proposes to take with respect thereto.</w:t>
      </w:r>
    </w:p>
    <w:p>
      <w:pPr>
        <w:spacing w:after="0" w:line="117" w:lineRule="exact"/>
        <w:rPr>
          <w:sz w:val="20"/>
          <w:szCs w:val="20"/>
          <w:color w:val="auto"/>
        </w:rPr>
      </w:pPr>
    </w:p>
    <w:p>
      <w:pPr>
        <w:ind w:right="140" w:firstLine="233"/>
        <w:spacing w:after="0" w:line="259" w:lineRule="auto"/>
        <w:tabs>
          <w:tab w:leader="none" w:pos="47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soon as practicable and in any event within 120 days after the beginning of each fiscal year of the Borrower, statements of forecasted consolidated income for the Borrower and the Subsidiaries on a quarterly basis in such fiscal year and a forecasted consolidated balance sheet of the Borrower and the Subsidiaries, together with supporting assumptions, as at the end of each fiscal quarter, all in reasonable detail and reasonably satisfactory in scope to the Bank.</w:t>
      </w:r>
    </w:p>
    <w:p>
      <w:pPr>
        <w:spacing w:after="0" w:line="78" w:lineRule="exact"/>
        <w:rPr>
          <w:rFonts w:ascii="Arial" w:cs="Arial" w:eastAsia="Arial" w:hAnsi="Arial"/>
          <w:sz w:val="18"/>
          <w:szCs w:val="18"/>
          <w:color w:val="auto"/>
        </w:rPr>
      </w:pPr>
    </w:p>
    <w:p>
      <w:pPr>
        <w:ind w:left="460" w:hanging="227"/>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As soon as practicable and in any event within 30 days after the beginning of each fiscal year of the Borrower ACORD 24 and 25 certificates of</w:t>
      </w:r>
    </w:p>
    <w:p>
      <w:pPr>
        <w:spacing w:after="0" w:line="34" w:lineRule="exact"/>
        <w:rPr>
          <w:rFonts w:ascii="Arial" w:cs="Arial" w:eastAsia="Arial" w:hAnsi="Arial"/>
          <w:sz w:val="17"/>
          <w:szCs w:val="17"/>
          <w:color w:val="auto"/>
        </w:rPr>
      </w:pPr>
    </w:p>
    <w:p>
      <w:pPr>
        <w:ind w:right="120"/>
        <w:spacing w:after="0" w:line="261" w:lineRule="auto"/>
        <w:rPr>
          <w:rFonts w:ascii="Arial" w:cs="Arial" w:eastAsia="Arial" w:hAnsi="Arial"/>
          <w:sz w:val="17"/>
          <w:szCs w:val="17"/>
          <w:color w:val="auto"/>
        </w:rPr>
      </w:pPr>
      <w:r>
        <w:rPr>
          <w:rFonts w:ascii="Arial" w:cs="Arial" w:eastAsia="Arial" w:hAnsi="Arial"/>
          <w:sz w:val="18"/>
          <w:szCs w:val="18"/>
          <w:color w:val="auto"/>
        </w:rPr>
        <w:t>insurance with respect to each of the businesses and real properties of the Borrower and its Restricted Subsidiaries in such amounts and with such carriers as are reasonably acceptable to the Bank.</w:t>
      </w:r>
    </w:p>
    <w:p>
      <w:pPr>
        <w:spacing w:after="0" w:line="75" w:lineRule="exact"/>
        <w:rPr>
          <w:rFonts w:ascii="Arial" w:cs="Arial" w:eastAsia="Arial" w:hAnsi="Arial"/>
          <w:sz w:val="17"/>
          <w:szCs w:val="17"/>
          <w:color w:val="auto"/>
        </w:rPr>
      </w:pPr>
    </w:p>
    <w:p>
      <w:pPr>
        <w:ind w:right="380" w:firstLine="233"/>
        <w:spacing w:after="0" w:line="277" w:lineRule="auto"/>
        <w:tabs>
          <w:tab w:leader="none" w:pos="4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upon any officer of the Borrower becoming aware of any Default or Event of Default, a notice describing the nature thereof and what action the Borrower proposes to take with respect thereto.</w:t>
      </w:r>
    </w:p>
    <w:p>
      <w:pPr>
        <w:spacing w:after="0" w:line="62" w:lineRule="exact"/>
        <w:rPr>
          <w:rFonts w:ascii="Arial" w:cs="Arial" w:eastAsia="Arial" w:hAnsi="Arial"/>
          <w:sz w:val="18"/>
          <w:szCs w:val="18"/>
          <w:color w:val="auto"/>
        </w:rPr>
      </w:pPr>
    </w:p>
    <w:p>
      <w:pPr>
        <w:ind w:right="100" w:firstLine="233"/>
        <w:spacing w:after="0" w:line="264"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upon any officer of the Borrower becoming aware of the occurrence, with respect to any Plan, of any Reportable Event or any Prohibited Transaction, a notice specifying the nature thereof and what action the Borrower proposes to take with respect thereto, and, when received, copies of any notice from PBGC of intention to terminate or have a trustee appointed for any Plan.</w:t>
      </w:r>
    </w:p>
    <w:p>
      <w:pPr>
        <w:spacing w:after="0" w:line="73" w:lineRule="exact"/>
        <w:rPr>
          <w:rFonts w:ascii="Arial" w:cs="Arial" w:eastAsia="Arial" w:hAnsi="Arial"/>
          <w:sz w:val="18"/>
          <w:szCs w:val="18"/>
          <w:color w:val="auto"/>
        </w:rPr>
      </w:pPr>
    </w:p>
    <w:p>
      <w:pPr>
        <w:ind w:right="380" w:firstLine="233"/>
        <w:spacing w:after="0" w:line="277"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upon any officer of the Borrower becoming aware of any matter that has resulted or could result in a Material Adverse Occurrence, a notice from the Borrower describing the nature thereof and what action Borrower proposes to take with respect thereto.</w:t>
      </w:r>
    </w:p>
    <w:p>
      <w:pPr>
        <w:spacing w:after="0" w:line="62" w:lineRule="exact"/>
        <w:rPr>
          <w:rFonts w:ascii="Arial" w:cs="Arial" w:eastAsia="Arial" w:hAnsi="Arial"/>
          <w:sz w:val="18"/>
          <w:szCs w:val="18"/>
          <w:color w:val="auto"/>
        </w:rPr>
      </w:pPr>
    </w:p>
    <w:p>
      <w:pPr>
        <w:ind w:firstLine="233"/>
        <w:spacing w:after="0" w:line="288" w:lineRule="auto"/>
        <w:tabs>
          <w:tab w:leader="none" w:pos="4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Immediately upon any officer of the Borrower becoming aware of (i) the commencement of any action, suit, investigation, proceeding, or arbitration before any court or arbitrator or any governmental department, board, agency, or other instrumentality affecting the Borrower, any Subsidiary, or any property of such Person, or to which the Borrower or any Subsidiary is a party (other than litigation where insurance insures against the damages claimed and the insurer has assumed defense of the litigation without reservation), in each case in which an adverse determination or result could individually or in the aggregate constitute a Material Adverse Occurrence; or (ii) any adverse ruling that occurs in any litigation, arbitration, or governmental investigation or proceeding previously disclosed by the Borrower or any Subsidiary that, if determined adversely to the Borrower or a Subsidiary, could constitute a Material Adverse Occurrence, a notice from the Borrower describing the nature and status thereof and what action the Borrower proposes to take with respect thereto, to the extent such notice does not violate any confidentiality agreement, order of the court or breach any attorney-client privileged communication provided that the Borrower or such Subsidiary has undertaken good faith efforts to obtain consent to disclosure under such confidentiality agreement or court order and to prepare a disclosure which would not breach attorney-client privileged communication.</w:t>
      </w:r>
    </w:p>
    <w:p>
      <w:pPr>
        <w:spacing w:after="0" w:line="61" w:lineRule="exact"/>
        <w:rPr>
          <w:rFonts w:ascii="Arial" w:cs="Arial" w:eastAsia="Arial" w:hAnsi="Arial"/>
          <w:sz w:val="16"/>
          <w:szCs w:val="16"/>
          <w:color w:val="auto"/>
        </w:rPr>
      </w:pPr>
    </w:p>
    <w:p>
      <w:pPr>
        <w:ind w:right="20" w:firstLine="233"/>
        <w:spacing w:after="0" w:line="264"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Promptly upon the mailing or filing thereof, copies of all financial statements, reports, and proxy statements mailed to the Borrower’s shareholders, and copies of all registration statements, periodic reports, and other documents filed with the Securities and Exchange Commission (or any successor thereto) or any national securities exchange.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ind w:left="-40" w:right="60" w:firstLine="233"/>
        <w:spacing w:after="0" w:line="255" w:lineRule="auto"/>
        <w:tabs>
          <w:tab w:leader="none" w:pos="4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promptly as practicable (but in any event not later than 30 days) after any default or breach by the Borrower occurs under the Acquisition Documents (Enson), any senior officer of the Borrower becomes aware or should have become aware of the occurrence of any default or breach by any other party to the Acquisition Documents (Enson), or the Borrower provides or receives any notice of, or of any condition or event that has resulted in, or could reasonably be expected to result in, an indemnity claim under the Acquisition Documents (Enson) by any party thereto, a certificate signed by the chief financial officer, treasurer, or controller of the Borrower specifying in reasonable detail the nature and period of existence thereof and what action the Borrower has taken, is taking, or proposes to take with respect thereto.</w:t>
      </w:r>
    </w:p>
    <w:p>
      <w:pPr>
        <w:spacing w:after="0" w:line="85" w:lineRule="exact"/>
        <w:rPr>
          <w:rFonts w:ascii="Arial" w:cs="Arial" w:eastAsia="Arial" w:hAnsi="Arial"/>
          <w:sz w:val="18"/>
          <w:szCs w:val="18"/>
          <w:color w:val="auto"/>
        </w:rPr>
      </w:pPr>
    </w:p>
    <w:p>
      <w:pPr>
        <w:ind w:left="-40" w:right="160" w:firstLine="233"/>
        <w:spacing w:after="0" w:line="277"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From time to time, such other information regarding the business, operation, and financial condition of the Borrower and the Subsidiaries as the Bank reasonably requests.</w:t>
      </w:r>
    </w:p>
    <w:p>
      <w:pPr>
        <w:spacing w:after="0" w:line="62" w:lineRule="exact"/>
        <w:rPr>
          <w:sz w:val="20"/>
          <w:szCs w:val="20"/>
          <w:color w:val="auto"/>
        </w:rPr>
      </w:pPr>
    </w:p>
    <w:p>
      <w:pPr>
        <w:ind w:left="200" w:right="160" w:firstLine="225"/>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Existence</w:t>
      </w:r>
      <w:r>
        <w:rPr>
          <w:rFonts w:ascii="Arial" w:cs="Arial" w:eastAsia="Arial" w:hAnsi="Arial"/>
          <w:sz w:val="18"/>
          <w:szCs w:val="18"/>
          <w:color w:val="auto"/>
        </w:rPr>
        <w:t>. The Borrower shall maintain, and cause each Restricted Subsidiary to maintain, its corporate existence in good standing under the laws of its jurisdiction of organization and its qualification to transact business in each jurisdiction where failure so to qualify would permanently preclude the Borrower or such Restricted Subsidiary from enforcing its rights with respect to any material asset or would expose the Borrower or such Restricted Subsidiary to any material liability; provided, however, that nothing herein shall prohibit the merger or liquidation of any Subsidiary allowed under Section 6.1.</w:t>
      </w:r>
    </w:p>
    <w:p>
      <w:pPr>
        <w:spacing w:after="0" w:line="80" w:lineRule="exact"/>
        <w:rPr>
          <w:sz w:val="20"/>
          <w:szCs w:val="20"/>
          <w:color w:val="auto"/>
        </w:rPr>
      </w:pPr>
    </w:p>
    <w:p>
      <w:pPr>
        <w:jc w:val="both"/>
        <w:ind w:left="200" w:right="100" w:firstLine="225"/>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shall maintain, and cause each Restricted Subsidiary to maintain, with financially sound and reputable insurance companies such insurance as is required by law and such other insurance in such amounts and against such hazards as is reasonably customary in the case of reputable firms engaged in the same or similar business and similarly situated.</w:t>
      </w:r>
    </w:p>
    <w:p>
      <w:pPr>
        <w:spacing w:after="0" w:line="73" w:lineRule="exact"/>
        <w:rPr>
          <w:sz w:val="20"/>
          <w:szCs w:val="20"/>
          <w:color w:val="auto"/>
        </w:rPr>
      </w:pPr>
    </w:p>
    <w:p>
      <w:pPr>
        <w:ind w:left="200" w:right="160" w:firstLine="225"/>
        <w:spacing w:after="0" w:line="272"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Payment of Taxes and Claims</w:t>
      </w:r>
      <w:r>
        <w:rPr>
          <w:rFonts w:ascii="Arial" w:cs="Arial" w:eastAsia="Arial" w:hAnsi="Arial"/>
          <w:sz w:val="17"/>
          <w:szCs w:val="17"/>
          <w:color w:val="auto"/>
        </w:rPr>
        <w:t>. The Borrower shall file, and cause each Subsidiary to file, all tax returns and reports required by law to be filed by it and shall pay, and cause each Subsidiary to pay, before they become delinquent all taxes, assessments, and governmental charges and levies imposed upon it or its property and all claims or demands of any kind (including but not limited to those of suppliers, mechanics, carriers, warehouses, landlords, and other like Persons) that, if unpaid, might result in the creation of a Lien upon its property; provided that the foregoing items need not be paid if they are being contested in good faith by appropriate proceedings, as long as the Borrower’s or such Subsidiary’s title to its property is not materially adversely affected, its use of such property in the ordinary course of its business is not materially interfered with, and adequate reserves with respect thereto have been set aside on its books in accordance with GAAP.</w:t>
      </w:r>
    </w:p>
    <w:p>
      <w:pPr>
        <w:spacing w:after="0" w:line="70" w:lineRule="exact"/>
        <w:rPr>
          <w:sz w:val="20"/>
          <w:szCs w:val="20"/>
          <w:color w:val="auto"/>
        </w:rPr>
      </w:pPr>
    </w:p>
    <w:p>
      <w:pPr>
        <w:ind w:left="200" w:firstLine="225"/>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Inspection</w:t>
      </w:r>
      <w:r>
        <w:rPr>
          <w:rFonts w:ascii="Arial" w:cs="Arial" w:eastAsia="Arial" w:hAnsi="Arial"/>
          <w:sz w:val="18"/>
          <w:szCs w:val="18"/>
          <w:color w:val="auto"/>
        </w:rPr>
        <w:t>. The Borrower shall permit any Person designated by the Bank to visit and inspect any of the properties, books, and financial records of the Borrower and the Subsidiaries, to examine and to make copies of the books of accounts and other financial records of the Borrower and the Subsidiaries, and to discuss the affairs, finances, and accounts of the Borrower and the Subsidiaries with, and to be advised as to the same by, its officers at such reasonable times and intervals as the Bank designates.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34" w:name="page135"/>
    <w:bookmarkEnd w:id="134"/>
    <w:p>
      <w:pPr>
        <w:ind w:right="100" w:firstLine="225"/>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Borrower shall maintain, and cause each Restricted Subsidiary to maintain, its properties used or useful in the conduct of its business in good condition, repair, and working order, and supplied with all necessary equipment, and make all necessary repairs, renewals, replacements, betterments, and improvements thereto, all as reasonably necessary for the business carried on in connection therewith to be properly and advantageously conducted at all times.</w:t>
      </w:r>
    </w:p>
    <w:p>
      <w:pPr>
        <w:spacing w:after="0" w:line="7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Borrower shall keep, and cause each Subsidiary to keep, adequate and proper records and books of account in which full and correct entries will be made of its dealings, business, and affairs.</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Compliance</w:t>
      </w:r>
      <w:r>
        <w:rPr>
          <w:rFonts w:ascii="Arial" w:cs="Arial" w:eastAsia="Arial" w:hAnsi="Arial"/>
          <w:sz w:val="18"/>
          <w:szCs w:val="18"/>
          <w:color w:val="auto"/>
        </w:rPr>
        <w:t>. The Borrower shall comply, and cause each Restricted Subsidiary to comply, in all material respects with all laws, rules, regulations, orders, writs, judgments, injunctions, decrees, or awards to which it may be subject; provided, however, that failure so to comply shall not be a breach of this covenant if such failure could not constitute a Material Adverse Occurrence and the Borrower or such Restricted Subsidiary is acting in good faith and with reasonable dispatch to cure such noncompliance.</w:t>
      </w:r>
    </w:p>
    <w:p>
      <w:pPr>
        <w:spacing w:after="0" w:line="79"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ERISA</w:t>
      </w:r>
      <w:r>
        <w:rPr>
          <w:rFonts w:ascii="Arial" w:cs="Arial" w:eastAsia="Arial" w:hAnsi="Arial"/>
          <w:sz w:val="17"/>
          <w:szCs w:val="17"/>
          <w:color w:val="auto"/>
        </w:rPr>
        <w:t>. The Borrower shall maintain, and cause each Subsidiary to maintain, each Plan in compliance with all material applicable requirements of ERISA and of the Code and with all applicable rulings and regulations issued under the provisions of ERISA and of the Code and shall not, and shall not permit any of the ERISA Affiliates to, (a) engage in any transaction in connection with which the Borrower or any of the ERISA Affiliates would be subject to either a civil penalty assessed pursuant to § 502(i) of ERISA or a tax imposed by § 4975 of the Code, in either case in an amount exceeding $50,000, (b) fail to make full payment when due of all amounts that, under the provisions of any Plan, the Borrower or any ERISA Affiliate is required to pay as contributions thereto, or permit to exist any accumulated funding deficiency (as defined in § 302 of ERISA and § 412 of the Code), whether or not waived, with respect to any Plan in an aggregate amount exceeding $50,000, or (c) fail to make any payments in an aggregate amount exceeding $50,000 to any Multiemployer Plan that the Borrower or any of the ERISA Affiliates is required to make under any agreement relating to such Multiemployer Plan or any law pertaining thereto.</w:t>
      </w:r>
    </w:p>
    <w:p>
      <w:pPr>
        <w:spacing w:after="0" w:line="74"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Environmental Matters; Reporting</w:t>
      </w:r>
      <w:r>
        <w:rPr>
          <w:rFonts w:ascii="Arial" w:cs="Arial" w:eastAsia="Arial" w:hAnsi="Arial"/>
          <w:sz w:val="16"/>
          <w:szCs w:val="16"/>
          <w:color w:val="auto"/>
        </w:rPr>
        <w:t>. The Borrower shall observe and comply with, and cause each Restricted Subsidiary to observe and comply with, all laws, rules, regulations, and orders of any government or government agency relating to health, safety, pollution, hazardous materials, or other environmental matters to the extent non-compliance could result in a material liability or otherwise constitute a Material Adverse Occurrence. The Borrower shall give the Bank prompt written notice of any violation as to any environmental matter by the Borrower or any Restricted Subsidiary and of the commencement of any judicial or administrative proceeding relating to health, safety, or environmental matters (a) in which an adverse determination or result could result in the revocation of or have a material adverse effect on any operating permits, air emission permits, water discharge permits, hazardous waste permits, or other permits held by the Borrower or any Restricted Subsidiary that are material to the operations of the Borrower or such Restricted Subsidiary, or (b) that will or threatens to impose a material liability on the Borrower or such Restricted Subsidiary to any Person or that</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will require a material expenditure by the Borrower or such Restricted Subsidiary to cure any alleged problem or violation.</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Borrower shall promptly correct any defect or error that is discovered in any Transaction Document or in the execution, acknowledgment, or recordation thereof. Promptly upon request by the Bank, the Borrower also shall, and shall cause each Restricted Subsidiary to, do, execute, acknowledge, deliver, record, re-record, file, re-file, register, and re-register such deeds, conveyances, mortgages, deeds of trust, trust deeds, assignments, estoppel certificates, financing statements and continuations thereof, notices of assignment, transfers, certificates, assurances, and other instruments as the Bank reasonably requires from time to time (a) to carry out more effectively the purposes of the Loan Documents; and (b) to better assure, convey, grant, assign, transfer, preserve, protect, and confirm unto the Bank the rights granted now or hereafter intended to be granted to the Bank under any Loan Document or under any other instrument executed in connection with any Loan Document or that the Borrower may be or become bound to convey, mortgage, or assign to the Bank to carry out the intention or facilitate the performance of the provisions of any Loan Document. The Borrower shall furnish to the Bank evidence satisfactory to the Bank of every such recording, filing, or registration.</w:t>
      </w:r>
    </w:p>
    <w:p>
      <w:pPr>
        <w:spacing w:after="0" w:line="5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Compliance with Terms of Material Contracts</w:t>
      </w:r>
      <w:r>
        <w:rPr>
          <w:rFonts w:ascii="Arial" w:cs="Arial" w:eastAsia="Arial" w:hAnsi="Arial"/>
          <w:sz w:val="18"/>
          <w:szCs w:val="18"/>
          <w:color w:val="auto"/>
        </w:rPr>
        <w:t>. The Borrower shall, and shall cause each Restricted Subsidiary to, make all payments and otherwise perform all obligations in respect of all material contracts to which the Borrower or any Restricted Subsidiary is a party, including without limitation the Acquisition Documents (Enson).</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Maintenance of Bank Accounts</w:t>
      </w:r>
      <w:r>
        <w:rPr>
          <w:rFonts w:ascii="Arial" w:cs="Arial" w:eastAsia="Arial" w:hAnsi="Arial"/>
          <w:sz w:val="18"/>
          <w:szCs w:val="18"/>
          <w:color w:val="auto"/>
        </w:rPr>
        <w:t>. The Borrower shall maintain its primary United States borrowing, depository, treasury management, and foreign exchange relationships with the Bank.</w:t>
      </w:r>
    </w:p>
    <w:p>
      <w:pPr>
        <w:spacing w:after="0" w:line="6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Additional Restricted Subsidiaries</w:t>
      </w:r>
      <w:r>
        <w:rPr>
          <w:rFonts w:ascii="Arial" w:cs="Arial" w:eastAsia="Arial" w:hAnsi="Arial"/>
          <w:sz w:val="16"/>
          <w:szCs w:val="16"/>
          <w:color w:val="auto"/>
        </w:rPr>
        <w:t>. In the event that upon (a) the delivery of a Compliance Certificate pursuant to Section 5.1(c) or (b) the completion of any transaction involving the Borrower or any of its Subsidiaries, including the formation or acquisition of any Subsidiary, the aggregate amount of the consolidated assets or aggregate EBITDA of the Borrower and the Restricted Subsidiaries existing as of the date for which such Compliance Certificate was prepared or upon giving effect to such transaction was, respectively, either less than (i) 70% of the aggregate amount of the consolidated assets of the Borrower and the Borrower’s Subsidiaries or (ii) 70% of the aggregate consolidated EBITDA of the Borrower and the Borrower’s Subsidiaries, then the Borrower shall, within 30 days thereafter, designate one or more additional Subsidiaries as Restricted Subsidiaries, and each such additional Restricted Subsidiary shall thereafter be a Restricted Subsidiary for all purposes under this Agreement.</w:t>
      </w: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NEGATIVE COVENANTS</w:t>
      </w:r>
    </w:p>
    <w:p>
      <w:pPr>
        <w:spacing w:after="0" w:line="103"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Until any obligation of the Bank hereunder to make the Loans and to issue Letters of Credit has expired or terminated, the Notes and all of the other Obligations have been paid in full, and all outstanding Letters of Credit have expired or the liability of the Bank thereon has otherwise been discharged, unless the Bank otherwise consents in writing:</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36" w:name="page137"/>
    <w:bookmarkEnd w:id="136"/>
    <w:p>
      <w:pPr>
        <w:ind w:left="220" w:right="40" w:firstLine="225"/>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Merger</w:t>
      </w:r>
      <w:r>
        <w:rPr>
          <w:rFonts w:ascii="Arial" w:cs="Arial" w:eastAsia="Arial" w:hAnsi="Arial"/>
          <w:sz w:val="17"/>
          <w:szCs w:val="17"/>
          <w:color w:val="auto"/>
        </w:rPr>
        <w:t>. The Borrower shall not merge, consolidate, or enter into any analogous reorganization or transaction with any Person or liquidate, wind up, or dissolve itself (or suffer any liquidation or dissolution) nor permit any Restricted Subsidiary to do any of the foregoing; provided, however, any Subsidiary may be merged with or liquidated into the Borrower or any wholly-owned Subsidiary (if the Borrower or such wholly-owned Subsidiary is the surviving corporation) and after giving effect to such transaction, the Borrower complies with Section 5.14.</w:t>
      </w:r>
    </w:p>
    <w:p>
      <w:pPr>
        <w:spacing w:after="0" w:line="63" w:lineRule="exact"/>
        <w:rPr>
          <w:sz w:val="20"/>
          <w:szCs w:val="20"/>
          <w:color w:val="auto"/>
        </w:rPr>
      </w:pPr>
    </w:p>
    <w:p>
      <w:pPr>
        <w:ind w:left="220" w:right="200" w:firstLine="225"/>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Disposition of Assets</w:t>
      </w:r>
      <w:r>
        <w:rPr>
          <w:rFonts w:ascii="Arial" w:cs="Arial" w:eastAsia="Arial" w:hAnsi="Arial"/>
          <w:sz w:val="18"/>
          <w:szCs w:val="18"/>
          <w:color w:val="auto"/>
        </w:rPr>
        <w:t>. The Borrower shall not, and shall not permit any Restricted Subsidiary to, directly or indirectly, sell, assign, lease, convey, transfer, or otherwise dispose of (whether in one transaction or a series of transactions) any property (including accounts and notes receivable, with or without recourse) or enter into any agreement to do any of the foregoing, except:</w:t>
      </w:r>
    </w:p>
    <w:p>
      <w:pPr>
        <w:spacing w:after="0" w:line="73" w:lineRule="exact"/>
        <w:rPr>
          <w:sz w:val="20"/>
          <w:szCs w:val="20"/>
          <w:color w:val="auto"/>
        </w:rPr>
      </w:pPr>
    </w:p>
    <w:p>
      <w:pPr>
        <w:ind w:left="-20" w:right="60" w:firstLine="233"/>
        <w:spacing w:after="0" w:line="277" w:lineRule="auto"/>
        <w:tabs>
          <w:tab w:leader="none" w:pos="4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dispositions of inventory or used, worn-out, or surplus equipment and other equipment no longer useful in the business of the Borrower or a Restricted Subsidiary, in each case determined and disposed of in the ordinary course of business;</w:t>
      </w:r>
    </w:p>
    <w:p>
      <w:pPr>
        <w:spacing w:after="0" w:line="62" w:lineRule="exact"/>
        <w:rPr>
          <w:rFonts w:ascii="Arial" w:cs="Arial" w:eastAsia="Arial" w:hAnsi="Arial"/>
          <w:sz w:val="18"/>
          <w:szCs w:val="18"/>
          <w:color w:val="auto"/>
        </w:rPr>
      </w:pPr>
    </w:p>
    <w:p>
      <w:pPr>
        <w:ind w:left="-20" w:right="360" w:firstLine="233"/>
        <w:spacing w:after="0" w:line="308"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sale of equipment to the extent that such equipment is exchanged for credit against the purchase price of similar replacement equipment, or the proceeds of such sale are applied with reasonable promptness to the purchase price of such replacement equipment; and</w:t>
      </w:r>
    </w:p>
    <w:p>
      <w:pPr>
        <w:spacing w:after="0" w:line="38" w:lineRule="exact"/>
        <w:rPr>
          <w:rFonts w:ascii="Arial" w:cs="Arial" w:eastAsia="Arial" w:hAnsi="Arial"/>
          <w:sz w:val="17"/>
          <w:szCs w:val="17"/>
          <w:color w:val="auto"/>
        </w:rPr>
      </w:pPr>
    </w:p>
    <w:p>
      <w:pPr>
        <w:ind w:left="-20" w:right="320" w:firstLine="233"/>
        <w:spacing w:after="0" w:line="277" w:lineRule="auto"/>
        <w:tabs>
          <w:tab w:leader="none" w:pos="4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dispositions of property during the term of this Agreement whose net book value in the aggregate does not exceed 5% of the Borrower’s total consolidated assets as shown on its balance sheet for its most recent prior fiscal quarter.</w:t>
      </w:r>
    </w:p>
    <w:p>
      <w:pPr>
        <w:spacing w:after="0" w:line="62" w:lineRule="exact"/>
        <w:rPr>
          <w:sz w:val="20"/>
          <w:szCs w:val="20"/>
          <w:color w:val="auto"/>
        </w:rPr>
      </w:pPr>
    </w:p>
    <w:p>
      <w:pPr>
        <w:ind w:left="220" w:firstLine="225"/>
        <w:spacing w:after="0" w:line="276"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Plans</w:t>
      </w:r>
      <w:r>
        <w:rPr>
          <w:rFonts w:ascii="Arial" w:cs="Arial" w:eastAsia="Arial" w:hAnsi="Arial"/>
          <w:sz w:val="17"/>
          <w:szCs w:val="17"/>
          <w:color w:val="auto"/>
        </w:rPr>
        <w:t>. The Borrower shall not permit, and shall not allow any Subsidiary to permit, any event to occur or condition to exist that would permit any Plan to terminate under any circumstances that would cause the Lien provided for in § 4068 of ERISA to attach to any assets of the Borrower or any Subsidiary; and the Borrower shall not permit, as of the most recent valuation date for any Plan subject to Title IV of ERISA, the present value (determined on the basis of reasonable assumptions employed by the independent actuary for such Plan and previously furnished in writing to the Bank) of such Plan’s projected benefit obligations to exceed the fair market value of such Plan’s assets.</w:t>
      </w:r>
    </w:p>
    <w:p>
      <w:pPr>
        <w:spacing w:after="0" w:line="64" w:lineRule="exact"/>
        <w:rPr>
          <w:sz w:val="20"/>
          <w:szCs w:val="20"/>
          <w:color w:val="auto"/>
        </w:rPr>
      </w:pPr>
    </w:p>
    <w:p>
      <w:pPr>
        <w:ind w:left="220" w:right="100" w:firstLine="225"/>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Borrower shall not, and shall not permit any Restricted Subsidiary to, make any material change in the nature of the business of the Borrower or such Restricted Subsidiary, as carried on at the date hereof.</w:t>
      </w:r>
    </w:p>
    <w:p>
      <w:pPr>
        <w:spacing w:after="0" w:line="62" w:lineRule="exact"/>
        <w:rPr>
          <w:sz w:val="20"/>
          <w:szCs w:val="20"/>
          <w:color w:val="auto"/>
        </w:rPr>
      </w:pPr>
    </w:p>
    <w:p>
      <w:pPr>
        <w:ind w:left="220" w:right="60" w:firstLine="225"/>
        <w:spacing w:after="0" w:line="297"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Negative Pledges; Subsidiary Restrictions</w:t>
      </w:r>
      <w:r>
        <w:rPr>
          <w:rFonts w:ascii="Arial" w:cs="Arial" w:eastAsia="Arial" w:hAnsi="Arial"/>
          <w:sz w:val="16"/>
          <w:szCs w:val="16"/>
          <w:color w:val="auto"/>
        </w:rPr>
        <w:t>. The Borrower shall not, and shall not permit any Subsidiary to, enter into any agreement, bond, note, or other instrument with or for the benefit of any Person other than the Bank that would (a) except in connection with Liens permitted under Section 6.12, prohibit the Borrower or such Subsidiary from granting, or otherwise limit the ability of the Borrower or such Subsidiary to grant, to the Bank any Lien on any assets or properties of the Borrower or such Subsidiary, or (b) require the Borrower or such Subsidiary to grant a Lien to any other Person if the Borrower or such Subsidiary grants any Lien to the Bank. The Borrower shall not permit any Subsidiary to place or allow any restriction,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37" w:name="page138"/>
    <w:bookmarkEnd w:id="137"/>
    <w:p>
      <w:pPr>
        <w:ind w:left="220" w:right="380"/>
        <w:spacing w:after="0" w:line="277" w:lineRule="auto"/>
        <w:rPr>
          <w:sz w:val="20"/>
          <w:szCs w:val="20"/>
          <w:color w:val="auto"/>
        </w:rPr>
      </w:pPr>
      <w:r>
        <w:rPr>
          <w:rFonts w:ascii="Arial" w:cs="Arial" w:eastAsia="Arial" w:hAnsi="Arial"/>
          <w:sz w:val="18"/>
          <w:szCs w:val="18"/>
          <w:color w:val="auto"/>
        </w:rPr>
        <w:t>directly or indirectly, on the ability of such Subsidiary to (x) pay dividends or any distributions on or with respect to such Subsidiary’s capital stock or (y) make loans or other cash payments to the Borrower.</w:t>
      </w:r>
    </w:p>
    <w:p>
      <w:pPr>
        <w:spacing w:after="0" w:line="62" w:lineRule="exact"/>
        <w:rPr>
          <w:sz w:val="20"/>
          <w:szCs w:val="20"/>
          <w:color w:val="auto"/>
        </w:rPr>
      </w:pPr>
    </w:p>
    <w:p>
      <w:pPr>
        <w:ind w:left="220" w:right="200" w:firstLine="225"/>
        <w:spacing w:after="0" w:line="286"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Restricted Payments</w:t>
      </w:r>
      <w:r>
        <w:rPr>
          <w:rFonts w:ascii="Arial" w:cs="Arial" w:eastAsia="Arial" w:hAnsi="Arial"/>
          <w:sz w:val="17"/>
          <w:szCs w:val="17"/>
          <w:color w:val="auto"/>
        </w:rPr>
        <w:t>. The Borrower shall not make any Restricted Payment if a Default or Event of Default has occurred or is continuing or a Default or Event of Default would exist after giving effect to the making of any such Restricted Payment immediately or by reference to pro forma compliance with under the most recent Compliance Certificate delivered by the Borrower pursuant to Section 5.1(c).</w:t>
      </w:r>
    </w:p>
    <w:p>
      <w:pPr>
        <w:spacing w:after="0" w:line="57" w:lineRule="exact"/>
        <w:rPr>
          <w:sz w:val="20"/>
          <w:szCs w:val="20"/>
          <w:color w:val="auto"/>
        </w:rPr>
      </w:pPr>
    </w:p>
    <w:p>
      <w:pPr>
        <w:jc w:val="both"/>
        <w:ind w:left="220" w:right="380" w:firstLine="225"/>
        <w:spacing w:after="0" w:line="264"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shall not, and shall permit any Restricted Subsidiary to, enter into any transaction with any Affiliate of the Borrower, except upon fair and reasonable terms no less favorable than the Borrower, or such Restricted Subsidiary, would obtain in a comparable arm’s-length transaction with a Person not an Affiliate.</w:t>
      </w:r>
    </w:p>
    <w:p>
      <w:pPr>
        <w:spacing w:after="0" w:line="73" w:lineRule="exact"/>
        <w:rPr>
          <w:sz w:val="20"/>
          <w:szCs w:val="20"/>
          <w:color w:val="auto"/>
        </w:rPr>
      </w:pPr>
    </w:p>
    <w:p>
      <w:pPr>
        <w:ind w:left="220" w:right="320" w:firstLine="225"/>
        <w:spacing w:after="0" w:line="29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Accounting Changes; Acquisition Documents</w:t>
      </w:r>
      <w:r>
        <w:rPr>
          <w:rFonts w:ascii="Arial" w:cs="Arial" w:eastAsia="Arial" w:hAnsi="Arial"/>
          <w:sz w:val="16"/>
          <w:szCs w:val="16"/>
          <w:color w:val="auto"/>
        </w:rPr>
        <w:t>. The Borrower shall not, and shall not permit any Subsidiary to, (a) make any significant change in accounting treatment or reporting practices, except as required by GAAP, or change its fiscal year or the fiscal year of any Subsidiary or</w:t>
      </w:r>
    </w:p>
    <w:p>
      <w:pPr>
        <w:ind w:left="220" w:right="240" w:hanging="4"/>
        <w:spacing w:after="0" w:line="261" w:lineRule="auto"/>
        <w:tabs>
          <w:tab w:leader="none" w:pos="4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 modify, or change any of the Acquisition Documents (Enson) in any manner materially adverse in any respect to the rights or interests of the Bank.</w:t>
      </w:r>
    </w:p>
    <w:p>
      <w:pPr>
        <w:spacing w:after="0" w:line="76" w:lineRule="exact"/>
        <w:rPr>
          <w:sz w:val="20"/>
          <w:szCs w:val="20"/>
          <w:color w:val="auto"/>
        </w:rPr>
      </w:pPr>
    </w:p>
    <w:p>
      <w:pPr>
        <w:ind w:left="220" w:right="80" w:firstLine="225"/>
        <w:spacing w:after="0" w:line="290"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Subordinated Debt</w:t>
      </w:r>
      <w:r>
        <w:rPr>
          <w:rFonts w:ascii="Arial" w:cs="Arial" w:eastAsia="Arial" w:hAnsi="Arial"/>
          <w:sz w:val="16"/>
          <w:szCs w:val="16"/>
          <w:color w:val="auto"/>
        </w:rPr>
        <w:t>. The Borrower shall not, and shall not permit any Restricted Subsidiary to, (a) make any scheduled payment of the principal of or interest on any Subordinated Debt that would be prohibited by the terms of such Subordinated Debt and any related subordination agreement; (b) directly or indirectly make any prepayment on or purchase, redeem, or defease any Subordinated Debt or offer to do so (whether such prepayment, purchase or redemption, or offer with respect thereto is voluntary or mandatory); (c) amend or cancel the subordination provisions applicable to any Subordinated Debt; (d) take or omit to take any action if as a result of such action or omission the subordination of such Subordinated Debt, or any part thereof, to the Obligations might be terminated, impaired, or adversely affected; or (e) omit to give the Bank prompt notice of any notice received from any holder of Subordinated Debt, or any trustee therefor, or of any default under any agreement or instrument relating to any Subordinated Debt by reason whereof such Subordinated Debt might become or be declared to be due or payable.</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Investments</w:t>
      </w:r>
      <w:r>
        <w:rPr>
          <w:rFonts w:ascii="Arial" w:cs="Arial" w:eastAsia="Arial" w:hAnsi="Arial"/>
          <w:sz w:val="17"/>
          <w:szCs w:val="17"/>
          <w:color w:val="auto"/>
        </w:rPr>
        <w:t>. The Borrower shall not, and shall not permit any Restricted Subsidiary to, acquire for value, make, have, or hold any</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Investments, except:</w:t>
      </w:r>
    </w:p>
    <w:p>
      <w:pPr>
        <w:spacing w:after="0" w:line="103" w:lineRule="exact"/>
        <w:rPr>
          <w:sz w:val="20"/>
          <w:szCs w:val="20"/>
          <w:color w:val="auto"/>
        </w:rPr>
      </w:pPr>
    </w:p>
    <w:p>
      <w:pPr>
        <w:ind w:left="460" w:hanging="247"/>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Investments existing on the date of this Agreement identified on </w:t>
      </w:r>
      <w:r>
        <w:rPr>
          <w:rFonts w:ascii="Arial" w:cs="Arial" w:eastAsia="Arial" w:hAnsi="Arial"/>
          <w:sz w:val="18"/>
          <w:szCs w:val="18"/>
          <w:u w:val="single" w:color="auto"/>
          <w:color w:val="auto"/>
        </w:rPr>
        <w:t>Schedule 6.10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233"/>
        <w:spacing w:after="0" w:line="26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in Subsidiaries after the date of this Agreement, whether through the formation or acquisition of such Subsidiaries, as long as the Borrower has complied with Section 5.14, no Default or Event of Default then exists or would occur as a result of any such Investment, and if any such Investment occurs through an Acquisition, such Acquisition is a Permitted Acquisition.</w:t>
      </w:r>
    </w:p>
    <w:p>
      <w:pPr>
        <w:spacing w:after="0" w:line="73" w:lineRule="exact"/>
        <w:rPr>
          <w:rFonts w:ascii="Arial" w:cs="Arial" w:eastAsia="Arial" w:hAnsi="Arial"/>
          <w:sz w:val="18"/>
          <w:szCs w:val="18"/>
          <w:color w:val="auto"/>
        </w:rPr>
      </w:pPr>
    </w:p>
    <w:p>
      <w:pPr>
        <w:ind w:left="460" w:hanging="247"/>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in joint ventures, provided that no Default or Event of Default then exists or would occur as a result of any such Investment.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38" w:name="page139"/>
    <w:bookmarkEnd w:id="138"/>
    <w:p>
      <w:pPr>
        <w:ind w:left="440" w:hanging="247"/>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Travel advances to management personnel and employees in the ordinary course of business.</w:t>
      </w:r>
    </w:p>
    <w:p>
      <w:pPr>
        <w:spacing w:after="0" w:line="117" w:lineRule="exact"/>
        <w:rPr>
          <w:rFonts w:ascii="Arial" w:cs="Arial" w:eastAsia="Arial" w:hAnsi="Arial"/>
          <w:sz w:val="18"/>
          <w:szCs w:val="18"/>
          <w:color w:val="auto"/>
        </w:rPr>
      </w:pPr>
    </w:p>
    <w:p>
      <w:pPr>
        <w:ind w:left="-40" w:firstLine="233"/>
        <w:spacing w:after="0" w:line="277" w:lineRule="auto"/>
        <w:tabs>
          <w:tab w:leader="none" w:pos="4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Investments in readily marketable direct obligations issued or guaranteed by the United States or any agency thereof and supported by the full faith and credit of the United States.</w:t>
      </w:r>
    </w:p>
    <w:p>
      <w:pPr>
        <w:spacing w:after="0" w:line="62" w:lineRule="exact"/>
        <w:rPr>
          <w:rFonts w:ascii="Arial" w:cs="Arial" w:eastAsia="Arial" w:hAnsi="Arial"/>
          <w:sz w:val="18"/>
          <w:szCs w:val="18"/>
          <w:color w:val="auto"/>
        </w:rPr>
      </w:pPr>
    </w:p>
    <w:p>
      <w:pPr>
        <w:ind w:left="-40" w:firstLine="233"/>
        <w:spacing w:after="0" w:line="264" w:lineRule="auto"/>
        <w:tabs>
          <w:tab w:leader="none" w:pos="4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Certificates of deposit or bankers’ acceptances issued by any commercial bank organized under the laws of the United States or any State thereof that has (i) combined capital and surplus of at least $1,000,000,000, and (ii) a credit rating with respect to its unsecured indebtedness from a nationally recognized rating service that is reasonably satisfactory to the Bank.</w:t>
      </w:r>
    </w:p>
    <w:p>
      <w:pPr>
        <w:spacing w:after="0" w:line="73" w:lineRule="exact"/>
        <w:rPr>
          <w:rFonts w:ascii="Arial" w:cs="Arial" w:eastAsia="Arial" w:hAnsi="Arial"/>
          <w:sz w:val="18"/>
          <w:szCs w:val="18"/>
          <w:color w:val="auto"/>
        </w:rPr>
      </w:pPr>
    </w:p>
    <w:p>
      <w:pPr>
        <w:ind w:left="440" w:hanging="247"/>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Commercial paper given the highest rating by a nationally recognized rating service.</w:t>
      </w:r>
    </w:p>
    <w:p>
      <w:pPr>
        <w:spacing w:after="0" w:line="117" w:lineRule="exact"/>
        <w:rPr>
          <w:rFonts w:ascii="Arial" w:cs="Arial" w:eastAsia="Arial" w:hAnsi="Arial"/>
          <w:sz w:val="18"/>
          <w:szCs w:val="18"/>
          <w:color w:val="auto"/>
        </w:rPr>
      </w:pPr>
    </w:p>
    <w:p>
      <w:pPr>
        <w:ind w:left="-40" w:firstLine="233"/>
        <w:spacing w:after="0" w:line="264"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Repurchase agreements relating to securities issued or guaranteed as to principal and interest by the United States of America with a term of not more than 7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all such agreements shall require physical delivery of the securities securing such repurchase agreement, except those delivered through the Federal Reserve Book Entry System.</w:t>
      </w:r>
    </w:p>
    <w:p>
      <w:pPr>
        <w:spacing w:after="0" w:line="73" w:lineRule="exact"/>
        <w:rPr>
          <w:rFonts w:ascii="Arial" w:cs="Arial" w:eastAsia="Arial" w:hAnsi="Arial"/>
          <w:sz w:val="18"/>
          <w:szCs w:val="18"/>
          <w:color w:val="auto"/>
        </w:rPr>
      </w:pPr>
    </w:p>
    <w:p>
      <w:pPr>
        <w:ind w:left="400" w:hanging="207"/>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readily marketable Investments in debt securities that are reasonably acceptable to the Bank.</w:t>
      </w:r>
    </w:p>
    <w:p>
      <w:pPr>
        <w:spacing w:after="0" w:line="117" w:lineRule="exact"/>
        <w:rPr>
          <w:rFonts w:ascii="Arial" w:cs="Arial" w:eastAsia="Arial" w:hAnsi="Arial"/>
          <w:sz w:val="18"/>
          <w:szCs w:val="18"/>
          <w:color w:val="auto"/>
        </w:rPr>
      </w:pPr>
    </w:p>
    <w:p>
      <w:pPr>
        <w:ind w:left="400" w:hanging="207"/>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Investment that constitutes a Permitted Acquisition.</w:t>
      </w:r>
    </w:p>
    <w:p>
      <w:pPr>
        <w:spacing w:after="0" w:line="117" w:lineRule="exact"/>
        <w:rPr>
          <w:rFonts w:ascii="Arial" w:cs="Arial" w:eastAsia="Arial" w:hAnsi="Arial"/>
          <w:sz w:val="18"/>
          <w:szCs w:val="18"/>
          <w:color w:val="auto"/>
        </w:rPr>
      </w:pPr>
    </w:p>
    <w:p>
      <w:pPr>
        <w:ind w:left="440" w:hanging="247"/>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Investment arising under a Rate Protection Agreement or Foreign Currency Hedging Agreement permitted under Section 6.19.</w:t>
      </w:r>
    </w:p>
    <w:p>
      <w:pPr>
        <w:spacing w:after="0" w:line="117" w:lineRule="exact"/>
        <w:rPr>
          <w:rFonts w:ascii="Arial" w:cs="Arial" w:eastAsia="Arial" w:hAnsi="Arial"/>
          <w:sz w:val="18"/>
          <w:szCs w:val="18"/>
          <w:color w:val="auto"/>
        </w:rPr>
      </w:pPr>
    </w:p>
    <w:p>
      <w:pPr>
        <w:ind w:left="-40" w:right="380" w:firstLine="233"/>
        <w:spacing w:after="0" w:line="277" w:lineRule="auto"/>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Investments if the aggregate consideration therefor does not exceed $11,500,000, provided that no Default or Event of Default then exists or would occur as a result of any such Investment.</w:t>
      </w:r>
    </w:p>
    <w:p>
      <w:pPr>
        <w:spacing w:after="0" w:line="62" w:lineRule="exact"/>
        <w:rPr>
          <w:sz w:val="20"/>
          <w:szCs w:val="20"/>
          <w:color w:val="auto"/>
        </w:rPr>
      </w:pPr>
    </w:p>
    <w:p>
      <w:pPr>
        <w:ind w:left="200" w:right="620" w:firstLine="215"/>
        <w:spacing w:after="0" w:line="277" w:lineRule="auto"/>
        <w:rPr>
          <w:sz w:val="20"/>
          <w:szCs w:val="20"/>
          <w:color w:val="auto"/>
        </w:rPr>
      </w:pPr>
      <w:r>
        <w:rPr>
          <w:rFonts w:ascii="Arial" w:cs="Arial" w:eastAsia="Arial" w:hAnsi="Arial"/>
          <w:sz w:val="18"/>
          <w:szCs w:val="18"/>
          <w:color w:val="auto"/>
        </w:rPr>
        <w:t>Any Investments under clauses (e), (f), (g), or (h) above must mature within one year of the acquisition thereof by the Borrower or a Restricted Subsidiary.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Indebtedness</w:t>
      </w:r>
      <w:r>
        <w:rPr>
          <w:rFonts w:ascii="Arial" w:cs="Arial" w:eastAsia="Arial" w:hAnsi="Arial"/>
          <w:sz w:val="16"/>
          <w:szCs w:val="16"/>
          <w:color w:val="auto"/>
        </w:rPr>
        <w:t>. The Borrower shall not, and shall not permit any Restricted Subsidiary to, incur, create, issue, assume, or suffer to exist any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Indebtedness, except:</w:t>
      </w:r>
    </w:p>
    <w:p>
      <w:pPr>
        <w:spacing w:after="0" w:line="103" w:lineRule="exact"/>
        <w:rPr>
          <w:sz w:val="20"/>
          <w:szCs w:val="20"/>
          <w:color w:val="auto"/>
        </w:rPr>
      </w:pPr>
    </w:p>
    <w:p>
      <w:pPr>
        <w:ind w:left="440" w:hanging="247"/>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left="440" w:hanging="247"/>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Current Liabilities, other than for borrowed money, incurred in the ordinary course of business.</w:t>
      </w:r>
    </w:p>
    <w:p>
      <w:pPr>
        <w:spacing w:after="0" w:line="117" w:lineRule="exact"/>
        <w:rPr>
          <w:rFonts w:ascii="Arial" w:cs="Arial" w:eastAsia="Arial" w:hAnsi="Arial"/>
          <w:sz w:val="18"/>
          <w:szCs w:val="18"/>
          <w:color w:val="auto"/>
        </w:rPr>
      </w:pPr>
    </w:p>
    <w:p>
      <w:pPr>
        <w:ind w:left="-40" w:right="420" w:firstLine="233"/>
        <w:spacing w:after="0" w:line="277" w:lineRule="auto"/>
        <w:tabs>
          <w:tab w:leader="none" w:pos="4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of this Agreement and disclosed on </w:t>
      </w:r>
      <w:r>
        <w:rPr>
          <w:rFonts w:ascii="Arial" w:cs="Arial" w:eastAsia="Arial" w:hAnsi="Arial"/>
          <w:sz w:val="18"/>
          <w:szCs w:val="18"/>
          <w:u w:val="single" w:color="auto"/>
          <w:color w:val="auto"/>
        </w:rPr>
        <w:t>Schedule 6.11</w:t>
      </w:r>
      <w:r>
        <w:rPr>
          <w:rFonts w:ascii="Arial" w:cs="Arial" w:eastAsia="Arial" w:hAnsi="Arial"/>
          <w:sz w:val="18"/>
          <w:szCs w:val="18"/>
          <w:color w:val="auto"/>
        </w:rPr>
        <w:t>, including any extension or refinancing thereof as long as the interest rates and other financing charges and fees and the principal amount thereof are not increased.</w:t>
      </w:r>
    </w:p>
    <w:p>
      <w:pPr>
        <w:spacing w:after="0" w:line="62" w:lineRule="exact"/>
        <w:rPr>
          <w:rFonts w:ascii="Arial" w:cs="Arial" w:eastAsia="Arial" w:hAnsi="Arial"/>
          <w:sz w:val="18"/>
          <w:szCs w:val="18"/>
          <w:color w:val="auto"/>
        </w:rPr>
      </w:pPr>
    </w:p>
    <w:p>
      <w:pPr>
        <w:ind w:left="-40" w:firstLine="233"/>
        <w:spacing w:after="0" w:line="277"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for the purchase price of equipment used in the ordinary course of the Borrower’s business, provided, that in no event shall the amount of such purchase-money indebtedness with respect to any equipment exceed 100% of the fair market value of such equipment.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39" w:name="page140"/>
    <w:bookmarkEnd w:id="139"/>
    <w:p>
      <w:pPr>
        <w:ind w:left="472" w:hanging="247"/>
        <w:spacing w:after="0"/>
        <w:tabs>
          <w:tab w:leader="none" w:pos="4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Indebtedness secured by Liens permitted under Section 6.12.</w:t>
      </w:r>
    </w:p>
    <w:p>
      <w:pPr>
        <w:spacing w:after="0" w:line="117" w:lineRule="exact"/>
        <w:rPr>
          <w:rFonts w:ascii="Arial" w:cs="Arial" w:eastAsia="Arial" w:hAnsi="Arial"/>
          <w:sz w:val="18"/>
          <w:szCs w:val="18"/>
          <w:color w:val="auto"/>
        </w:rPr>
      </w:pPr>
    </w:p>
    <w:p>
      <w:pPr>
        <w:ind w:left="-8" w:right="340" w:firstLine="233"/>
        <w:spacing w:after="0" w:line="277" w:lineRule="auto"/>
        <w:tabs>
          <w:tab w:leader="none" w:pos="4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Indebtedness up to a maximum aggregate amount of $1,000,000 outstanding at any time incurred in the ordinary course of business and secured by Liens relating to purchase money financing or Capital Lease Obligations.</w:t>
      </w:r>
    </w:p>
    <w:p>
      <w:pPr>
        <w:spacing w:after="0" w:line="62" w:lineRule="exact"/>
        <w:rPr>
          <w:rFonts w:ascii="Arial" w:cs="Arial" w:eastAsia="Arial" w:hAnsi="Arial"/>
          <w:sz w:val="18"/>
          <w:szCs w:val="18"/>
          <w:color w:val="auto"/>
        </w:rPr>
      </w:pPr>
    </w:p>
    <w:p>
      <w:pPr>
        <w:ind w:left="472" w:hanging="247"/>
        <w:spacing w:after="0"/>
        <w:tabs>
          <w:tab w:leader="none" w:pos="4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Indebtedness arising under a Rate Protection Agreement or Foreign Currency Hedging Agreement permitted under Section 6.19.</w:t>
      </w:r>
    </w:p>
    <w:p>
      <w:pPr>
        <w:spacing w:after="0" w:line="117" w:lineRule="exact"/>
        <w:rPr>
          <w:sz w:val="20"/>
          <w:szCs w:val="20"/>
          <w:color w:val="auto"/>
        </w:rPr>
      </w:pPr>
    </w:p>
    <w:p>
      <w:pPr>
        <w:jc w:val="both"/>
        <w:ind w:left="232" w:right="200" w:firstLine="225"/>
        <w:spacing w:after="0" w:line="286"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Liens</w:t>
      </w:r>
      <w:r>
        <w:rPr>
          <w:rFonts w:ascii="Arial" w:cs="Arial" w:eastAsia="Arial" w:hAnsi="Arial"/>
          <w:sz w:val="17"/>
          <w:szCs w:val="17"/>
          <w:color w:val="auto"/>
        </w:rPr>
        <w:t>. The Borrower shall not, and shall not permit any Subsidiary to, create, incur, assume, or suffer to exist any Lien, or enter into, or make any commitment to enter into, any arrangement for the acquisition of any property through conditional sale, lease-purchase, or other title retention agreements, with respect to any property now owned or hereafter acquired by the Borrower or a Subsidiary, except:</w:t>
      </w:r>
    </w:p>
    <w:p>
      <w:pPr>
        <w:spacing w:after="0" w:line="57" w:lineRule="exact"/>
        <w:rPr>
          <w:sz w:val="20"/>
          <w:szCs w:val="20"/>
          <w:color w:val="auto"/>
        </w:rPr>
      </w:pPr>
    </w:p>
    <w:p>
      <w:pPr>
        <w:ind w:left="472" w:hanging="247"/>
        <w:spacing w:after="0"/>
        <w:tabs>
          <w:tab w:leader="none" w:pos="4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Liens at any time created in favor of the Bank.</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Liens existing on the date of this Agreement and disclosed on </w:t>
      </w:r>
      <w:r>
        <w:rPr>
          <w:rFonts w:ascii="Arial" w:cs="Arial" w:eastAsia="Arial" w:hAnsi="Arial"/>
          <w:sz w:val="18"/>
          <w:szCs w:val="18"/>
          <w:u w:val="single" w:color="auto"/>
          <w:color w:val="auto"/>
        </w:rPr>
        <w:t>Schedule 6.12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220" w:firstLine="233"/>
        <w:spacing w:after="0" w:line="277" w:lineRule="auto"/>
        <w:tabs>
          <w:tab w:leader="none" w:pos="462"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Deposits or pledges to secure payment of workers’ compensation, unemployment insurance, old age pensions, or other social security obligations, in the ordinary course of business of the Borrower or a Subsidiary.</w:t>
      </w:r>
    </w:p>
    <w:p>
      <w:pPr>
        <w:spacing w:after="0" w:line="62" w:lineRule="exact"/>
        <w:rPr>
          <w:rFonts w:ascii="Arial" w:cs="Arial" w:eastAsia="Arial" w:hAnsi="Arial"/>
          <w:sz w:val="18"/>
          <w:szCs w:val="18"/>
          <w:color w:val="auto"/>
        </w:rPr>
      </w:pPr>
    </w:p>
    <w:p>
      <w:pPr>
        <w:ind w:left="-8" w:firstLine="233"/>
        <w:spacing w:after="0" w:line="277" w:lineRule="auto"/>
        <w:tabs>
          <w:tab w:leader="none" w:pos="4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Liens for taxes, fees, assessments, and governmental charges not delinquent or to the extent that payment therefor is not at the time required to be made in accordance with Section 5.4.</w:t>
      </w:r>
    </w:p>
    <w:p>
      <w:pPr>
        <w:spacing w:after="0" w:line="62" w:lineRule="exact"/>
        <w:rPr>
          <w:rFonts w:ascii="Arial" w:cs="Arial" w:eastAsia="Arial" w:hAnsi="Arial"/>
          <w:sz w:val="18"/>
          <w:szCs w:val="18"/>
          <w:color w:val="auto"/>
        </w:rPr>
      </w:pPr>
    </w:p>
    <w:p>
      <w:pPr>
        <w:ind w:left="-8" w:right="220" w:firstLine="233"/>
        <w:spacing w:after="0" w:line="277" w:lineRule="auto"/>
        <w:tabs>
          <w:tab w:leader="none" w:pos="462" w:val="left"/>
        </w:tabs>
        <w:numPr>
          <w:ilvl w:val="1"/>
          <w:numId w:val="78"/>
        </w:numPr>
        <w:rPr>
          <w:rFonts w:ascii="Arial" w:cs="Arial" w:eastAsia="Arial" w:hAnsi="Arial"/>
          <w:sz w:val="18"/>
          <w:szCs w:val="18"/>
          <w:color w:val="auto"/>
        </w:rPr>
      </w:pPr>
      <w:r>
        <w:rPr>
          <w:rFonts w:ascii="Arial" w:cs="Arial" w:eastAsia="Arial" w:hAnsi="Arial"/>
          <w:sz w:val="18"/>
          <w:szCs w:val="18"/>
          <w:color w:val="auto"/>
        </w:rPr>
        <w:t>Liens of carriers, warehousemen, mechanics, and materialmen, and other like Liens arising in the ordinary course of business, for sums not due or to the extent that payment therefor is not at the time required to be made in accordance with Section 5.4.</w:t>
      </w:r>
    </w:p>
    <w:p>
      <w:pPr>
        <w:spacing w:after="0" w:line="62" w:lineRule="exact"/>
        <w:rPr>
          <w:rFonts w:ascii="Arial" w:cs="Arial" w:eastAsia="Arial" w:hAnsi="Arial"/>
          <w:sz w:val="18"/>
          <w:szCs w:val="18"/>
          <w:color w:val="auto"/>
        </w:rPr>
      </w:pPr>
    </w:p>
    <w:p>
      <w:pPr>
        <w:ind w:left="452" w:hanging="227"/>
        <w:spacing w:after="0"/>
        <w:tabs>
          <w:tab w:leader="none" w:pos="452" w:val="left"/>
        </w:tabs>
        <w:numPr>
          <w:ilvl w:val="1"/>
          <w:numId w:val="78"/>
        </w:numPr>
        <w:rPr>
          <w:rFonts w:ascii="Arial" w:cs="Arial" w:eastAsia="Arial" w:hAnsi="Arial"/>
          <w:sz w:val="17"/>
          <w:szCs w:val="17"/>
          <w:color w:val="auto"/>
        </w:rPr>
      </w:pPr>
      <w:r>
        <w:rPr>
          <w:rFonts w:ascii="Arial" w:cs="Arial" w:eastAsia="Arial" w:hAnsi="Arial"/>
          <w:sz w:val="17"/>
          <w:szCs w:val="17"/>
          <w:color w:val="auto"/>
        </w:rPr>
        <w:t>Liens incurred or deposits or pledges made or given in connection with, or to secure payment of, indemnity, performance, or other similar bonds.</w:t>
      </w:r>
    </w:p>
    <w:p>
      <w:pPr>
        <w:spacing w:after="0" w:line="128" w:lineRule="exact"/>
        <w:rPr>
          <w:rFonts w:ascii="Arial" w:cs="Arial" w:eastAsia="Arial" w:hAnsi="Arial"/>
          <w:sz w:val="17"/>
          <w:szCs w:val="17"/>
          <w:color w:val="auto"/>
        </w:rPr>
      </w:pPr>
    </w:p>
    <w:p>
      <w:pPr>
        <w:ind w:left="-8" w:right="80" w:firstLine="233"/>
        <w:spacing w:after="0" w:line="291" w:lineRule="auto"/>
        <w:tabs>
          <w:tab w:leader="none" w:pos="472" w:val="left"/>
        </w:tabs>
        <w:numPr>
          <w:ilvl w:val="1"/>
          <w:numId w:val="78"/>
        </w:numPr>
        <w:rPr>
          <w:rFonts w:ascii="Arial" w:cs="Arial" w:eastAsia="Arial" w:hAnsi="Arial"/>
          <w:sz w:val="16"/>
          <w:szCs w:val="16"/>
          <w:color w:val="auto"/>
        </w:rPr>
      </w:pPr>
      <w:r>
        <w:rPr>
          <w:rFonts w:ascii="Arial" w:cs="Arial" w:eastAsia="Arial" w:hAnsi="Arial"/>
          <w:sz w:val="16"/>
          <w:szCs w:val="16"/>
          <w:color w:val="auto"/>
        </w:rPr>
        <w:t>Liens arising solely by virtue of any statutory or common law provision relating to banker’s liens, rights of set-off, or similar rights and remedies as to deposit accounts or other funds maintained with a creditor depository institution; provided that, as to each deposit account not maintained with the Bank,</w:t>
      </w:r>
    </w:p>
    <w:p>
      <w:pPr>
        <w:jc w:val="both"/>
        <w:ind w:left="-8" w:right="80" w:firstLine="8"/>
        <w:spacing w:after="0" w:line="255" w:lineRule="auto"/>
        <w:tabs>
          <w:tab w:leader="none" w:pos="2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deposit account is not a dedicated cash collateral account and is not subject to restriction against access by the Borrower or a Subsidiary in excess of those set forth by regulations promulgated by the Board, and (ii) such deposit account is not intended by the Borrower or any Subsidiary to provide collateral to the depository institution.</w:t>
      </w:r>
    </w:p>
    <w:p>
      <w:pPr>
        <w:spacing w:after="0" w:line="82" w:lineRule="exact"/>
        <w:rPr>
          <w:rFonts w:ascii="Arial" w:cs="Arial" w:eastAsia="Arial" w:hAnsi="Arial"/>
          <w:sz w:val="18"/>
          <w:szCs w:val="18"/>
          <w:color w:val="auto"/>
        </w:rPr>
      </w:pPr>
    </w:p>
    <w:p>
      <w:pPr>
        <w:ind w:left="-8" w:right="60" w:firstLine="233"/>
        <w:spacing w:after="0" w:line="264" w:lineRule="auto"/>
        <w:tabs>
          <w:tab w:leader="none" w:pos="4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Encumbrances in the nature of zoning restrictions, easements, and rights or restrictions of record on the use of real property and landlord’s Liens under leases on the premises rented that do not materially detract from the value of such property or impair the use thereof in the business of the Borrower or a Subsidiary.</w:t>
      </w:r>
    </w:p>
    <w:p>
      <w:pPr>
        <w:spacing w:after="0" w:line="73" w:lineRule="exact"/>
        <w:rPr>
          <w:rFonts w:ascii="Arial" w:cs="Arial" w:eastAsia="Arial" w:hAnsi="Arial"/>
          <w:sz w:val="18"/>
          <w:szCs w:val="18"/>
          <w:color w:val="auto"/>
        </w:rPr>
      </w:pPr>
    </w:p>
    <w:p>
      <w:pPr>
        <w:ind w:left="-8" w:right="380" w:firstLine="233"/>
        <w:spacing w:after="0" w:line="277" w:lineRule="auto"/>
        <w:tabs>
          <w:tab w:leader="none" w:pos="42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interest of any lessor under any Capitalized Lease entered into after the Effective Date or purchase money Liens on property acquired after the Effective Date; provided, that (i) the</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40" w:name="page141"/>
    <w:bookmarkEnd w:id="140"/>
    <w:p>
      <w:pPr>
        <w:spacing w:after="0" w:line="277" w:lineRule="auto"/>
        <w:rPr>
          <w:sz w:val="20"/>
          <w:szCs w:val="20"/>
          <w:color w:val="auto"/>
        </w:rPr>
      </w:pPr>
      <w:r>
        <w:rPr>
          <w:rFonts w:ascii="Arial" w:cs="Arial" w:eastAsia="Arial" w:hAnsi="Arial"/>
          <w:sz w:val="18"/>
          <w:szCs w:val="18"/>
          <w:color w:val="auto"/>
        </w:rPr>
        <w:t>Indebtedness secured thereby is permitted by Section 6.11(f) and (ii) such Liens are limited to the property acquired and do not secure Indebtedness other than the related Capitalized Lease Obligations or the purchase price of such property.</w:t>
      </w:r>
    </w:p>
    <w:p>
      <w:pPr>
        <w:spacing w:after="0" w:line="62" w:lineRule="exact"/>
        <w:rPr>
          <w:sz w:val="20"/>
          <w:szCs w:val="20"/>
          <w:color w:val="auto"/>
        </w:rPr>
      </w:pPr>
    </w:p>
    <w:p>
      <w:pPr>
        <w:ind w:left="240" w:right="140" w:firstLine="225"/>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Contingent Liabilities</w:t>
      </w:r>
      <w:r>
        <w:rPr>
          <w:rFonts w:ascii="Arial" w:cs="Arial" w:eastAsia="Arial" w:hAnsi="Arial"/>
          <w:sz w:val="18"/>
          <w:szCs w:val="18"/>
          <w:color w:val="auto"/>
        </w:rPr>
        <w:t xml:space="preserve">. The Borrower shall not, and shall not permit any Restricted Subsidiary to, be or become liable on any Contingent Obligations except Contingent Obligations existing on the date of this Agreement and described on </w:t>
      </w:r>
      <w:r>
        <w:rPr>
          <w:rFonts w:ascii="Arial" w:cs="Arial" w:eastAsia="Arial" w:hAnsi="Arial"/>
          <w:sz w:val="18"/>
          <w:szCs w:val="18"/>
          <w:u w:val="single" w:color="auto"/>
          <w:color w:val="auto"/>
        </w:rPr>
        <w:t>Schedule 6.13</w:t>
      </w:r>
      <w:r>
        <w:rPr>
          <w:rFonts w:ascii="Arial" w:cs="Arial" w:eastAsia="Arial" w:hAnsi="Arial"/>
          <w:sz w:val="18"/>
          <w:szCs w:val="18"/>
          <w:color w:val="auto"/>
        </w:rPr>
        <w:t xml:space="preserve"> and Contingent Obligations for the Bank’s benefit.</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Cash Flow Leverage Ratio</w:t>
      </w:r>
      <w:r>
        <w:rPr>
          <w:rFonts w:ascii="Arial" w:cs="Arial" w:eastAsia="Arial" w:hAnsi="Arial"/>
          <w:sz w:val="18"/>
          <w:szCs w:val="18"/>
          <w:color w:val="auto"/>
        </w:rPr>
        <w:t>. The Borrower shall not permit the Cash Flow Leverage Ratio, as of the last day of any fiscal quarter for the four consecutive fiscal quarters ending on that date, to be more than 1.00 to 1.0.</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The Borrower shall not permit the Fixed Charge Coverage Ratio, as of the last day of any fiscal quarter for the four consecutive fiscal quarters ending on that date, to be less than 2.00 to 1.0.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Quick Ratio</w:t>
      </w:r>
      <w:r>
        <w:rPr>
          <w:rFonts w:ascii="Arial" w:cs="Arial" w:eastAsia="Arial" w:hAnsi="Arial"/>
          <w:sz w:val="18"/>
          <w:szCs w:val="18"/>
          <w:color w:val="auto"/>
        </w:rPr>
        <w:t>. The Borrower shall not permit the Quick Ratio, as of the end of each fiscal quarter, to be less than 0.90 to 1.0.</w:t>
      </w:r>
    </w:p>
    <w:p>
      <w:pPr>
        <w:spacing w:after="0" w:line="117"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 xml:space="preserve">Section 6.17. </w:t>
      </w:r>
      <w:r>
        <w:rPr>
          <w:rFonts w:ascii="Arial" w:cs="Arial" w:eastAsia="Arial" w:hAnsi="Arial"/>
          <w:sz w:val="17"/>
          <w:szCs w:val="17"/>
          <w:u w:val="single" w:color="auto"/>
          <w:color w:val="auto"/>
        </w:rPr>
        <w:t>Loan Proceeds</w:t>
      </w:r>
      <w:r>
        <w:rPr>
          <w:rFonts w:ascii="Arial" w:cs="Arial" w:eastAsia="Arial" w:hAnsi="Arial"/>
          <w:sz w:val="17"/>
          <w:szCs w:val="17"/>
          <w:color w:val="auto"/>
        </w:rPr>
        <w:t>. The Borrower shall not, and shall not permit any Subsidiary to, use any part of the proceeds of the Loans directly or indirectly, and whether immediately, incidentally, or ultimately, (a) to purchase or carry margin stock (as defined in Regulation U of the Board) or to extend credit to others for the purpose of purchasing or carrying margin stock or to refund Indebtedness originally incurred for such purpose or (b) for any purpose that entails a violation of, or that is inconsistent with, the provisions of Regulations U or X of the Board.</w:t>
      </w:r>
    </w:p>
    <w:p>
      <w:pPr>
        <w:spacing w:after="0" w:line="63"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The Borrower shall not, and shall not permit any Restricted Subsidiary to, enter into any arrangement, directly or indirectly, whereby it sells or transfers any property, real or personal, and thereafter leases such property for the same or a substantially similar purpose or purposes as the property sold or transferred.</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Rate Protection and Foreign Currency Hedging Agreements</w:t>
      </w:r>
      <w:r>
        <w:rPr>
          <w:rFonts w:ascii="Arial" w:cs="Arial" w:eastAsia="Arial" w:hAnsi="Arial"/>
          <w:sz w:val="18"/>
          <w:szCs w:val="18"/>
          <w:color w:val="auto"/>
        </w:rPr>
        <w:t>. The Borrower shall not, and shall not permit any Restricted Subsidiary to, enter into any hedging arrangements, other than any Rate Protection Agreements and Foreign Currency Hedging Agreements.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one or more of the following events shall constitute an Event of Default:</w:t>
      </w:r>
    </w:p>
    <w:p>
      <w:pPr>
        <w:spacing w:after="0" w:line="117" w:lineRule="exact"/>
        <w:rPr>
          <w:sz w:val="20"/>
          <w:szCs w:val="20"/>
          <w:color w:val="auto"/>
        </w:rPr>
      </w:pPr>
    </w:p>
    <w:p>
      <w:pPr>
        <w:ind w:right="500" w:firstLine="233"/>
        <w:spacing w:after="0" w:line="277" w:lineRule="auto"/>
        <w:tabs>
          <w:tab w:leader="none" w:pos="4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Borrower fails to make when due, whether by acceleration or otherwise, any payment of principal of or interest on the any Note or any other Obligation required to be paid to the Bank pursuant to this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ind w:left="-8" w:firstLine="233"/>
        <w:spacing w:after="0" w:line="264" w:lineRule="auto"/>
        <w:tabs>
          <w:tab w:leader="none" w:pos="462"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representation or warranty made by or on behalf of the Borrower or any Subsidiary in this Agreement, any other Loan Document, or any certificate, statement, report, or document herewith or hereafter furnished to the Bank pursuant to this Agreement or any other Loan Document proves to have been false or misleading in any material respect on the date as of which the facts set forth are stated or certified.</w:t>
      </w:r>
    </w:p>
    <w:p>
      <w:pPr>
        <w:spacing w:after="0" w:line="73" w:lineRule="exact"/>
        <w:rPr>
          <w:rFonts w:ascii="Arial" w:cs="Arial" w:eastAsia="Arial" w:hAnsi="Arial"/>
          <w:sz w:val="18"/>
          <w:szCs w:val="18"/>
          <w:color w:val="auto"/>
        </w:rPr>
      </w:pPr>
    </w:p>
    <w:p>
      <w:pPr>
        <w:ind w:left="472" w:hanging="247"/>
        <w:spacing w:after="0"/>
        <w:tabs>
          <w:tab w:leader="none" w:pos="47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Borrower fails to comply with Sections 5.2 or 5.3 or any section of Article VI hereof.</w:t>
      </w:r>
    </w:p>
    <w:p>
      <w:pPr>
        <w:spacing w:after="0" w:line="117" w:lineRule="exact"/>
        <w:rPr>
          <w:rFonts w:ascii="Arial" w:cs="Arial" w:eastAsia="Arial" w:hAnsi="Arial"/>
          <w:sz w:val="18"/>
          <w:szCs w:val="18"/>
          <w:color w:val="auto"/>
        </w:rPr>
      </w:pPr>
    </w:p>
    <w:p>
      <w:pPr>
        <w:jc w:val="both"/>
        <w:ind w:left="-8" w:right="60" w:firstLine="233"/>
        <w:spacing w:after="0" w:line="259" w:lineRule="auto"/>
        <w:tabs>
          <w:tab w:leader="none" w:pos="469"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Borrower fails to comply with any agreement, covenant, condition, provision, or term in this Agreement (other than those hereinabove set forth in this Section 7.1), and such failure continues for 30 calendar days after the earliest of (i) the date the Borrower gives notice of such failure to the Bank, (ii) the date the Borrower should have given notice of such failure to the Bank pursuant to Section 5.1, or (iii) the date the Bank gives notice of such failure to the Borrower.</w:t>
      </w:r>
    </w:p>
    <w:p>
      <w:pPr>
        <w:spacing w:after="0" w:line="78" w:lineRule="exact"/>
        <w:rPr>
          <w:rFonts w:ascii="Arial" w:cs="Arial" w:eastAsia="Arial" w:hAnsi="Arial"/>
          <w:sz w:val="18"/>
          <w:szCs w:val="18"/>
          <w:color w:val="auto"/>
        </w:rPr>
      </w:pPr>
    </w:p>
    <w:p>
      <w:pPr>
        <w:ind w:left="-8" w:right="160" w:firstLine="233"/>
        <w:spacing w:after="0" w:line="279" w:lineRule="auto"/>
        <w:tabs>
          <w:tab w:leader="none" w:pos="459"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Borrower or any Subsidiary (i) becomes insolvent or generally does not pay its debts as they mature, (ii) applies for, consents to, or acquiesces in the appointment of a custodian, trustee, or receiver of the Borrower or such Subsidiary or for a substantial part of the property thereof, or, in the absence of such application, consent, or acquiescence, a custodian, trustee, or receiver is appointed for the Borrower or a Subsidiary or for a substantial part of the property thereof and is not discharged within 45 days, or (iii) makes an assignment for the benefit of creditors.</w:t>
      </w:r>
    </w:p>
    <w:p>
      <w:pPr>
        <w:spacing w:after="0" w:line="63" w:lineRule="exact"/>
        <w:rPr>
          <w:rFonts w:ascii="Arial" w:cs="Arial" w:eastAsia="Arial" w:hAnsi="Arial"/>
          <w:sz w:val="17"/>
          <w:szCs w:val="17"/>
          <w:color w:val="auto"/>
        </w:rPr>
      </w:pPr>
    </w:p>
    <w:p>
      <w:pPr>
        <w:ind w:left="-8" w:right="40" w:firstLine="233"/>
        <w:spacing w:after="0" w:line="291" w:lineRule="auto"/>
        <w:tabs>
          <w:tab w:leader="none" w:pos="432"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bankruptcy, reorganization, debt arrangement, or other proceeding under any bankruptcy or insolvency law is instituted by or against the Borrower or any Subsidiary, and, if instituted against the Borrower or any Subsidiary, (i) the Borrower or such Subsidiary has consented thereto or acquiesced therein,</w:t>
      </w:r>
    </w:p>
    <w:p>
      <w:pPr>
        <w:ind w:left="272" w:hanging="272"/>
        <w:spacing w:after="0"/>
        <w:tabs>
          <w:tab w:leader="none" w:pos="2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remains undismissed for 60 days, or (iii) an order for relief therein has been entered against the Borrower or such Subsidiary.</w:t>
      </w:r>
    </w:p>
    <w:p>
      <w:pPr>
        <w:spacing w:after="0" w:line="102" w:lineRule="exact"/>
        <w:rPr>
          <w:rFonts w:ascii="Arial" w:cs="Arial" w:eastAsia="Arial" w:hAnsi="Arial"/>
          <w:sz w:val="18"/>
          <w:szCs w:val="18"/>
          <w:color w:val="auto"/>
        </w:rPr>
      </w:pPr>
    </w:p>
    <w:p>
      <w:pPr>
        <w:ind w:left="-8" w:right="20" w:firstLine="233"/>
        <w:spacing w:after="0" w:line="308" w:lineRule="auto"/>
        <w:tabs>
          <w:tab w:leader="none" w:pos="462"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dissolution or liquidation proceeding not permitted by Section 6.1 is instituted by or against the Borrower or a Subsidiary, and, if instituted against the Borrower or any Subsidiary, is consented to or acquiesced in by the Borrower or such Subsidiary or remains for 45 days undismissed.</w:t>
      </w:r>
    </w:p>
    <w:p>
      <w:pPr>
        <w:spacing w:after="0" w:line="38" w:lineRule="exact"/>
        <w:rPr>
          <w:rFonts w:ascii="Arial" w:cs="Arial" w:eastAsia="Arial" w:hAnsi="Arial"/>
          <w:sz w:val="17"/>
          <w:szCs w:val="17"/>
          <w:color w:val="auto"/>
        </w:rPr>
      </w:pPr>
    </w:p>
    <w:p>
      <w:pPr>
        <w:ind w:left="-8" w:right="60" w:firstLine="233"/>
        <w:spacing w:after="0" w:line="312" w:lineRule="auto"/>
        <w:tabs>
          <w:tab w:leader="none" w:pos="462" w:val="left"/>
        </w:tabs>
        <w:numPr>
          <w:ilvl w:val="1"/>
          <w:numId w:val="82"/>
        </w:numPr>
        <w:rPr>
          <w:rFonts w:ascii="Arial" w:cs="Arial" w:eastAsia="Arial" w:hAnsi="Arial"/>
          <w:sz w:val="16"/>
          <w:szCs w:val="16"/>
          <w:color w:val="auto"/>
        </w:rPr>
      </w:pPr>
      <w:r>
        <w:rPr>
          <w:rFonts w:ascii="Arial" w:cs="Arial" w:eastAsia="Arial" w:hAnsi="Arial"/>
          <w:sz w:val="16"/>
          <w:szCs w:val="16"/>
          <w:color w:val="auto"/>
        </w:rPr>
        <w:t>A judgment or judgments for the payment of money in excess of the sum of $500,000 in the aggregate is rendered against the Borrower or a Restricted Subsidiary and either (i) the judgment creditor executes on such judgment or (ii) such judgment remains unpaid or undischarged for more than 60 days from the date of entry thereof or such longer period during which execution of such judgment is stayed during an appeal from such judgment.</w:t>
      </w:r>
    </w:p>
    <w:p>
      <w:pPr>
        <w:spacing w:after="0" w:line="38" w:lineRule="exact"/>
        <w:rPr>
          <w:rFonts w:ascii="Arial" w:cs="Arial" w:eastAsia="Arial" w:hAnsi="Arial"/>
          <w:sz w:val="16"/>
          <w:szCs w:val="16"/>
          <w:color w:val="auto"/>
        </w:rPr>
      </w:pPr>
    </w:p>
    <w:p>
      <w:pPr>
        <w:ind w:left="-8" w:right="20" w:firstLine="233"/>
        <w:spacing w:after="0" w:line="272" w:lineRule="auto"/>
        <w:tabs>
          <w:tab w:leader="none" w:pos="429"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maturity of any material Indebtedness of the Borrower (other than Indebtedness under this Agreement) or a Restricted Subsidiary is accelerated, or the Borrower or a Restricted Subsidiary fails to pay any such material Indebtedness when due (after the lapse of any applicable grace period) or, in the case of Indebtedness payable on demand, when demanded (after the lapse of any applicable grace period), or any event occurs or condition exists and continues for more than the period of grace, if any, applicable thereto and has the effect of causing such material Indebtedness to become due prior to its stated maturity, or permitting the holder of any such Indebtedness or any trustee or other Person acting on behalf of such holder to cause such material Indebtedness to become due prior to its stated maturity or to realize upon any collateral given as security therefor. For purposes of this section, Indebtedness of the Borrower or a Restricted Subsidiary shall be deemed “material” if it exceeds</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42" w:name="page143"/>
    <w:bookmarkEnd w:id="142"/>
    <w:p>
      <w:pPr>
        <w:ind w:right="920"/>
        <w:spacing w:after="0" w:line="277" w:lineRule="auto"/>
        <w:rPr>
          <w:sz w:val="20"/>
          <w:szCs w:val="20"/>
          <w:color w:val="auto"/>
        </w:rPr>
      </w:pPr>
      <w:r>
        <w:rPr>
          <w:rFonts w:ascii="Arial" w:cs="Arial" w:eastAsia="Arial" w:hAnsi="Arial"/>
          <w:sz w:val="18"/>
          <w:szCs w:val="18"/>
          <w:color w:val="auto"/>
        </w:rPr>
        <w:t>$500,000 as to any item of Indebtedness or in the aggregate for all items of Indebtedness with respect to which any of the events described in this Section 7.1(i) has occurred.</w:t>
      </w:r>
    </w:p>
    <w:p>
      <w:pPr>
        <w:spacing w:after="0" w:line="62" w:lineRule="exact"/>
        <w:rPr>
          <w:sz w:val="20"/>
          <w:szCs w:val="20"/>
          <w:color w:val="auto"/>
        </w:rPr>
      </w:pPr>
    </w:p>
    <w:p>
      <w:pPr>
        <w:ind w:right="160" w:firstLine="233"/>
        <w:spacing w:after="0" w:line="277" w:lineRule="auto"/>
        <w:tabs>
          <w:tab w:leader="none" w:pos="4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execution or attachment is issued whereby any substantial part of the property of the Borrower or any Restricted Subsidiary is taken or attempted to be taken and the same is not vacated or stayed within 30 days after the issuance thereof.</w:t>
      </w:r>
    </w:p>
    <w:p>
      <w:pPr>
        <w:spacing w:after="0" w:line="62" w:lineRule="exact"/>
        <w:rPr>
          <w:rFonts w:ascii="Arial" w:cs="Arial" w:eastAsia="Arial" w:hAnsi="Arial"/>
          <w:sz w:val="18"/>
          <w:szCs w:val="18"/>
          <w:color w:val="auto"/>
        </w:rPr>
      </w:pPr>
    </w:p>
    <w:p>
      <w:pPr>
        <w:ind w:right="700" w:firstLine="233"/>
        <w:spacing w:after="0" w:line="277" w:lineRule="auto"/>
        <w:tabs>
          <w:tab w:leader="none" w:pos="4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at any time ceases to be in full force and effect or is judicially declared null and void, or the Borrower contests the validity or enforceability thereof.</w:t>
      </w:r>
    </w:p>
    <w:p>
      <w:pPr>
        <w:spacing w:after="0" w:line="62" w:lineRule="exact"/>
        <w:rPr>
          <w:rFonts w:ascii="Arial" w:cs="Arial" w:eastAsia="Arial" w:hAnsi="Arial"/>
          <w:sz w:val="18"/>
          <w:szCs w:val="18"/>
          <w:color w:val="auto"/>
        </w:rPr>
      </w:pPr>
    </w:p>
    <w:p>
      <w:pPr>
        <w:jc w:val="both"/>
        <w:ind w:right="300" w:firstLine="233"/>
        <w:spacing w:after="0" w:line="264" w:lineRule="auto"/>
        <w:tabs>
          <w:tab w:leader="none" w:pos="4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Pledge Agreement, at any time, ceases to be in full force and effect or is judicially declared null and void, the Borrower contests the validity or enforceability thereof, or the Bank ceases to have a valid and perfected security interest having the priority contemplated thereunder in all of the collateral described therein.</w:t>
      </w:r>
    </w:p>
    <w:p>
      <w:pPr>
        <w:spacing w:after="0" w:line="73" w:lineRule="exact"/>
        <w:rPr>
          <w:rFonts w:ascii="Arial" w:cs="Arial" w:eastAsia="Arial" w:hAnsi="Arial"/>
          <w:sz w:val="18"/>
          <w:szCs w:val="18"/>
          <w:color w:val="auto"/>
        </w:rPr>
      </w:pPr>
    </w:p>
    <w:p>
      <w:pPr>
        <w:ind w:left="520" w:hanging="287"/>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Change of Control occurs.</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Borrower is enjoined, restrained, or in any way prevented by court order from continuing to conduct all or any material part of its business affairs.</w:t>
      </w:r>
    </w:p>
    <w:p>
      <w:pPr>
        <w:spacing w:after="0" w:line="140" w:lineRule="exact"/>
        <w:rPr>
          <w:rFonts w:ascii="Arial" w:cs="Arial" w:eastAsia="Arial" w:hAnsi="Arial"/>
          <w:sz w:val="16"/>
          <w:szCs w:val="16"/>
          <w:color w:val="auto"/>
        </w:rPr>
      </w:pPr>
    </w:p>
    <w:p>
      <w:pPr>
        <w:ind w:left="480" w:hanging="247"/>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Material Adverse Occurrence occurs.</w:t>
      </w:r>
    </w:p>
    <w:p>
      <w:pPr>
        <w:spacing w:after="0" w:line="117" w:lineRule="exact"/>
        <w:rPr>
          <w:sz w:val="20"/>
          <w:szCs w:val="20"/>
          <w:color w:val="auto"/>
        </w:rPr>
      </w:pPr>
    </w:p>
    <w:p>
      <w:pPr>
        <w:ind w:left="240" w:firstLine="225"/>
        <w:spacing w:after="0" w:line="28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Remedies</w:t>
      </w:r>
      <w:r>
        <w:rPr>
          <w:rFonts w:ascii="Arial" w:cs="Arial" w:eastAsia="Arial" w:hAnsi="Arial"/>
          <w:sz w:val="16"/>
          <w:szCs w:val="16"/>
          <w:color w:val="auto"/>
        </w:rPr>
        <w:t>. If (a) any Event of Default described in Sections 7.1 (e), (f) or (g) occurs with respect to the Borrower, the Revolving Commitment shall automatically terminate, the Notes and all other Obligations shall automatically become immediately due and payable, and the Borrower shall without demand pay into the Holding Account an amount equal to the aggregate face amount of all outstanding Letters of Credit; or (b) any other Event of Default occurs and is continuing, the Bank may (i) declare the Revolving Commitment terminated, whereupon the Revolving Commitment shall terminate, (ii) declare the outstanding unpaid principal balance of the Notes the accrued and unpaid interest thereon, and all other Obligations to be forthwith due and payable, whereupon the Notes, all accrued and unpaid interest thereon, and all such Obligations shall immediately become due and payable, in each case without presentment, demand, protest, or other notice of any kind, all of which are hereby expressly waived, anything in this Agreement or in any Note to the contrary notwithstanding, and (iii) demand that the Borrower pay into the Holding Account an amount equal to the aggregate face amount of all outstanding Letters of Credit. Upon the occurrence of any of the events described in clause (a) or (b) of the preceding sentence the Bank may exercise all rights and remedies under any of the Loan Documents, and enforce all rights and remedies under any applicable law.</w:t>
      </w:r>
    </w:p>
    <w:p>
      <w:pPr>
        <w:spacing w:after="0" w:line="61" w:lineRule="exact"/>
        <w:rPr>
          <w:sz w:val="20"/>
          <w:szCs w:val="20"/>
          <w:color w:val="auto"/>
        </w:rPr>
      </w:pPr>
    </w:p>
    <w:p>
      <w:pPr>
        <w:ind w:left="240" w:right="180" w:firstLine="225"/>
        <w:spacing w:after="0" w:line="29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 Accounts; Offset</w:t>
      </w:r>
      <w:r>
        <w:rPr>
          <w:rFonts w:ascii="Arial" w:cs="Arial" w:eastAsia="Arial" w:hAnsi="Arial"/>
          <w:sz w:val="16"/>
          <w:szCs w:val="16"/>
          <w:color w:val="auto"/>
        </w:rPr>
        <w:t>. In addition to the remedies set forth in Section 7.2, upon any Event of Default and thereafter while the same is continuing, the Borrower hereby irrevocably authorizes the Bank to set off any Obligations against all Deposits and any and all claims of the Borrower against the Bank. Such right shall exist whether or not the Bank has made any demand hereunder or under any other Loan Document, whether or not the Obligations, or any part thereof, or Deposits are matured or unmatured, and regardless of the existence or adequacy of any collateral, guaranty, or other security, right, or remedy available to the Bank. The Bank agrees that, as promptly as is reasonably possible after the exercise of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jc w:val="both"/>
        <w:ind w:right="140"/>
        <w:spacing w:after="0" w:line="286" w:lineRule="auto"/>
        <w:rPr>
          <w:sz w:val="20"/>
          <w:szCs w:val="20"/>
          <w:color w:val="auto"/>
        </w:rPr>
      </w:pPr>
      <w:r>
        <w:rPr>
          <w:rFonts w:ascii="Arial" w:cs="Arial" w:eastAsia="Arial" w:hAnsi="Arial"/>
          <w:sz w:val="17"/>
          <w:szCs w:val="17"/>
          <w:color w:val="auto"/>
        </w:rPr>
        <w:t>such setoff or enforcement right, it shall notify the Borrower of its exercise of such setoff or enforcement right; provided, however, that the failure of the Bank to provide such notice shall not affect the validity of the exercise of such setoff or enforcement rights. Nothing in this Agreement shall be deemed a waiver or prohibition of or restriction on the Bank’s rights of banker’s lien, setoff, and counterclaim available pursuant to law.</w:t>
      </w:r>
    </w:p>
    <w:p>
      <w:pPr>
        <w:spacing w:after="0" w:line="27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MISCELLANEOUS</w:t>
      </w:r>
    </w:p>
    <w:p>
      <w:pPr>
        <w:spacing w:after="0" w:line="10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Modifications</w:t>
      </w:r>
      <w:r>
        <w:rPr>
          <w:rFonts w:ascii="Arial" w:cs="Arial" w:eastAsia="Arial" w:hAnsi="Arial"/>
          <w:sz w:val="18"/>
          <w:szCs w:val="18"/>
          <w:color w:val="auto"/>
        </w:rPr>
        <w:t>. Notwithstanding any provisions to the contrary herein, any term of this Agreement may be amended with the written consent of the Borrower; provided that no amendment, modification, or waiver of any provision of this Agreement or consent to any departure by the Borrower therefrom shall in any event be effective unless the same is in writing and signed by the Bank, and then such amendment, modification, waiver, or consent shall be effective only in the specific instance and for the purpose for which given.</w:t>
      </w:r>
    </w:p>
    <w:p>
      <w:pPr>
        <w:spacing w:after="0" w:line="79"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Expenses</w:t>
      </w:r>
      <w:r>
        <w:rPr>
          <w:rFonts w:ascii="Arial" w:cs="Arial" w:eastAsia="Arial" w:hAnsi="Arial"/>
          <w:sz w:val="16"/>
          <w:szCs w:val="16"/>
          <w:color w:val="auto"/>
        </w:rPr>
        <w:t>. Whether or not the transactions contemplated hereby are consummated, the Borrower agrees to pay or reimburse the Bank upon demand for all reasonable out-of-pocket expenses paid or incurred by the Bank, including filing and recording costs and fees, charges and disbursements of outside counsel to the Bank (determined on the basis of such counsel’s generally applicable rates, which may be higher than the rates such counsel charges the Bank in certain matters), and/or the allocated costs of in-house counsel incurred from time to time, in connection with the negotiation, preparation, approval, review, execution, delivery, administration, amendment, modification, interpretation, collection, and enforcement of this Agreement and the other Loan Documents and any commitment letters relating thereto paid or incurred by the Bank in connection with the collection and enforcement of this Agreement and any other Loan Document. The Borrower’s obligations under this section shall survive any termination of this Agreement. The Bank acknowledges that it has received a deposit of $10,000 prior to the Effective Date which will be applied toward such expenses and fees described in Section 2.14 and this Section 8.2, with the Borrower paying such additional amounts as may be required to comply with this Section and Section 3.1(e).</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Waivers, Etc</w:t>
      </w:r>
      <w:r>
        <w:rPr>
          <w:rFonts w:ascii="Arial" w:cs="Arial" w:eastAsia="Arial" w:hAnsi="Arial"/>
          <w:sz w:val="18"/>
          <w:szCs w:val="18"/>
          <w:color w:val="auto"/>
        </w:rPr>
        <w:t>. No failure on the part of the Bank or the holder of any Note to exercise and no delay in exercising any power or right hereunder or under any other Loan Document shall operate as a waiver thereof; nor shall any single or partial exercise of any power or right preclude any other or further exercise thereof or the exercise of any other power or right. The remedies herein and in the other Loan Documents provided are cumulative and not exclusive of any remedies provided by law.</w:t>
      </w:r>
    </w:p>
    <w:p>
      <w:pPr>
        <w:spacing w:after="0" w:line="79"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Notices</w:t>
      </w:r>
      <w:r>
        <w:rPr>
          <w:rFonts w:ascii="Arial" w:cs="Arial" w:eastAsia="Arial" w:hAnsi="Arial"/>
          <w:sz w:val="16"/>
          <w:szCs w:val="16"/>
          <w:color w:val="auto"/>
        </w:rPr>
        <w:t>. Except when telephonic notice is expressly authorized by this Agreement, any notice or other communication to any party in connection with this Agreement shall be in writing and shall be sent by manual delivery, facsimile transmission, overnight courier, or United States mail (postage prepaid) addressed to such party at the address specified on the signature page hereof, or at such other address as such party specifies to the other party hereto in writing. All periods of notice shall be measured from the date of delivery if manually delivered, from the date of sending if sent by facsimile transmission, from the first Banking Day after the date of sending if sent by overnight courier, or from four days after the date of mailing</w:t>
      </w:r>
    </w:p>
    <w:p>
      <w:pPr>
        <w:spacing w:after="0" w:line="1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44" w:name="page145"/>
    <w:bookmarkEnd w:id="144"/>
    <w:p>
      <w:pPr>
        <w:ind w:left="232"/>
        <w:spacing w:after="0"/>
        <w:rPr>
          <w:sz w:val="20"/>
          <w:szCs w:val="20"/>
          <w:color w:val="auto"/>
        </w:rPr>
      </w:pPr>
      <w:r>
        <w:rPr>
          <w:rFonts w:ascii="Arial" w:cs="Arial" w:eastAsia="Arial" w:hAnsi="Arial"/>
          <w:sz w:val="17"/>
          <w:szCs w:val="17"/>
          <w:color w:val="auto"/>
        </w:rPr>
        <w:t>if mailed; provided, however, that any notice to the Bank under Article II hereof shall be deemed to have been given only when received by the Bank.</w:t>
      </w:r>
    </w:p>
    <w:p>
      <w:pPr>
        <w:spacing w:after="0" w:line="129" w:lineRule="exact"/>
        <w:rPr>
          <w:sz w:val="20"/>
          <w:szCs w:val="20"/>
          <w:color w:val="auto"/>
        </w:rPr>
      </w:pPr>
    </w:p>
    <w:p>
      <w:pPr>
        <w:ind w:left="232" w:right="160" w:firstLine="225"/>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Taxes</w:t>
      </w:r>
      <w:r>
        <w:rPr>
          <w:rFonts w:ascii="Arial" w:cs="Arial" w:eastAsia="Arial" w:hAnsi="Arial"/>
          <w:sz w:val="18"/>
          <w:szCs w:val="18"/>
          <w:color w:val="auto"/>
        </w:rPr>
        <w:t>. The Borrower agrees to pay, and save the Bank harmless from all liability for, any stamp or other taxes that may be payable with respect to the execution or delivery of this Agreement or the issuance of the Notes, which obligation of the Borrower shall survive the termination of this Agreement.</w:t>
      </w:r>
    </w:p>
    <w:p>
      <w:pPr>
        <w:spacing w:after="0" w:line="7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Successors and Assigns; Participations; Purchasing Banks</w:t>
      </w:r>
      <w:r>
        <w:rPr>
          <w:rFonts w:ascii="Arial" w:cs="Arial" w:eastAsia="Arial" w:hAnsi="Arial"/>
          <w:sz w:val="18"/>
          <w:szCs w:val="18"/>
          <w:color w:val="auto"/>
        </w:rPr>
        <w:t>.</w:t>
      </w:r>
    </w:p>
    <w:p>
      <w:pPr>
        <w:spacing w:after="0" w:line="117" w:lineRule="exact"/>
        <w:rPr>
          <w:sz w:val="20"/>
          <w:szCs w:val="20"/>
          <w:color w:val="auto"/>
        </w:rPr>
      </w:pPr>
    </w:p>
    <w:p>
      <w:pPr>
        <w:jc w:val="both"/>
        <w:ind w:left="-8" w:right="60" w:firstLine="233"/>
        <w:spacing w:after="0" w:line="264" w:lineRule="auto"/>
        <w:tabs>
          <w:tab w:leader="none" w:pos="459"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Borrower, the Bank, all future holders of the Note, and their respective successors and assigns, except that the Borrower may not assign or transfer any of its rights or obligations under this Agreement without the prior written consent of the Bank.</w:t>
      </w:r>
    </w:p>
    <w:p>
      <w:pPr>
        <w:spacing w:after="0" w:line="73" w:lineRule="exact"/>
        <w:rPr>
          <w:rFonts w:ascii="Arial" w:cs="Arial" w:eastAsia="Arial" w:hAnsi="Arial"/>
          <w:sz w:val="18"/>
          <w:szCs w:val="18"/>
          <w:color w:val="auto"/>
        </w:rPr>
      </w:pPr>
    </w:p>
    <w:p>
      <w:pPr>
        <w:ind w:left="-8" w:right="100" w:firstLine="233"/>
        <w:spacing w:after="0" w:line="288" w:lineRule="auto"/>
        <w:tabs>
          <w:tab w:leader="none" w:pos="469"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Bank may, in the ordinary course of its commercial banking business and in accordance with applicable law, at any time sell to one or more banks or other financial institutions (“</w:t>
      </w:r>
      <w:r>
        <w:rPr>
          <w:rFonts w:ascii="Arial" w:cs="Arial" w:eastAsia="Arial" w:hAnsi="Arial"/>
          <w:sz w:val="16"/>
          <w:szCs w:val="16"/>
          <w:u w:val="single" w:color="auto"/>
          <w:color w:val="auto"/>
        </w:rPr>
        <w:t>Participants</w:t>
      </w:r>
      <w:r>
        <w:rPr>
          <w:rFonts w:ascii="Arial" w:cs="Arial" w:eastAsia="Arial" w:hAnsi="Arial"/>
          <w:sz w:val="16"/>
          <w:szCs w:val="16"/>
          <w:color w:val="auto"/>
        </w:rPr>
        <w:t>”) participating interests in a minimum amount of $500,000 in any Loan or other Obligation owing to the Bank, any Note, any Commitment, or any other interest of the Bank hereunder. In the event of any such sale by the Bank of participating interests to a Participant,</w:t>
      </w:r>
    </w:p>
    <w:p>
      <w:pPr>
        <w:ind w:left="-8" w:firstLine="8"/>
        <w:spacing w:after="0" w:line="285" w:lineRule="auto"/>
        <w:tabs>
          <w:tab w:leader="none" w:pos="207"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Bank’s obligations under this Agreement to the other parties to this Agreement shall remain unchanged, (ii) the Bank shall remain solely responsible for the performance thereof, (iii) the Bank shall remain the holder of the applicable Note for all purposes under this Agreement, (iv) the Borrower shall continue to deal solely and directly with the Bank in connection with the Bank’s rights and obligations under this Agreement, and (v) the agreement pursuant to which such Participant acquires its participating interest herein shall provide that the Bank shall retain the sole right and responsibility to enforce the Obligations, including, without limitation, the right to consent or agree to any amendment, modification, consent, or waiver with respect to this Agreement or any other Loan Document, provided that such agreement may provide that the Bank will not consent or agree to any such amendment, modification, consent, or waiver with respect to the matters set forth in Sections 8.2(a) through (e) without the prior consent of such Participant. The Borrower agrees that if amounts outstanding under this Agreement, the Notes, or the Loan Documents are due and unpaid, or have been declared or have become due and payable upon an Event of Default, each Participant shall be deemed to have, to the extent permitted by applicable law, the right of setoff in respect of its participating interest in amounts owing under this Agreement and the Notes and other Loan Documents to the same extent as if the amount of its participating interest were owing directly to it as a Bank under this Agreement, a Note, or any other Loan Document. The Borrower also agrees that each Participant shall be entitled to the benefits of Section 2.4 and Section 2.6 with respect to its participation in the Commitments and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no Participant shall be entitled to receive any greater amount pursuant to such sections than the Bank would have been entitled to receive in respect of the amount of the participation transferred by the Bank to such Participant had no such transfer occurred.</w:t>
      </w:r>
    </w:p>
    <w:p>
      <w:pPr>
        <w:spacing w:after="0" w:line="60" w:lineRule="exact"/>
        <w:rPr>
          <w:rFonts w:ascii="Arial" w:cs="Arial" w:eastAsia="Arial" w:hAnsi="Arial"/>
          <w:sz w:val="16"/>
          <w:szCs w:val="16"/>
          <w:color w:val="auto"/>
        </w:rPr>
      </w:pPr>
    </w:p>
    <w:p>
      <w:pPr>
        <w:ind w:left="-8" w:right="360" w:firstLine="233"/>
        <w:spacing w:after="0" w:line="308" w:lineRule="auto"/>
        <w:tabs>
          <w:tab w:leader="none" w:pos="459"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Borrower shall not be liable for any costs incurred by the Bank in effecting any participation under subparagraph (b) of this subsection and the Bank will reimburse the Borrower for such costs unless the Borrower has, by separate written agreement, agreed to pay such costs.</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45" w:name="page146"/>
    <w:bookmarkEnd w:id="145"/>
    <w:p>
      <w:pPr>
        <w:ind w:left="-40" w:right="20" w:firstLine="233"/>
        <w:spacing w:after="0" w:line="257" w:lineRule="auto"/>
        <w:tabs>
          <w:tab w:leader="none" w:pos="4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Bank may disclose to any assignee or Participant and to any prospective assignee or Participant any and all financial information in the Bank’s possession concerning the Borrower or any Subsidiary that has been delivered to the Bank by or on behalf of the Borrower or any Subsidiary pursuant to this Agreement or that has been delivered to the Bank by or on behalf of the Borrower or any Subsidiary in connection with the Bank’s credit evaluation of the Borrower or any Subsidiary prior to entering into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disclosing such information, the Bank shall first obtain the agreement of such prospective assignee or Participant to comply with the provisions of Section 8.7.</w:t>
      </w:r>
    </w:p>
    <w:p>
      <w:pPr>
        <w:spacing w:after="0" w:line="80" w:lineRule="exact"/>
        <w:rPr>
          <w:rFonts w:ascii="Arial" w:cs="Arial" w:eastAsia="Arial" w:hAnsi="Arial"/>
          <w:sz w:val="18"/>
          <w:szCs w:val="18"/>
          <w:color w:val="auto"/>
        </w:rPr>
      </w:pPr>
    </w:p>
    <w:p>
      <w:pPr>
        <w:ind w:left="-40" w:right="60" w:firstLine="233"/>
        <w:spacing w:after="0" w:line="259" w:lineRule="auto"/>
        <w:tabs>
          <w:tab w:leader="none" w:pos="4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the Bank may at any time create a security interest in, or pledge, all or any portion of its rights under and interest in this Agreement and any note held by it in favor of any federal reserve bank in accordance with Regulation A of the Board or U.S. Treasury Regulation 31 C.F.R § 203.14, and such Federal Reserve Bank may enforce such pledge or security interest in any manner permitted under applicable law.</w:t>
      </w:r>
    </w:p>
    <w:p>
      <w:pPr>
        <w:spacing w:after="0" w:line="78" w:lineRule="exact"/>
        <w:rPr>
          <w:rFonts w:ascii="Arial" w:cs="Arial" w:eastAsia="Arial" w:hAnsi="Arial"/>
          <w:sz w:val="18"/>
          <w:szCs w:val="18"/>
          <w:color w:val="auto"/>
        </w:rPr>
      </w:pPr>
    </w:p>
    <w:p>
      <w:pPr>
        <w:ind w:left="-40" w:right="100" w:firstLine="233"/>
        <w:spacing w:after="0" w:line="271" w:lineRule="auto"/>
        <w:tabs>
          <w:tab w:leader="none" w:pos="4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connection with this Agreement, the other Transaction Documents, and the transactions and any litigation relating thereto (including in connection with (i) the negotiation, preparation, and execution of the Loan Documents, (ii) the perfection of security interests, if any is hereafter granted, (iii) the completion of any filings or registrations, (iv) the obtaining of any consents, and (v) any present or future legal representation relating to the administration, amendment, modification, waiver, or enforcement of, or any restructuring or forbearance arrangement relating to, any Loan Document), Dorsey &amp; Whitney LLP and any other counsel retained by the Bank in connection with any of such matters (collectively, the “</w:t>
      </w:r>
      <w:r>
        <w:rPr>
          <w:rFonts w:ascii="Arial" w:cs="Arial" w:eastAsia="Arial" w:hAnsi="Arial"/>
          <w:sz w:val="17"/>
          <w:szCs w:val="17"/>
          <w:u w:val="single" w:color="auto"/>
          <w:color w:val="auto"/>
        </w:rPr>
        <w:t>Bank’s Counsel</w:t>
      </w:r>
      <w:r>
        <w:rPr>
          <w:rFonts w:ascii="Arial" w:cs="Arial" w:eastAsia="Arial" w:hAnsi="Arial"/>
          <w:sz w:val="17"/>
          <w:szCs w:val="17"/>
          <w:color w:val="auto"/>
        </w:rPr>
        <w:t>”) has only represented and shall only represent the Bank. The Borrower and each assignee or Participant of the Bank (by accepting an assignment or a participation under Section 8.6 hereof) agrees and acknowledges that the Bank’s Counsel does not represent it, and no attorney-client relationship exists between it and the Bank’s Counsel, in connection with any of the matters described in the preceding sentence.</w:t>
      </w:r>
    </w:p>
    <w:p>
      <w:pPr>
        <w:spacing w:after="0" w:line="71" w:lineRule="exact"/>
        <w:rPr>
          <w:sz w:val="20"/>
          <w:szCs w:val="20"/>
          <w:color w:val="auto"/>
        </w:rPr>
      </w:pPr>
    </w:p>
    <w:p>
      <w:pPr>
        <w:ind w:left="200" w:firstLine="225"/>
        <w:spacing w:after="0" w:line="287"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Confidentiality of Information</w:t>
      </w:r>
      <w:r>
        <w:rPr>
          <w:rFonts w:ascii="Arial" w:cs="Arial" w:eastAsia="Arial" w:hAnsi="Arial"/>
          <w:sz w:val="16"/>
          <w:szCs w:val="16"/>
          <w:color w:val="auto"/>
        </w:rPr>
        <w:t>. The Bank shall use reasonable efforts, but in no event efforts that are less than the efforts the Bank exerts to maintain or protect the confidentiality of its own confidential information, to assure that information about the Borrower and its operations, affairs, and financial condition not generally disclosed to the public or to trade and other creditors that is furnished to the Bank pursuant to the provisions hereof is used only for the purposes of this Agreement, and any other relationship between the Bank and the Borrower shall not be divulged to any Person other than the Bank, its Affiliates, and their respective officers, directors, employees, and agents, except: (a) to their attorneys and accountants, (b) in connection with the enforcement of the rights of the Bank under the Loan Documents or otherwise in connection with applicable litigation, (c) in connection with assignments and participations and the solicitation of prospective assignees and Participants referred to in the immediately preceding section but only after such prospective assignee or Participant has executed the agreement referred to in Section 8.6(d), (d) if such information is generally available to the public other than as a result of disclosure by the Bank or any Participant, (e) to any direct or indirect contractual counterparty in any hedging arrangement or such contractual counterparty’s professional advisor but only after such prospective counterparty or professional advisor has executed an agreement similar to the agreement described in Section 8.6(d), (f) to any nationally recognized rating agency that requires information about the Bank’s investment portfolio in connection with ratings issued with respect to the Bank, and (g) as may otherwise be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46" w:name="page147"/>
    <w:bookmarkEnd w:id="146"/>
    <w:p>
      <w:pPr>
        <w:ind w:left="160" w:right="200"/>
        <w:spacing w:after="0" w:line="264" w:lineRule="auto"/>
        <w:rPr>
          <w:sz w:val="20"/>
          <w:szCs w:val="20"/>
          <w:color w:val="auto"/>
        </w:rPr>
      </w:pPr>
      <w:r>
        <w:rPr>
          <w:rFonts w:ascii="Arial" w:cs="Arial" w:eastAsia="Arial" w:hAnsi="Arial"/>
          <w:sz w:val="18"/>
          <w:szCs w:val="18"/>
          <w:color w:val="auto"/>
        </w:rPr>
        <w:t>required or requested by any regulatory authority having jurisdiction over the Bank or by any applicable law, rule, regulation, or judicial process, the opinion of the Bank’s counsel concerning the making of such disclosure to be binding on the parties hereto. The Bank shall not incur any liability to the Borrower by reason of any disclosure permitted by this section.</w:t>
      </w:r>
    </w:p>
    <w:p>
      <w:pPr>
        <w:spacing w:after="0" w:line="73" w:lineRule="exact"/>
        <w:rPr>
          <w:sz w:val="20"/>
          <w:szCs w:val="20"/>
          <w:color w:val="auto"/>
        </w:rPr>
      </w:pPr>
    </w:p>
    <w:p>
      <w:pPr>
        <w:ind w:left="160" w:firstLine="225"/>
        <w:spacing w:after="0" w:line="253"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Governing Law and Construction</w:t>
      </w:r>
      <w:r>
        <w:rPr>
          <w:rFonts w:ascii="Arial" w:cs="Arial" w:eastAsia="Arial" w:hAnsi="Arial"/>
          <w:sz w:val="18"/>
          <w:szCs w:val="18"/>
          <w:color w:val="auto"/>
        </w:rPr>
        <w:t>. THE VALIDITY, CONSTRUCTION, AND ENFORCEABILITY OF THIS AGREEMENT AND THE REVOLVING NOTE SHALL BE GOVERNED BY THE INTERNAL LAWS OF THE STATE OF CALIFORNIA, WITHOUT GIVING EFFECT TO CONFLICT OF LAWS PRINCIPLES THEREOF, BUT GIVING EFFECT TO FEDERAL LAWS OF THE UNITED STATES APPLICABLE TO NATIONAL BANKS. Whenever possible, each provision of this Agreement and the other Loan Documents and any other statement, instrument, or transaction contemplated thereby or relating thereto shall be interpreted so as to be effective and valid under such applicable law, but, if any provision of this Agreement, the other Loan Documents, or any other statement, instrument, or transaction contemplated thereby or relating thereto is held to be prohibited or invalid under such applicable law, such provision shall be ineffective only to the extent of such prohibition or invalidity, without invalidating the remainder of such provision or the remaining provisions of this Agreement, the other Loan Documents, or any other statement, instrument, or transaction contemplated thereby or relating thereto.</w:t>
      </w:r>
    </w:p>
    <w:p>
      <w:pPr>
        <w:spacing w:after="0" w:line="89" w:lineRule="exact"/>
        <w:rPr>
          <w:sz w:val="20"/>
          <w:szCs w:val="20"/>
          <w:color w:val="auto"/>
        </w:rPr>
      </w:pPr>
    </w:p>
    <w:p>
      <w:pPr>
        <w:ind w:left="160" w:right="180" w:firstLine="225"/>
        <w:spacing w:after="0" w:line="254"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THIS AGREEMENT AND THE OTHER LOAN DOCUMENTS MAY BE ENFORCED IN ANY FEDERAL COURT OR CALIFORNIA STATE COURT SITTING IN ORANGE COUNTY, CALIFORNIA OR LOS ANGELES COUNTY, CALIFORNIA; AND THE PARTIES CONSENT TO THE JURISDICTION AND VENUE OF ANY SUCH COURT AND WAIVE ANY ARGUMENT THAT VENUE IN SUCH FORUMS IS NOT CONVENIENT. IN THE EVENT THE BORROWER COMMENCES ANY ACTION IN ANOTHER JURISDICTION OR VENUE UNDER ANY TORT OR CONTRACT THEORY ARISING DIRECTLY OR INDIRECTLY FROM THE RELATIONSHIP CREATED BY THIS AGREEMENT, THE BANK AT ITS OPTION MAY HAVE THE CASE TRANSFERRED TO ONE OF THE JURISDICTIONS AND VENUES ABOVE-DESCRIBED, OR IF SUCH TRANSFER CANNOT BE ACCOMPLISHED UNDER APPLICABLE LAW, TO HAVE SUCH CASE DISMISSED WITHOUT PREJUDICE.</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Judicial Reference Agreement</w:t>
      </w:r>
      <w:r>
        <w:rPr>
          <w:rFonts w:ascii="Arial" w:cs="Arial" w:eastAsia="Arial" w:hAnsi="Arial"/>
          <w:sz w:val="18"/>
          <w:szCs w:val="18"/>
          <w:color w:val="auto"/>
        </w:rPr>
        <w:t>.</w:t>
      </w:r>
    </w:p>
    <w:p>
      <w:pPr>
        <w:spacing w:after="0" w:line="117" w:lineRule="exact"/>
        <w:rPr>
          <w:sz w:val="20"/>
          <w:szCs w:val="20"/>
          <w:color w:val="auto"/>
        </w:rPr>
      </w:pPr>
    </w:p>
    <w:p>
      <w:pPr>
        <w:ind w:left="-80" w:right="60" w:firstLine="233"/>
        <w:spacing w:after="0" w:line="259"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and all disputes, claims, and controversies arising out of the Loan Documents or the transactions contemplated thereby (including, but not limited to, actions arising in contract or tort and any claims by the Borrower against the Bank related in any way to the Loans) (individually, a “</w:t>
      </w:r>
      <w:r>
        <w:rPr>
          <w:rFonts w:ascii="Arial" w:cs="Arial" w:eastAsia="Arial" w:hAnsi="Arial"/>
          <w:sz w:val="18"/>
          <w:szCs w:val="18"/>
          <w:u w:val="single" w:color="auto"/>
          <w:color w:val="auto"/>
        </w:rPr>
        <w:t>Dispute</w:t>
      </w:r>
      <w:r>
        <w:rPr>
          <w:rFonts w:ascii="Arial" w:cs="Arial" w:eastAsia="Arial" w:hAnsi="Arial"/>
          <w:sz w:val="18"/>
          <w:szCs w:val="18"/>
          <w:color w:val="auto"/>
        </w:rPr>
        <w:t>”) that are brought before a forum in which pre-dispute waivers of the right to trial by jury are invalid under applicable law shall be subject to the terms of this Section 8.10.</w:t>
      </w:r>
    </w:p>
    <w:p>
      <w:pPr>
        <w:spacing w:after="0" w:line="78" w:lineRule="exact"/>
        <w:rPr>
          <w:rFonts w:ascii="Arial" w:cs="Arial" w:eastAsia="Arial" w:hAnsi="Arial"/>
          <w:sz w:val="18"/>
          <w:szCs w:val="18"/>
          <w:color w:val="auto"/>
        </w:rPr>
      </w:pPr>
    </w:p>
    <w:p>
      <w:pPr>
        <w:ind w:left="-80" w:right="40" w:firstLine="233"/>
        <w:spacing w:after="0" w:line="279" w:lineRule="auto"/>
        <w:tabs>
          <w:tab w:leader="none" w:pos="39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and all Disputes shall be heard by a referee and resolved by judicial reference pursuant to California Code of Civil Procedure Sections 638 et seq. The referee shall be a retired California state court judge or an attorney licensed to practice law in the State of California with at least 10 years’ experience practicing commercial law. Neither the Borrower nor the Bank shall seek to appoint a referee that may be disqualified pursuant to California Code of Civil Procedure Section 641 or 641.2 without the prior written consent of the other party. If the Bank and the Borrower are unable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147" w:name="page148"/>
    <w:bookmarkEnd w:id="147"/>
    <w:p>
      <w:pPr>
        <w:ind w:right="180"/>
        <w:spacing w:after="0" w:line="277" w:lineRule="auto"/>
        <w:rPr>
          <w:sz w:val="20"/>
          <w:szCs w:val="20"/>
          <w:color w:val="auto"/>
        </w:rPr>
      </w:pPr>
      <w:r>
        <w:rPr>
          <w:rFonts w:ascii="Arial" w:cs="Arial" w:eastAsia="Arial" w:hAnsi="Arial"/>
          <w:sz w:val="18"/>
          <w:szCs w:val="18"/>
          <w:color w:val="auto"/>
        </w:rPr>
        <w:t>agree upon a referee within 10 calendar days after one party serves a written notice of intent for judicial reference upon the other party, then the referee will be selected by the court in accordance with California Code of Civil Procedure Section 640(b).</w:t>
      </w:r>
    </w:p>
    <w:p>
      <w:pPr>
        <w:spacing w:after="0" w:line="62" w:lineRule="exact"/>
        <w:rPr>
          <w:sz w:val="20"/>
          <w:szCs w:val="20"/>
          <w:color w:val="auto"/>
        </w:rPr>
      </w:pPr>
    </w:p>
    <w:p>
      <w:pPr>
        <w:ind w:right="60" w:firstLine="233"/>
        <w:spacing w:after="0" w:line="276" w:lineRule="auto"/>
        <w:tabs>
          <w:tab w:leader="none" w:pos="467"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referee shall render a written statement of decision and shall conduct the proceedings in accordance with the California Code of Civil Procedure, the Rules of Court, and California Evidence Code, except as otherwise specifically agreed by the parties and approved by the referee. The referee’s statement of decision shall set forth findings of fact and conclusions of law. The decision of the referee shall be entered as a judgment in the court in accordance with the provisions of California Code of Civil Procedure Sections 644 and 645. The decision of the referee shall be appealable to the same extent and in the same manner that such decision would be appealable if rendered by a judge of the superior court.</w:t>
      </w:r>
    </w:p>
    <w:p>
      <w:pPr>
        <w:spacing w:after="0" w:line="64" w:lineRule="exact"/>
        <w:rPr>
          <w:rFonts w:ascii="Arial" w:cs="Arial" w:eastAsia="Arial" w:hAnsi="Arial"/>
          <w:sz w:val="17"/>
          <w:szCs w:val="17"/>
          <w:color w:val="auto"/>
        </w:rPr>
      </w:pPr>
    </w:p>
    <w:p>
      <w:pPr>
        <w:ind w:right="260" w:firstLine="233"/>
        <w:spacing w:after="0" w:line="291" w:lineRule="auto"/>
        <w:tabs>
          <w:tab w:leader="none" w:pos="4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Nothing in this Section 8.10 shall be deemed to apply to or limit the right of the Bank (i) to exercise self-help remedies such as (but not limited to) setoff, (ii) to foreclose judicially or nonjudicially against any real or personal property collateral, or to exercise judicial or nonjudicial power of sale rights,</w:t>
      </w:r>
    </w:p>
    <w:p>
      <w:pPr>
        <w:ind w:right="20" w:firstLine="8"/>
        <w:spacing w:after="0" w:line="268" w:lineRule="auto"/>
        <w:tabs>
          <w:tab w:leader="none" w:pos="3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obtain from a court provisional or ancillary remedies (including, but not limited to, injunctive relief, a writ of possession, prejudgment attachment, a protective order, or the appointment of a receiver), or (iv) to pursue rights against any party in a third-party proceeding in any action brought against the Bank (including actions in bankruptcy court). The Bank may exercise the rights set forth in the foregoing clauses (i) through (iv), inclusive, before, during, or after the pendency of any judicial reference proceeding. Neither the exercise of self-help remedies nor the institution or maintenance of an action for foreclosure or provisional or ancillary remedies or the opposition to any such provisional remedies shall constitute a waiver of the right of any party, including, but not limited to, the claimant in any such action, to require submission to judicial reference of the merits of the Dispute occasioning resort to such remedies. No provision in the Loan Documents regarding submission to jurisdiction and/or venue in any court is intended or shall be construed to be in derogation of the provisions in any Loan Document for judicial reference of any of Dispute.</w:t>
      </w:r>
    </w:p>
    <w:p>
      <w:pPr>
        <w:spacing w:after="0" w:line="76" w:lineRule="exact"/>
        <w:rPr>
          <w:rFonts w:ascii="Arial" w:cs="Arial" w:eastAsia="Arial" w:hAnsi="Arial"/>
          <w:sz w:val="17"/>
          <w:szCs w:val="17"/>
          <w:color w:val="auto"/>
        </w:rPr>
      </w:pPr>
    </w:p>
    <w:p>
      <w:pPr>
        <w:ind w:firstLine="233"/>
        <w:spacing w:after="0" w:line="270" w:lineRule="auto"/>
        <w:tabs>
          <w:tab w:leader="none" w:pos="470"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a Dispute includes multiple claims, some of which are found not subject to this Section 8.10, the Parties shall stay the proceedings of such Dispute or the part or parts thereof not subject to this Section 8.10 until all other Disputes or parts thereof are resolved in accordance with this Section 8.10. If there are Disputes by or against multiple parties, some of which are not subject to this Section 8.10, the Borrower and the Bank shall sever the Disputes subject to this Section 8.10 and resolve them in accordance with this Section 8.10. During the pendency of any Dispute that is submitted to judicial reference in accordance with this Agreement, each of the parties to such Dispute shall bear equal shares of the fees charged and costs incurred by the referee in performing the services described in this Section 8.10. The compensation of the referee shall not exceed the prevailing rate for like services. The prevailing party shall be entitled to reasonable court costs and legal fees, including customary attorney fees, expert witness fees, paralegal fees, the fees of the referee, a reimbursement of fees and costs paid during the pendency of a dispute in accordance with this Section 8.10(d), and other reasonable costs and disbursements charged to the party by its counsel, in such amount as the Referee determines.</w:t>
      </w:r>
    </w:p>
    <w:p>
      <w:pPr>
        <w:spacing w:after="0" w:line="73" w:lineRule="exact"/>
        <w:rPr>
          <w:rFonts w:ascii="Arial" w:cs="Arial" w:eastAsia="Arial" w:hAnsi="Arial"/>
          <w:sz w:val="17"/>
          <w:szCs w:val="17"/>
          <w:color w:val="auto"/>
        </w:rPr>
      </w:pPr>
    </w:p>
    <w:p>
      <w:pPr>
        <w:ind w:right="20" w:firstLine="233"/>
        <w:spacing w:after="0" w:line="277" w:lineRule="auto"/>
        <w:tabs>
          <w:tab w:leader="none" w:pos="45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of any challenge to the legality or enforceability of this Section 8.10, the prevailing party shall be entitled to recover the costs and expenses from the non-prevailing party, including reasonable attorneys’ fees, incurred by it in connection with such challenge.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8" w:name="page149"/>
    <w:bookmarkEnd w:id="148"/>
    <w:p>
      <w:pPr>
        <w:ind w:left="-20" w:right="680" w:firstLine="233"/>
        <w:spacing w:after="0" w:line="277" w:lineRule="auto"/>
        <w:tabs>
          <w:tab w:leader="none" w:pos="45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SECTION 8.10 CONSTITUTES A “REFERENCE AGREEMENT” BETWEEN THE BORROWER AND THE BANK WITHIN THE MEANING OF AND FOR PURPOSES OF CALIFORNIA CODE OF CIVIL PROCEDURE SECTION 638.</w:t>
      </w:r>
    </w:p>
    <w:p>
      <w:pPr>
        <w:spacing w:after="0" w:line="62" w:lineRule="exact"/>
        <w:rPr>
          <w:sz w:val="20"/>
          <w:szCs w:val="20"/>
          <w:color w:val="auto"/>
        </w:rPr>
      </w:pPr>
    </w:p>
    <w:p>
      <w:pPr>
        <w:ind w:left="220" w:firstLine="225"/>
        <w:spacing w:after="0" w:line="293"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Survival of Agreement</w:t>
      </w:r>
      <w:r>
        <w:rPr>
          <w:rFonts w:ascii="Arial" w:cs="Arial" w:eastAsia="Arial" w:hAnsi="Arial"/>
          <w:sz w:val="16"/>
          <w:szCs w:val="16"/>
          <w:color w:val="auto"/>
        </w:rPr>
        <w:t>. All representations, warranties, covenants, and agreements made by the Borrower herein, in the other Transaction Documents, and in the certificates or other instruments prepared or delivered in connection with or pursuant to this Agreement or any other Transaction Document shall be deemed to have been relied upon by the Bank and shall survive the making of the Loans by the Bank and the execution and delivery to the Bank by the Borrower of the Notes, regardless of any investigation made by or on behalf of the Bank, and shall continue in full force and effect as long as any Obligation is outstanding and unpaid and so long as the Revolving Commitment has not been terminated; provided, however, that the obligations of the Borrower under Sections 8.3, 8.6, and 8.12 shall survive payment in full of the Obligations and the termination of the Revolving Commitment.</w:t>
      </w:r>
    </w:p>
    <w:p>
      <w:pPr>
        <w:spacing w:after="0" w:line="57" w:lineRule="exact"/>
        <w:rPr>
          <w:sz w:val="20"/>
          <w:szCs w:val="20"/>
          <w:color w:val="auto"/>
        </w:rPr>
      </w:pPr>
    </w:p>
    <w:p>
      <w:pPr>
        <w:ind w:left="220" w:right="280" w:firstLine="225"/>
        <w:spacing w:after="0" w:line="273"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Borrower hereby agrees to defend, protect, indemnify, and hold harmless the Bank and its Affiliates and the directors, officers, employees, attorneys, and agents of the Bank and its Affiliates (collectively, the “</w:t>
      </w:r>
      <w:r>
        <w:rPr>
          <w:rFonts w:ascii="Arial" w:cs="Arial" w:eastAsia="Arial" w:hAnsi="Arial"/>
          <w:sz w:val="17"/>
          <w:szCs w:val="17"/>
          <w:u w:val="single" w:color="auto"/>
          <w:color w:val="auto"/>
        </w:rPr>
        <w:t>Indemnitees</w:t>
      </w:r>
      <w:r>
        <w:rPr>
          <w:rFonts w:ascii="Arial" w:cs="Arial" w:eastAsia="Arial" w:hAnsi="Arial"/>
          <w:sz w:val="17"/>
          <w:szCs w:val="17"/>
          <w:color w:val="auto"/>
        </w:rPr>
        <w:t>”) from and against any and all claims, actions, damages, liabilities, judgments, costs, and expenses (including all reasonable fees and disbursements of counsel that may be incurred in the investigation or defense of any matter) imposed upon, incurred by, or asserted against any Indemnitee, whether direct, indirect, or consequential and whether based on any federal, state, local, or foreign laws or regulations (including securities laws, environmental laws, commercial laws, and regulations), under common law or on equitable cause, or on contract or otherwise:</w:t>
      </w:r>
    </w:p>
    <w:p>
      <w:pPr>
        <w:spacing w:after="0" w:line="70" w:lineRule="exact"/>
        <w:rPr>
          <w:sz w:val="20"/>
          <w:szCs w:val="20"/>
          <w:color w:val="auto"/>
        </w:rPr>
      </w:pPr>
    </w:p>
    <w:p>
      <w:pPr>
        <w:ind w:left="-20" w:right="160" w:firstLine="233"/>
        <w:spacing w:after="0" w:line="277" w:lineRule="auto"/>
        <w:tabs>
          <w:tab w:leader="none" w:pos="4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reason of, relating to, or in connection with the execution, delivery, performance, or enforcement of any Transaction Document, any commitments relating thereto, or any transaction contemplated by any Transaction Document; or</w:t>
      </w:r>
    </w:p>
    <w:p>
      <w:pPr>
        <w:spacing w:after="0" w:line="62" w:lineRule="exact"/>
        <w:rPr>
          <w:rFonts w:ascii="Arial" w:cs="Arial" w:eastAsia="Arial" w:hAnsi="Arial"/>
          <w:sz w:val="18"/>
          <w:szCs w:val="18"/>
          <w:color w:val="auto"/>
        </w:rPr>
      </w:pPr>
    </w:p>
    <w:p>
      <w:pPr>
        <w:ind w:left="-20" w:right="40" w:firstLine="233"/>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reason of, relating to, or in connection with any credit extended or used under the Loan Documents or any act done or omitted by any Person, or the exercise of any rights or remedies thereunder;</w:t>
      </w:r>
    </w:p>
    <w:p>
      <w:pPr>
        <w:spacing w:after="0" w:line="62"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color w:val="auto"/>
        </w:rPr>
        <w:t>provided, however, that the Borrower shall not be liable to any Indemnitee for any portion of such claims, damages, liabilities, and expenses resulting from such Indemnitee’s gross negligence or willful misconduct. In the event this indemnity is unenforceable as a matter of law as to a particular matter or consequence referred to herein, it shall be enforceable to the full extent permitted by law.</w:t>
      </w:r>
    </w:p>
    <w:p>
      <w:pPr>
        <w:spacing w:after="0" w:line="73" w:lineRule="exact"/>
        <w:rPr>
          <w:sz w:val="20"/>
          <w:szCs w:val="20"/>
          <w:color w:val="auto"/>
        </w:rPr>
      </w:pPr>
    </w:p>
    <w:p>
      <w:pPr>
        <w:ind w:left="220" w:right="200" w:firstLine="222"/>
        <w:spacing w:after="0" w:line="257" w:lineRule="auto"/>
        <w:rPr>
          <w:sz w:val="20"/>
          <w:szCs w:val="20"/>
          <w:color w:val="auto"/>
        </w:rPr>
      </w:pPr>
      <w:r>
        <w:rPr>
          <w:rFonts w:ascii="Arial" w:cs="Arial" w:eastAsia="Arial" w:hAnsi="Arial"/>
          <w:sz w:val="18"/>
          <w:szCs w:val="18"/>
          <w:color w:val="auto"/>
        </w:rPr>
        <w:t>This indemnification applies, without limitation, to any act, omission, event, or circumstance existing or occurring on or prior to the later of the Termination Date or the date of payment in full of the Obligations, including specifically Obligations arising under clause (b) of this section. The indemnification provisions set forth above shall be in addition to any liability the Borrower otherwise has. Without prejudice to the survival of any other obligation of the Borrower hereunder, the indemnities and obligations of the Borrower in this section shall survive the payment in full of the other Obligations.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49" w:name="page150"/>
    <w:bookmarkEnd w:id="149"/>
    <w:p>
      <w:pPr>
        <w:ind w:right="540" w:firstLine="225"/>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or headings herein and any table of contents hereto are for convenience only and in no way define, limit, or describe the scope or intent of any provision of this Agreement.</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Loan Documents embody the entire agreement and understanding between the Borrower and the Bank with respect to the subject matter thereof. This Agreement supersedes all prior agreements and understandings relating to the subject matter hereof. Nothing in this Agreement or in any other Loan Document, expressed or implied, is intended to confer upon any Persons other than the parties hereto any rights, remedies, obligations, or liabilities hereunder or thereunder.</w:t>
      </w:r>
    </w:p>
    <w:p>
      <w:pPr>
        <w:spacing w:after="0" w:line="7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all of which taken together shall constitute one and the same instrument, and any of the parties hereto may execute this Agreement by signing any such counterpart.</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Borrower Acknowledgements</w:t>
      </w:r>
      <w:r>
        <w:rPr>
          <w:rFonts w:ascii="Arial" w:cs="Arial" w:eastAsia="Arial" w:hAnsi="Arial"/>
          <w:sz w:val="17"/>
          <w:szCs w:val="17"/>
          <w:color w:val="auto"/>
        </w:rPr>
        <w:t>. The Borrower hereby acknowledges that (a) it has been advised by counsel in the negotiation, execution, and delivery of this Agreement and the other Loan Documents, (b) the Bank has no fiduciary relationship to the Borrower, the relationship being solely that of debtor and creditor, (c) no joint venture exists between the Borrower and the Bank, and (d) the Bank undertakes no responsibility to the Borrower to review or inform the Borrower of any matter in connection with any phase of the business or operations of the Borrower, the Borrower shall rely entirely upon its own judgment with respect to its business, and any review, inspection, or supervision of, or information supplied to, the Borrower by the Bank is for the protection of the Bank, and neither the Borrower nor any third party is entitled to rely thereon.</w:t>
      </w:r>
    </w:p>
    <w:p>
      <w:pPr>
        <w:spacing w:after="0" w:line="70"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exceeds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that may be contracted for, charged, taken, received, or reserved by the Bank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the Bank in respect of other Loans or periods shall be increased (but not above the Maximum Rate therefor) until the Bank has received such cumulated amount, together with interest thereon at the Federal Funds Effective Rate to the date of repayment.</w:t>
      </w:r>
    </w:p>
    <w:p>
      <w:pPr>
        <w:spacing w:after="0" w:line="30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remainder of this page is intentionally left blank.]</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50" w:name="page151"/>
    <w:bookmarkEnd w:id="150"/>
    <w:p>
      <w:pPr>
        <w:ind w:left="2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date first above written.</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-130810</wp:posOffset>
            </wp:positionV>
            <wp:extent cx="2701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012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14605</wp:posOffset>
            </wp:positionV>
            <wp:extent cx="24523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Address for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6101 Gateway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Cypress, CA 90630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(714) 820-1151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6101 Gateway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Cypress, CA 90630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(714) 820-1151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U.S. BANK NATIONAL ASSOCIATION</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-130810</wp:posOffset>
            </wp:positionV>
            <wp:extent cx="27012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012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14605</wp:posOffset>
            </wp:positionV>
            <wp:extent cx="24523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Address for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4100 Newport Place,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(949) 863-2335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Steven G. Krenik</w:t>
      </w:r>
    </w:p>
    <w:p>
      <w:pPr>
        <w:sectPr>
          <w:pgSz w:w="11900" w:h="16838" w:orient="portrait"/>
          <w:cols w:equalWidth="0" w:num="1">
            <w:col w:w="10219"/>
          </w:cols>
          <w:pgMar w:left="240" w:top="931"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Exhibit 10.28</w:t>
            </w:r>
          </w:p>
        </w:tc>
      </w:tr>
      <w:tr>
        <w:trPr>
          <w:trHeight w:val="418"/>
        </w:trPr>
        <w:tc>
          <w:tcPr>
            <w:tcW w:w="2900" w:type="dxa"/>
            <w:vAlign w:val="bottom"/>
          </w:tcPr>
          <w:p>
            <w:pPr>
              <w:spacing w:after="0"/>
              <w:rPr>
                <w:sz w:val="24"/>
                <w:szCs w:val="24"/>
                <w:color w:val="auto"/>
              </w:rPr>
            </w:pPr>
          </w:p>
        </w:tc>
        <w:tc>
          <w:tcPr>
            <w:tcW w:w="8520" w:type="dxa"/>
            <w:vAlign w:val="bottom"/>
          </w:tcPr>
          <w:p>
            <w:pPr>
              <w:jc w:val="right"/>
              <w:spacing w:after="0"/>
              <w:rPr>
                <w:sz w:val="20"/>
                <w:szCs w:val="20"/>
                <w:color w:val="auto"/>
              </w:rPr>
            </w:pPr>
            <w:r>
              <w:rPr>
                <w:rFonts w:ascii="Arial" w:cs="Arial" w:eastAsia="Arial" w:hAnsi="Arial"/>
                <w:sz w:val="18"/>
                <w:szCs w:val="18"/>
                <w:color w:val="auto"/>
              </w:rPr>
              <w:t>EXHIBIT A1 TO</w:t>
            </w:r>
          </w:p>
        </w:tc>
      </w:tr>
      <w:tr>
        <w:trPr>
          <w:trHeight w:val="230"/>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Arial" w:cs="Arial" w:eastAsia="Arial" w:hAnsi="Arial"/>
                <w:sz w:val="18"/>
                <w:szCs w:val="18"/>
                <w:color w:val="auto"/>
              </w:rPr>
              <w:t>CREDIT AGREEMENT</w:t>
            </w:r>
          </w:p>
        </w:tc>
      </w:tr>
      <w:tr>
        <w:trPr>
          <w:trHeight w:val="540"/>
        </w:trPr>
        <w:tc>
          <w:tcPr>
            <w:tcW w:w="2900" w:type="dxa"/>
            <w:vAlign w:val="bottom"/>
          </w:tcPr>
          <w:p>
            <w:pPr>
              <w:spacing w:after="0"/>
              <w:rPr>
                <w:sz w:val="24"/>
                <w:szCs w:val="24"/>
                <w:color w:val="auto"/>
              </w:rPr>
            </w:pPr>
          </w:p>
        </w:tc>
        <w:tc>
          <w:tcPr>
            <w:tcW w:w="8520" w:type="dxa"/>
            <w:vAlign w:val="bottom"/>
          </w:tcPr>
          <w:p>
            <w:pPr>
              <w:jc w:val="right"/>
              <w:ind w:right="4790"/>
              <w:spacing w:after="0"/>
              <w:rPr>
                <w:sz w:val="20"/>
                <w:szCs w:val="20"/>
                <w:color w:val="auto"/>
              </w:rPr>
            </w:pPr>
            <w:r>
              <w:rPr>
                <w:rFonts w:ascii="Arial" w:cs="Arial" w:eastAsia="Arial" w:hAnsi="Arial"/>
                <w:sz w:val="18"/>
                <w:szCs w:val="18"/>
                <w:b w:val="1"/>
                <w:bCs w:val="1"/>
                <w:color w:val="auto"/>
              </w:rPr>
              <w:t>REVOLVING NOTE</w:t>
            </w:r>
          </w:p>
        </w:tc>
      </w:tr>
      <w:tr>
        <w:trPr>
          <w:trHeight w:val="418"/>
        </w:trPr>
        <w:tc>
          <w:tcPr>
            <w:tcW w:w="2900" w:type="dxa"/>
            <w:vAlign w:val="bottom"/>
          </w:tcPr>
          <w:p>
            <w:pPr>
              <w:jc w:val="right"/>
              <w:ind w:right="1910"/>
              <w:spacing w:after="0"/>
              <w:rPr>
                <w:sz w:val="20"/>
                <w:szCs w:val="20"/>
                <w:color w:val="auto"/>
              </w:rPr>
            </w:pPr>
            <w:r>
              <w:rPr>
                <w:rFonts w:ascii="Arial" w:cs="Arial" w:eastAsia="Arial" w:hAnsi="Arial"/>
                <w:sz w:val="18"/>
                <w:szCs w:val="18"/>
                <w:color w:val="auto"/>
                <w:w w:val="87"/>
              </w:rPr>
              <w:t>$20,000,000</w:t>
            </w:r>
          </w:p>
        </w:tc>
        <w:tc>
          <w:tcPr>
            <w:tcW w:w="8520" w:type="dxa"/>
            <w:vAlign w:val="bottom"/>
          </w:tcPr>
          <w:p>
            <w:pPr>
              <w:jc w:val="right"/>
              <w:spacing w:after="0"/>
              <w:rPr>
                <w:sz w:val="20"/>
                <w:szCs w:val="20"/>
                <w:color w:val="auto"/>
              </w:rPr>
            </w:pPr>
            <w:r>
              <w:rPr>
                <w:rFonts w:ascii="Arial" w:cs="Arial" w:eastAsia="Arial" w:hAnsi="Arial"/>
                <w:sz w:val="18"/>
                <w:szCs w:val="18"/>
                <w:color w:val="auto"/>
              </w:rPr>
              <w:t>November 1, 2010</w:t>
            </w:r>
          </w:p>
        </w:tc>
      </w:tr>
      <w:tr>
        <w:trPr>
          <w:trHeight w:val="230"/>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Arial" w:cs="Arial" w:eastAsia="Arial" w:hAnsi="Arial"/>
                <w:sz w:val="18"/>
                <w:szCs w:val="18"/>
                <w:color w:val="auto"/>
              </w:rPr>
              <w:t>Newport Beach, California</w:t>
            </w:r>
          </w:p>
        </w:tc>
      </w:tr>
    </w:tbl>
    <w:p>
      <w:pPr>
        <w:spacing w:after="0" w:line="94"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FOR VALUE RECEIVED, UNIVERSAL ELECTRONICS INC., a corporation organized under the laws of the State of Delaware, hereby promises to pay to the order of U.S. BANK NATIONAL ASSOCIATION (the “</w:t>
      </w:r>
      <w:r>
        <w:rPr>
          <w:rFonts w:ascii="Arial" w:cs="Arial" w:eastAsia="Arial" w:hAnsi="Arial"/>
          <w:sz w:val="16"/>
          <w:szCs w:val="16"/>
          <w:u w:val="single" w:color="auto"/>
          <w:color w:val="auto"/>
        </w:rPr>
        <w:t>Bank</w:t>
      </w:r>
      <w:r>
        <w:rPr>
          <w:rFonts w:ascii="Arial" w:cs="Arial" w:eastAsia="Arial" w:hAnsi="Arial"/>
          <w:sz w:val="16"/>
          <w:szCs w:val="16"/>
          <w:color w:val="auto"/>
        </w:rPr>
        <w:t>”) at its main office in Newport Beach, California, in lawful money of the United States of America in Immediately Available Funds (as such term and each other capitalized term used herein are defined in the Credit Agreement hereinafter referred to) on the Termination Date the principal amount of TWENTY MILLION AND NO/100 DOLLARS ($20,000,000) or, if less, the aggregate unpaid principal amount of all Revolving Loans made by the Bank under the Credit Agreement, and to pay interest (computed on the basis of actual days elapsed and a year of 360 days) in like funds on the unpaid principal amount hereof from time to time outstanding at the rates and times set forth in the Credit Agreement.</w:t>
      </w:r>
    </w:p>
    <w:p>
      <w:pPr>
        <w:spacing w:after="0" w:line="57" w:lineRule="exact"/>
        <w:rPr>
          <w:sz w:val="20"/>
          <w:szCs w:val="20"/>
          <w:color w:val="auto"/>
        </w:rPr>
      </w:pPr>
    </w:p>
    <w:p>
      <w:pPr>
        <w:jc w:val="both"/>
        <w:ind w:right="440" w:firstLine="447"/>
        <w:spacing w:after="0" w:line="264" w:lineRule="auto"/>
        <w:rPr>
          <w:sz w:val="20"/>
          <w:szCs w:val="20"/>
          <w:color w:val="auto"/>
        </w:rPr>
      </w:pPr>
      <w:r>
        <w:rPr>
          <w:rFonts w:ascii="Arial" w:cs="Arial" w:eastAsia="Arial" w:hAnsi="Arial"/>
          <w:sz w:val="18"/>
          <w:szCs w:val="18"/>
          <w:color w:val="auto"/>
        </w:rPr>
        <w:t>This note is the Revolving Note referred to in the Credit Agreement dated concurrently herewith (as the same may hereafter be from time to time amended, restated,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between the undersigned and the Bank. This note is subject to acceleration, upon the terms provided in the Credit Agreement.</w:t>
      </w:r>
    </w:p>
    <w:p>
      <w:pPr>
        <w:spacing w:after="0" w:line="73" w:lineRule="exact"/>
        <w:rPr>
          <w:sz w:val="20"/>
          <w:szCs w:val="20"/>
          <w:color w:val="auto"/>
        </w:rPr>
      </w:pPr>
    </w:p>
    <w:p>
      <w:pPr>
        <w:jc w:val="both"/>
        <w:ind w:right="40" w:firstLine="450"/>
        <w:spacing w:after="0" w:line="286" w:lineRule="auto"/>
        <w:rPr>
          <w:sz w:val="20"/>
          <w:szCs w:val="20"/>
          <w:color w:val="auto"/>
        </w:rPr>
      </w:pPr>
      <w:r>
        <w:rPr>
          <w:rFonts w:ascii="Arial" w:cs="Arial" w:eastAsia="Arial" w:hAnsi="Arial"/>
          <w:sz w:val="17"/>
          <w:szCs w:val="17"/>
          <w:color w:val="auto"/>
        </w:rPr>
        <w:t>In the event of default hereunder, the undersigned agrees to pay all costs and expenses of collection, including reasonable attorneys’ fees, in accordance with the terms and conditions set forth in the Credit Agreement. Except as otherwise expressly set forth under the terms and conditions set forth in the Credit Agreement, the undersigned waives demand, presentment, notice of nonpayment, protest, notice of protest, and notice of dishonor.</w:t>
      </w:r>
    </w:p>
    <w:p>
      <w:pPr>
        <w:spacing w:after="0" w:line="57" w:lineRule="exact"/>
        <w:rPr>
          <w:sz w:val="20"/>
          <w:szCs w:val="20"/>
          <w:color w:val="auto"/>
        </w:rPr>
      </w:pPr>
    </w:p>
    <w:p>
      <w:pPr>
        <w:ind w:right="240" w:firstLine="447"/>
        <w:spacing w:after="0" w:line="257" w:lineRule="auto"/>
        <w:rPr>
          <w:sz w:val="20"/>
          <w:szCs w:val="20"/>
          <w:color w:val="auto"/>
        </w:rPr>
      </w:pPr>
      <w:r>
        <w:rPr>
          <w:rFonts w:ascii="Arial" w:cs="Arial" w:eastAsia="Arial" w:hAnsi="Arial"/>
          <w:sz w:val="18"/>
          <w:szCs w:val="18"/>
          <w:color w:val="auto"/>
        </w:rPr>
        <w:t>This note amends and restates the Revolving Note given by the undersigned in favor of the Bank dated December 23, 2009, in the original principal amount of $15,000,000 (the “</w:t>
      </w:r>
      <w:r>
        <w:rPr>
          <w:rFonts w:ascii="Arial" w:cs="Arial" w:eastAsia="Arial" w:hAnsi="Arial"/>
          <w:sz w:val="18"/>
          <w:szCs w:val="18"/>
          <w:u w:val="single" w:color="auto"/>
          <w:color w:val="auto"/>
        </w:rPr>
        <w:t>Prior Note</w:t>
      </w:r>
      <w:r>
        <w:rPr>
          <w:rFonts w:ascii="Arial" w:cs="Arial" w:eastAsia="Arial" w:hAnsi="Arial"/>
          <w:sz w:val="18"/>
          <w:szCs w:val="18"/>
          <w:color w:val="auto"/>
        </w:rPr>
        <w:t>”). It is expressly intended, understood, and agreed that this note shall replace the Prior Note as evidence of such indebtedness of the undersigned to the Bank, and all indebtedness heretofore represented by the Prior Note, as of the date hereof, shall be considered outstanding hereunder from and after the date hereof and shall not be considered paid (nor shall the undersigned’s obligation to pay the same be considered discharged or satisfied) as a result of the issuance of this note.</w:t>
      </w:r>
    </w:p>
    <w:p>
      <w:pPr>
        <w:spacing w:after="0" w:line="80"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THE VALIDITY, CONSTRUCTION, AND ENFORCEABILITY OF THIS NOTE SHALL BE GOVERNED BY THE INTERNAL LAWS OF THE STATE OF CALIFORNIA WITHOUT GIVING EFFECT TO THE CONFLICT OF LAWS PRINCIPLES THEREOF, BUT GIVING EFFECT TO FEDERAL LAWS OF THE UNITED STATES APPLICABLE TO NATIONAL BANKS.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ind w:left="404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727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2999105</wp:posOffset>
            </wp:positionH>
            <wp:positionV relativeFrom="paragraph">
              <wp:posOffset>14605</wp:posOffset>
            </wp:positionV>
            <wp:extent cx="24523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360" w:type="dxa"/>
            <w:vAlign w:val="bottom"/>
          </w:tcPr>
          <w:p>
            <w:pPr>
              <w:jc w:val="right"/>
              <w:spacing w:after="0"/>
              <w:rPr>
                <w:sz w:val="20"/>
                <w:szCs w:val="20"/>
                <w:color w:val="auto"/>
              </w:rPr>
            </w:pPr>
            <w:r>
              <w:rPr>
                <w:rFonts w:ascii="Arial" w:cs="Arial" w:eastAsia="Arial" w:hAnsi="Arial"/>
                <w:sz w:val="18"/>
                <w:szCs w:val="18"/>
                <w:b w:val="1"/>
                <w:bCs w:val="1"/>
                <w:color w:val="auto"/>
              </w:rPr>
              <w:t>Exhibit 10.29</w:t>
            </w:r>
          </w:p>
        </w:tc>
      </w:tr>
      <w:tr>
        <w:trPr>
          <w:trHeight w:val="418"/>
        </w:trPr>
        <w:tc>
          <w:tcPr>
            <w:tcW w:w="3060" w:type="dxa"/>
            <w:vAlign w:val="bottom"/>
          </w:tcPr>
          <w:p>
            <w:pPr>
              <w:spacing w:after="0"/>
              <w:rPr>
                <w:sz w:val="24"/>
                <w:szCs w:val="24"/>
                <w:color w:val="auto"/>
              </w:rPr>
            </w:pPr>
          </w:p>
        </w:tc>
        <w:tc>
          <w:tcPr>
            <w:tcW w:w="8360" w:type="dxa"/>
            <w:vAlign w:val="bottom"/>
          </w:tcPr>
          <w:p>
            <w:pPr>
              <w:jc w:val="right"/>
              <w:spacing w:after="0"/>
              <w:rPr>
                <w:sz w:val="20"/>
                <w:szCs w:val="20"/>
                <w:color w:val="auto"/>
              </w:rPr>
            </w:pPr>
            <w:r>
              <w:rPr>
                <w:rFonts w:ascii="Arial" w:cs="Arial" w:eastAsia="Arial" w:hAnsi="Arial"/>
                <w:sz w:val="18"/>
                <w:szCs w:val="18"/>
                <w:color w:val="auto"/>
              </w:rPr>
              <w:t>EXHIBIT A2 TO</w:t>
            </w:r>
          </w:p>
        </w:tc>
      </w:tr>
      <w:tr>
        <w:trPr>
          <w:trHeight w:val="230"/>
        </w:trPr>
        <w:tc>
          <w:tcPr>
            <w:tcW w:w="3060" w:type="dxa"/>
            <w:vAlign w:val="bottom"/>
          </w:tcPr>
          <w:p>
            <w:pPr>
              <w:spacing w:after="0"/>
              <w:rPr>
                <w:sz w:val="20"/>
                <w:szCs w:val="20"/>
                <w:color w:val="auto"/>
              </w:rPr>
            </w:pPr>
          </w:p>
        </w:tc>
        <w:tc>
          <w:tcPr>
            <w:tcW w:w="8360" w:type="dxa"/>
            <w:vAlign w:val="bottom"/>
          </w:tcPr>
          <w:p>
            <w:pPr>
              <w:jc w:val="right"/>
              <w:spacing w:after="0"/>
              <w:rPr>
                <w:sz w:val="20"/>
                <w:szCs w:val="20"/>
                <w:color w:val="auto"/>
              </w:rPr>
            </w:pPr>
            <w:r>
              <w:rPr>
                <w:rFonts w:ascii="Arial" w:cs="Arial" w:eastAsia="Arial" w:hAnsi="Arial"/>
                <w:sz w:val="18"/>
                <w:szCs w:val="18"/>
                <w:color w:val="auto"/>
              </w:rPr>
              <w:t>CREDIT AGREEMENT</w:t>
            </w:r>
          </w:p>
        </w:tc>
      </w:tr>
      <w:tr>
        <w:trPr>
          <w:trHeight w:val="540"/>
        </w:trPr>
        <w:tc>
          <w:tcPr>
            <w:tcW w:w="3060" w:type="dxa"/>
            <w:vAlign w:val="bottom"/>
          </w:tcPr>
          <w:p>
            <w:pPr>
              <w:spacing w:after="0"/>
              <w:rPr>
                <w:sz w:val="24"/>
                <w:szCs w:val="24"/>
                <w:color w:val="auto"/>
              </w:rPr>
            </w:pPr>
          </w:p>
        </w:tc>
        <w:tc>
          <w:tcPr>
            <w:tcW w:w="8360" w:type="dxa"/>
            <w:vAlign w:val="bottom"/>
          </w:tcPr>
          <w:p>
            <w:pPr>
              <w:jc w:val="right"/>
              <w:ind w:right="5110"/>
              <w:spacing w:after="0"/>
              <w:rPr>
                <w:sz w:val="20"/>
                <w:szCs w:val="20"/>
                <w:color w:val="auto"/>
              </w:rPr>
            </w:pPr>
            <w:r>
              <w:rPr>
                <w:rFonts w:ascii="Arial" w:cs="Arial" w:eastAsia="Arial" w:hAnsi="Arial"/>
                <w:sz w:val="18"/>
                <w:szCs w:val="18"/>
                <w:color w:val="auto"/>
              </w:rPr>
              <w:t>TERM NOTE</w:t>
            </w:r>
          </w:p>
        </w:tc>
      </w:tr>
      <w:tr>
        <w:trPr>
          <w:trHeight w:val="418"/>
        </w:trPr>
        <w:tc>
          <w:tcPr>
            <w:tcW w:w="3060" w:type="dxa"/>
            <w:vAlign w:val="bottom"/>
          </w:tcPr>
          <w:p>
            <w:pPr>
              <w:jc w:val="right"/>
              <w:ind w:right="2070"/>
              <w:spacing w:after="0"/>
              <w:rPr>
                <w:sz w:val="20"/>
                <w:szCs w:val="20"/>
                <w:color w:val="auto"/>
              </w:rPr>
            </w:pPr>
            <w:r>
              <w:rPr>
                <w:rFonts w:ascii="Arial" w:cs="Arial" w:eastAsia="Arial" w:hAnsi="Arial"/>
                <w:sz w:val="18"/>
                <w:szCs w:val="18"/>
                <w:color w:val="auto"/>
                <w:w w:val="87"/>
              </w:rPr>
              <w:t>$35,000,000</w:t>
            </w:r>
          </w:p>
        </w:tc>
        <w:tc>
          <w:tcPr>
            <w:tcW w:w="8360" w:type="dxa"/>
            <w:vAlign w:val="bottom"/>
          </w:tcPr>
          <w:p>
            <w:pPr>
              <w:jc w:val="right"/>
              <w:spacing w:after="0"/>
              <w:rPr>
                <w:sz w:val="20"/>
                <w:szCs w:val="20"/>
                <w:color w:val="auto"/>
              </w:rPr>
            </w:pPr>
            <w:r>
              <w:rPr>
                <w:rFonts w:ascii="Arial" w:cs="Arial" w:eastAsia="Arial" w:hAnsi="Arial"/>
                <w:sz w:val="18"/>
                <w:szCs w:val="18"/>
                <w:color w:val="auto"/>
              </w:rPr>
              <w:t>November 1, 2010</w:t>
            </w:r>
          </w:p>
        </w:tc>
      </w:tr>
      <w:tr>
        <w:trPr>
          <w:trHeight w:val="230"/>
        </w:trPr>
        <w:tc>
          <w:tcPr>
            <w:tcW w:w="3060" w:type="dxa"/>
            <w:vAlign w:val="bottom"/>
          </w:tcPr>
          <w:p>
            <w:pPr>
              <w:spacing w:after="0"/>
              <w:rPr>
                <w:sz w:val="20"/>
                <w:szCs w:val="20"/>
                <w:color w:val="auto"/>
              </w:rPr>
            </w:pPr>
          </w:p>
        </w:tc>
        <w:tc>
          <w:tcPr>
            <w:tcW w:w="8360" w:type="dxa"/>
            <w:vAlign w:val="bottom"/>
          </w:tcPr>
          <w:p>
            <w:pPr>
              <w:jc w:val="right"/>
              <w:spacing w:after="0"/>
              <w:rPr>
                <w:sz w:val="20"/>
                <w:szCs w:val="20"/>
                <w:color w:val="auto"/>
              </w:rPr>
            </w:pPr>
            <w:r>
              <w:rPr>
                <w:rFonts w:ascii="Arial" w:cs="Arial" w:eastAsia="Arial" w:hAnsi="Arial"/>
                <w:sz w:val="18"/>
                <w:szCs w:val="18"/>
                <w:color w:val="auto"/>
              </w:rPr>
              <w:t>Newport Beach, California</w:t>
            </w:r>
          </w:p>
        </w:tc>
      </w:tr>
    </w:tbl>
    <w:p>
      <w:pPr>
        <w:spacing w:after="0" w:line="94"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color w:val="auto"/>
        </w:rPr>
        <w:t>FOR VALUE RECEIVED, UNIVERSAL ELECTRONICS INC., a corporation organized under the laws of the State of Delaware, hereby promises to pay to the order of U.S. BANK NATIONAL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 at its main office in Newport Beach, California, in lawful money of the United States of America in Immediately Available Funds (as such term and each other capitalized term used herein are defined in the Credit Agreement hereinafter referred to) the principal amount of THIRTY-FIVE MILLION AND NO/100 DOLLARS ($35,000,000.00) and to pay interest (computed on the basis of actual days elapsed and a year of 360 days) in like funds on the unpaid principal amount hereof from time to time outstanding at the rates and times set forth in the Credit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hereof is payable as set forth in the Credit Agreement.</w:t>
      </w:r>
    </w:p>
    <w:p>
      <w:pPr>
        <w:spacing w:after="0" w:line="117" w:lineRule="exact"/>
        <w:rPr>
          <w:sz w:val="20"/>
          <w:szCs w:val="20"/>
          <w:color w:val="auto"/>
        </w:rPr>
      </w:pPr>
    </w:p>
    <w:p>
      <w:pPr>
        <w:ind w:right="620" w:firstLine="447"/>
        <w:spacing w:after="0" w:line="264" w:lineRule="auto"/>
        <w:rPr>
          <w:sz w:val="20"/>
          <w:szCs w:val="20"/>
          <w:color w:val="auto"/>
        </w:rPr>
      </w:pPr>
      <w:r>
        <w:rPr>
          <w:rFonts w:ascii="Arial" w:cs="Arial" w:eastAsia="Arial" w:hAnsi="Arial"/>
          <w:sz w:val="18"/>
          <w:szCs w:val="18"/>
          <w:color w:val="auto"/>
        </w:rPr>
        <w:t>This note is the Term Note referred to in the Credit Agreement of even date herewith (as the same may hereafter be from time to time amended, restated,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between the undersigned and the Bank. This note is secured and its maturity is subject to acceleration, in each case upon the terms provided in said Credit Agreement.</w:t>
      </w:r>
    </w:p>
    <w:p>
      <w:pPr>
        <w:spacing w:after="0" w:line="73" w:lineRule="exact"/>
        <w:rPr>
          <w:sz w:val="20"/>
          <w:szCs w:val="20"/>
          <w:color w:val="auto"/>
        </w:rPr>
      </w:pPr>
    </w:p>
    <w:p>
      <w:pPr>
        <w:ind w:right="760" w:firstLine="450"/>
        <w:spacing w:after="0" w:line="308" w:lineRule="auto"/>
        <w:rPr>
          <w:sz w:val="20"/>
          <w:szCs w:val="20"/>
          <w:color w:val="auto"/>
        </w:rPr>
      </w:pPr>
      <w:r>
        <w:rPr>
          <w:rFonts w:ascii="Arial" w:cs="Arial" w:eastAsia="Arial" w:hAnsi="Arial"/>
          <w:sz w:val="17"/>
          <w:szCs w:val="17"/>
          <w:color w:val="auto"/>
        </w:rPr>
        <w:t>In the event of default hereunder, the undersigned agrees to pay all costs and expenses of collection, including reasonable attorneys’ fees. The undersigned waives demand, presentment, notice of nonpayment, protest, notice of protest, and notice of dishonor.</w:t>
      </w:r>
    </w:p>
    <w:p>
      <w:pPr>
        <w:spacing w:after="0" w:line="38"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THE VALIDITY, CONSTRUCTION, AND ENFORCEABILITY OF THIS NOTE SHALL BE GOVERNED BY THE INTERNAL LAWS OF THE STATE OF CALIFORNIA WITHOUT GIVING EFFECT TO THE CONFLICT OF LAWS PRINCIPLES THEREOF,, BUT GIVING EFFECT TO FEDERAL LAWS OF THE UNITED STATES APPLICABLE TO NATIONAL BANKS.</w:t>
      </w:r>
    </w:p>
    <w:p>
      <w:pPr>
        <w:spacing w:after="0" w:line="1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UNIVERSAL ELECTRONICS,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52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4441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14605</wp:posOffset>
            </wp:positionV>
            <wp:extent cx="24441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420"/>
          </w:cols>
          <w:pgMar w:left="240" w:top="55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10.30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AGREEMENT</w:t>
      </w:r>
    </w:p>
    <w:p>
      <w:pPr>
        <w:spacing w:after="0" w:line="121"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THIS PLEDGE AGREEMENT, dated as of November 1, 2010, is made and given by UEI Hong Kong Private Limited, a company organized under the laws of Hong Kong (the “</w:t>
      </w:r>
      <w:r>
        <w:rPr>
          <w:rFonts w:ascii="Arial" w:cs="Arial" w:eastAsia="Arial" w:hAnsi="Arial"/>
          <w:sz w:val="18"/>
          <w:szCs w:val="18"/>
          <w:u w:val="single" w:color="auto"/>
          <w:color w:val="auto"/>
        </w:rPr>
        <w:t>Pledgor</w:t>
      </w:r>
      <w:r>
        <w:rPr>
          <w:rFonts w:ascii="Arial" w:cs="Arial" w:eastAsia="Arial" w:hAnsi="Arial"/>
          <w:sz w:val="18"/>
          <w:szCs w:val="18"/>
          <w:color w:val="auto"/>
        </w:rPr>
        <w:t>”), and Enson Assets Limited, a company organized under the laws of the British Virgin Islands (the “</w:t>
      </w:r>
      <w:r>
        <w:rPr>
          <w:rFonts w:ascii="Arial" w:cs="Arial" w:eastAsia="Arial" w:hAnsi="Arial"/>
          <w:sz w:val="18"/>
          <w:szCs w:val="18"/>
          <w:u w:val="single" w:color="auto"/>
          <w:color w:val="auto"/>
        </w:rPr>
        <w:t>Issuer</w:t>
      </w:r>
      <w:r>
        <w:rPr>
          <w:rFonts w:ascii="Arial" w:cs="Arial" w:eastAsia="Arial" w:hAnsi="Arial"/>
          <w:sz w:val="18"/>
          <w:szCs w:val="18"/>
          <w:color w:val="auto"/>
        </w:rPr>
        <w:t>”), to U.S. BANK NATIONAL ASSOCIATION (the “</w:t>
      </w:r>
      <w:r>
        <w:rPr>
          <w:rFonts w:ascii="Arial" w:cs="Arial" w:eastAsia="Arial" w:hAnsi="Arial"/>
          <w:sz w:val="18"/>
          <w:szCs w:val="18"/>
          <w:u w:val="single" w:color="auto"/>
          <w:color w:val="auto"/>
        </w:rPr>
        <w:t>Secured Party</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 Universal Electronics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the Secured Party have entered into a Amended and Restated Credit Agreement of even date herewith (as the same may hereafter be amended, restated,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Secured Party has agreed to extend to the Borrower certain credit accommodations, including a term loan facility to finance the acquisition by the Pledgor of all of the capital stock of the Issuer.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 The Pledgor is the owner of the shares (the “</w:t>
      </w:r>
      <w:r>
        <w:rPr>
          <w:rFonts w:ascii="Arial" w:cs="Arial" w:eastAsia="Arial" w:hAnsi="Arial"/>
          <w:sz w:val="17"/>
          <w:szCs w:val="17"/>
          <w:u w:val="single" w:color="auto"/>
          <w:color w:val="auto"/>
        </w:rPr>
        <w:t>Pledged Shares</w:t>
      </w:r>
      <w:r>
        <w:rPr>
          <w:rFonts w:ascii="Arial" w:cs="Arial" w:eastAsia="Arial" w:hAnsi="Arial"/>
          <w:sz w:val="17"/>
          <w:szCs w:val="17"/>
          <w:color w:val="auto"/>
        </w:rPr>
        <w:t xml:space="preserve">”) of stock described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issued by the corporations named therein.</w:t>
      </w:r>
    </w:p>
    <w:p>
      <w:pPr>
        <w:spacing w:after="0" w:line="12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C. It is a condition precedent to the obligation of the Secured Party to extend credit accommodations pursuant to the terms of the Credit Agreement that this Agreement be executed and delivered by the Pledgor and the Issuer.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The Pledgor is a wholly-owned subsidiary of the Borrower.</w:t>
      </w:r>
    </w:p>
    <w:p>
      <w:pPr>
        <w:spacing w:after="0" w:line="117"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E. The Pledgor and the Issuer expect to derive benefits from the extension of credit accommodations to the Borrower and find it advantageous, desirable, and in their best interests to comply with the requirement that this Agreement be executed and delivered to the Secured Party.</w:t>
      </w:r>
    </w:p>
    <w:p>
      <w:pPr>
        <w:spacing w:after="0" w:line="3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NOW, THEREFORE, in consideration of the premises and to induce the Secured Party to extend or continue credit accommodations to the Borrower, the Pledgor and the Issuer hereby agree with the Secured Party for the for the Secured Party’s benefit as follows:.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1(a) As used in this Agreement, the following terms shall have the meanings indicated: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Revised Article 9 of the Uniform Commercial Code as adopted in the State of California</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As defined in Section 2.</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As defined in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ind w:left="460"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Any security interest, mortgage, pledge, lien, charge, encumbrance, title retention agreement, or analogous instrument or device (including the interest of the lessors under capitalized leases) in, of, or on any assets or properties of the Person referred to.</w:t>
      </w:r>
    </w:p>
    <w:p>
      <w:pPr>
        <w:spacing w:after="0" w:line="62" w:lineRule="exact"/>
        <w:rPr>
          <w:sz w:val="20"/>
          <w:szCs w:val="20"/>
          <w:color w:val="auto"/>
        </w:rPr>
      </w:pPr>
    </w:p>
    <w:p>
      <w:pPr>
        <w:ind w:left="460" w:right="20"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(a) All indebtedness, liabilities, and obligations of the Borrower to the Secured Party of every kind, nature, or description under the Credit Agreement, including the Borrower’s obligation on any promissory note or notes under the Credit Agreement and any note or notes hereafter issued in substitution or replacement thereof, (b) any and all other liabilities and obligations of the Borrower to the Secured Party of every kind, nature, and description, whether direct or indirect, whether now existing or hereafter acquired by the Secured Party from any Person, and whether absolute or contingent, regardless of how such liabilities arise or by what agreement or instrument they may be evidenced, (c) all liabilities of the Pledgor under any guaranty heretofore, herewith, or hereafter given by the Pledgor to the Secured Party with respect to any or all of the Borrower’s liabilities and obligations to the Secured Party, and (d) all liabilities of the Pledgor under this Agreement, in all of the foregoing cases whether due or to become due and whether now existing or hereafter arising or incurred.</w:t>
      </w:r>
    </w:p>
    <w:p>
      <w:pPr>
        <w:spacing w:after="0" w:line="71" w:lineRule="exact"/>
        <w:rPr>
          <w:sz w:val="20"/>
          <w:szCs w:val="20"/>
          <w:color w:val="auto"/>
        </w:rPr>
      </w:pPr>
    </w:p>
    <w:p>
      <w:pPr>
        <w:ind w:left="460"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limited partnership, limited liability company, joint venture, firm, association, trust, unincorporated organization, government, governmental agency or political subdivision, or other entity, whether acting in an individual, fiduciary, or other capacity.</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Shares</w:t>
      </w:r>
      <w:r>
        <w:rPr>
          <w:rFonts w:ascii="Arial" w:cs="Arial" w:eastAsia="Arial" w:hAnsi="Arial"/>
          <w:sz w:val="18"/>
          <w:szCs w:val="18"/>
          <w:color w:val="auto"/>
        </w:rPr>
        <w:t>”: As defined in Recital B above.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As defined in Section 2.</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includes shares.</w:t>
      </w:r>
    </w:p>
    <w:p>
      <w:pPr>
        <w:spacing w:after="0" w:line="117" w:lineRule="exact"/>
        <w:rPr>
          <w:sz w:val="20"/>
          <w:szCs w:val="20"/>
          <w:color w:val="auto"/>
        </w:rPr>
      </w:pPr>
    </w:p>
    <w:p>
      <w:pPr>
        <w:ind w:left="240" w:right="140" w:firstLine="225"/>
        <w:spacing w:after="0" w:line="277" w:lineRule="auto"/>
        <w:rPr>
          <w:sz w:val="20"/>
          <w:szCs w:val="20"/>
          <w:color w:val="auto"/>
        </w:rPr>
      </w:pPr>
      <w:r>
        <w:rPr>
          <w:rFonts w:ascii="Arial" w:cs="Arial" w:eastAsia="Arial" w:hAnsi="Arial"/>
          <w:sz w:val="18"/>
          <w:szCs w:val="18"/>
          <w:color w:val="auto"/>
        </w:rPr>
        <w:t xml:space="preserve">1(b) </w:t>
      </w:r>
      <w:r>
        <w:rPr>
          <w:rFonts w:ascii="Arial" w:cs="Arial" w:eastAsia="Arial" w:hAnsi="Arial"/>
          <w:sz w:val="18"/>
          <w:szCs w:val="18"/>
          <w:u w:val="single" w:color="auto"/>
          <w:color w:val="auto"/>
        </w:rPr>
        <w:t>Terms Defined in Uniform Commercial Code</w:t>
      </w:r>
      <w:r>
        <w:rPr>
          <w:rFonts w:ascii="Arial" w:cs="Arial" w:eastAsia="Arial" w:hAnsi="Arial"/>
          <w:sz w:val="18"/>
          <w:szCs w:val="18"/>
          <w:color w:val="auto"/>
        </w:rPr>
        <w:t>. All other terms used in this Agreement that are not specifically defined herein or the definitions of which are not incorporated herein by reference shall have the meanings assigned to such terms in the Code.</w:t>
      </w:r>
    </w:p>
    <w:p>
      <w:pPr>
        <w:spacing w:after="0" w:line="62" w:lineRule="exact"/>
        <w:rPr>
          <w:sz w:val="20"/>
          <w:szCs w:val="20"/>
          <w:color w:val="auto"/>
        </w:rPr>
      </w:pPr>
    </w:p>
    <w:p>
      <w:pPr>
        <w:ind w:left="240" w:right="40" w:firstLine="225"/>
        <w:spacing w:after="0" w:line="257" w:lineRule="auto"/>
        <w:rPr>
          <w:sz w:val="20"/>
          <w:szCs w:val="20"/>
          <w:color w:val="auto"/>
        </w:rPr>
      </w:pPr>
      <w:r>
        <w:rPr>
          <w:rFonts w:ascii="Arial" w:cs="Arial" w:eastAsia="Arial" w:hAnsi="Arial"/>
          <w:sz w:val="18"/>
          <w:szCs w:val="18"/>
          <w:color w:val="auto"/>
        </w:rPr>
        <w:t xml:space="preserve">1(c) </w:t>
      </w:r>
      <w:r>
        <w:rPr>
          <w:rFonts w:ascii="Arial" w:cs="Arial" w:eastAsia="Arial" w:hAnsi="Arial"/>
          <w:sz w:val="18"/>
          <w:szCs w:val="18"/>
          <w:u w:val="single" w:color="auto"/>
          <w:color w:val="auto"/>
        </w:rPr>
        <w:t>Singular/Plural, etc.</w:t>
      </w:r>
      <w:r>
        <w:rPr>
          <w:rFonts w:ascii="Arial" w:cs="Arial" w:eastAsia="Arial" w:hAnsi="Arial"/>
          <w:sz w:val="18"/>
          <w:szCs w:val="18"/>
          <w:color w:val="auto"/>
        </w:rPr>
        <w:t xml:space="preserve"> Unless the context of this Agreement otherwise clearly requires, references to the plural include the singular, references to the singular include the plural, and “or” has the inclusive meaning represented by the phrase “and/or.” The words “include,” “includes,” and “including” shall be deemed to be followed by the phrase “without limitation.” The words “hereof,” “herein,” and “hereunder” and similar terms in this Agreement refer to this Agreement as a whole and not to any particular provision. References to Sections are references to Sections in this Agreement unless otherwise provided.</w:t>
      </w:r>
    </w:p>
    <w:p>
      <w:pPr>
        <w:spacing w:after="0" w:line="8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Pledge</w:t>
      </w:r>
      <w:r>
        <w:rPr>
          <w:rFonts w:ascii="Arial" w:cs="Arial" w:eastAsia="Arial" w:hAnsi="Arial"/>
          <w:sz w:val="18"/>
          <w:szCs w:val="18"/>
          <w:color w:val="auto"/>
        </w:rPr>
        <w:t>. As security for the payment and performance of all of the Obligations, the Pledgor hereby pledges to the Secured Party and grants to the Secured Party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6" w:name="page157"/>
    <w:bookmarkEnd w:id="156"/>
    <w:p>
      <w:pPr>
        <w:ind w:right="120"/>
        <w:spacing w:after="0" w:line="277" w:lineRule="auto"/>
        <w:rPr>
          <w:sz w:val="20"/>
          <w:szCs w:val="20"/>
          <w:color w:val="auto"/>
        </w:rPr>
      </w:pPr>
      <w:r>
        <w:rPr>
          <w:rFonts w:ascii="Arial" w:cs="Arial" w:eastAsia="Arial" w:hAnsi="Arial"/>
          <w:sz w:val="18"/>
          <w:szCs w:val="18"/>
          <w:color w:val="auto"/>
        </w:rPr>
        <w:t>security interest (the “</w:t>
      </w:r>
      <w:r>
        <w:rPr>
          <w:rFonts w:ascii="Arial" w:cs="Arial" w:eastAsia="Arial" w:hAnsi="Arial"/>
          <w:sz w:val="18"/>
          <w:szCs w:val="18"/>
          <w:u w:val="single" w:color="auto"/>
          <w:color w:val="auto"/>
        </w:rPr>
        <w:t>Security Interest</w:t>
      </w:r>
      <w:r>
        <w:rPr>
          <w:rFonts w:ascii="Arial" w:cs="Arial" w:eastAsia="Arial" w:hAnsi="Arial"/>
          <w:sz w:val="18"/>
          <w:szCs w:val="18"/>
          <w:color w:val="auto"/>
        </w:rPr>
        <w:t>”) in the following (the “</w:t>
      </w:r>
      <w:r>
        <w:rPr>
          <w:rFonts w:ascii="Arial" w:cs="Arial" w:eastAsia="Arial" w:hAnsi="Arial"/>
          <w:sz w:val="18"/>
          <w:szCs w:val="18"/>
          <w:u w:val="single" w:color="auto"/>
          <w:color w:val="auto"/>
        </w:rPr>
        <w:t>Collateral</w:t>
      </w:r>
      <w:r>
        <w:rPr>
          <w:rFonts w:ascii="Arial" w:cs="Arial" w:eastAsia="Arial" w:hAnsi="Arial"/>
          <w:sz w:val="18"/>
          <w:szCs w:val="18"/>
          <w:color w:val="auto"/>
        </w:rPr>
        <w:t>”), including any securities account containing a securities entitlement with respect to the following :</w:t>
      </w:r>
    </w:p>
    <w:p>
      <w:pPr>
        <w:spacing w:after="0" w:line="62" w:lineRule="exact"/>
        <w:rPr>
          <w:sz w:val="20"/>
          <w:szCs w:val="20"/>
          <w:color w:val="auto"/>
        </w:rPr>
      </w:pPr>
    </w:p>
    <w:p>
      <w:pPr>
        <w:ind w:left="240" w:right="280" w:firstLine="225"/>
        <w:spacing w:after="0" w:line="277" w:lineRule="auto"/>
        <w:rPr>
          <w:sz w:val="20"/>
          <w:szCs w:val="20"/>
          <w:color w:val="auto"/>
        </w:rPr>
      </w:pPr>
      <w:r>
        <w:rPr>
          <w:rFonts w:ascii="Arial" w:cs="Arial" w:eastAsia="Arial" w:hAnsi="Arial"/>
          <w:sz w:val="18"/>
          <w:szCs w:val="18"/>
          <w:color w:val="auto"/>
        </w:rPr>
        <w:t>2(a) The Pledged Shares, the certificates representing the Pledged Shares, and all dividends, cash, instruments, and other property from time to time received, receivable, or otherwise distributed in respect of or in exchange for any or all of the Pledged Shares.</w:t>
      </w:r>
    </w:p>
    <w:p>
      <w:pPr>
        <w:spacing w:after="0" w:line="62" w:lineRule="exact"/>
        <w:rPr>
          <w:sz w:val="20"/>
          <w:szCs w:val="20"/>
          <w:color w:val="auto"/>
        </w:rPr>
      </w:pPr>
    </w:p>
    <w:p>
      <w:pPr>
        <w:ind w:left="240" w:right="600" w:firstLine="225"/>
        <w:spacing w:after="0" w:line="264" w:lineRule="auto"/>
        <w:rPr>
          <w:sz w:val="20"/>
          <w:szCs w:val="20"/>
          <w:color w:val="auto"/>
        </w:rPr>
      </w:pPr>
      <w:r>
        <w:rPr>
          <w:rFonts w:ascii="Arial" w:cs="Arial" w:eastAsia="Arial" w:hAnsi="Arial"/>
          <w:sz w:val="18"/>
          <w:szCs w:val="18"/>
          <w:color w:val="auto"/>
        </w:rPr>
        <w:t>2(b) All additional shares of stock of any issuer of the Pledged Shares from time to time acquired by the Pledgor in any manner, the certificates representing such additional shares, and all dividends, cash, instruments, and other property from time to time received, receivable, or otherwise distributed in respect of or in exchange for any or all of such shares.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2(c) All proceeds of any and all of the foregoing (including proceeds that constitute property of types described above).</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Delivery of Collateral</w:t>
      </w:r>
      <w:r>
        <w:rPr>
          <w:rFonts w:ascii="Arial" w:cs="Arial" w:eastAsia="Arial" w:hAnsi="Arial"/>
          <w:sz w:val="16"/>
          <w:szCs w:val="16"/>
          <w:color w:val="auto"/>
        </w:rPr>
        <w:t>. All certificates and instruments representing or evidencing the Pledged Shares shall be delivered to the Secured Party contemporaneously with the execution of this Agreement. All certificates and instruments representing or evidencing Collateral received by the Pledgor after the execution of this Agreement shall be delivered to the Secured Party promptly upon the Pledgor’s receipt thereof. All such certificates and instruments shall be held by or on behalf of the Secured Party pursuant hereto and shall be in suitable form for transfer by delivery, or shall be accompanied by duly executed instruments of transfer or assignment in blank, all in form and substance satisfactory to the Secured Party. With respect to all Pledged Shares consisting of uncertificated securities, book-entry securities, or securities entitlements, the Pledgor shall either (a) execute and deliver, and cause any necessary issuers or securities intermediaries to execute and deliver, control agreements in form and substance satisfactory to the Secured Party covering such Pledged Shares, or (b) cause such Pledged Shares to be transferred into the name of the Secured Party. The Secured Party shall have the right at any time, whether before or after an Event of Default, to cause any or all of the Collateral to be transferred of record into the name of the Secured Party or its nominee (but subject to the rights of the Pledgor under Section 6) and to exchange certificates representing or evidencing Collateral for certificates of smaller or larger denominations. If the Collateral is in the possession of a bailee, the Pledgor will join with the Secured Party in notifying the bailee of the interest of the Secured Party and in obtaining from the bailee an acknowledgment that it holds the Collateral for the benefit of the Secured Party.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Warranties and Covenants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4(a) The Pledgor makes the following warranties and covenants:</w:t>
      </w:r>
    </w:p>
    <w:p>
      <w:pPr>
        <w:spacing w:after="0" w:line="117" w:lineRule="exact"/>
        <w:rPr>
          <w:sz w:val="20"/>
          <w:szCs w:val="20"/>
          <w:color w:val="auto"/>
        </w:rPr>
      </w:pPr>
    </w:p>
    <w:p>
      <w:pPr>
        <w:ind w:left="460" w:right="380" w:firstLine="229"/>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Pledgor has title to the Pledged Shares and will have title to each other item of Collateral hereafter acquired, free of all Liens except the Security Interest.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57" w:name="page158"/>
    <w:bookmarkEnd w:id="157"/>
    <w:p>
      <w:pPr>
        <w:ind w:firstLine="229"/>
        <w:spacing w:after="0" w:line="277" w:lineRule="auto"/>
        <w:tabs>
          <w:tab w:leader="none" w:pos="4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Pledgor has full power and authority to execute this Agreement, to perform the Pledgor’s obligations hereunder, and to subject the Collateral to the Security Interest.</w:t>
      </w:r>
    </w:p>
    <w:p>
      <w:pPr>
        <w:spacing w:after="0" w:line="62" w:lineRule="exact"/>
        <w:rPr>
          <w:rFonts w:ascii="Arial" w:cs="Arial" w:eastAsia="Arial" w:hAnsi="Arial"/>
          <w:sz w:val="18"/>
          <w:szCs w:val="18"/>
          <w:color w:val="auto"/>
        </w:rPr>
      </w:pPr>
    </w:p>
    <w:p>
      <w:pPr>
        <w:ind w:right="280" w:firstLine="229"/>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financing statement or other filings or registrations covering all or any part of the Collateral is on file in any public office (except for any financing statements, filings, or registrations filed by the Secured Party).</w:t>
      </w:r>
    </w:p>
    <w:p>
      <w:pPr>
        <w:spacing w:after="0" w:line="62" w:lineRule="exact"/>
        <w:rPr>
          <w:rFonts w:ascii="Arial" w:cs="Arial" w:eastAsia="Arial" w:hAnsi="Arial"/>
          <w:sz w:val="18"/>
          <w:szCs w:val="18"/>
          <w:color w:val="auto"/>
        </w:rPr>
      </w:pPr>
    </w:p>
    <w:p>
      <w:pPr>
        <w:ind w:right="460" w:firstLine="229"/>
        <w:spacing w:after="0" w:line="277" w:lineRule="auto"/>
        <w:tabs>
          <w:tab w:leader="none" w:pos="5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Pledged Shares have been duly authorized and validly issued by the issuer thereof and are fully paid and non-assessable. The Pledged Shares are not subject to any offset or similar right or claim of the issuers thereof.</w:t>
      </w:r>
    </w:p>
    <w:p>
      <w:pPr>
        <w:spacing w:after="0" w:line="62" w:lineRule="exact"/>
        <w:rPr>
          <w:rFonts w:ascii="Arial" w:cs="Arial" w:eastAsia="Arial" w:hAnsi="Arial"/>
          <w:sz w:val="18"/>
          <w:szCs w:val="18"/>
          <w:color w:val="auto"/>
        </w:rPr>
      </w:pPr>
    </w:p>
    <w:p>
      <w:pPr>
        <w:ind w:right="680" w:firstLine="229"/>
        <w:spacing w:after="0" w:line="277" w:lineRule="auto"/>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Pledged Shares constitute the percentage of the issued and outstanding shares of stock of the respective issuers thereof indicated on Schedule I (if any such percentage is so indicated).</w:t>
      </w:r>
    </w:p>
    <w:p>
      <w:pPr>
        <w:spacing w:after="0" w:line="62" w:lineRule="exact"/>
        <w:rPr>
          <w:rFonts w:ascii="Arial" w:cs="Arial" w:eastAsia="Arial" w:hAnsi="Arial"/>
          <w:sz w:val="18"/>
          <w:szCs w:val="18"/>
          <w:color w:val="auto"/>
        </w:rPr>
      </w:pPr>
    </w:p>
    <w:p>
      <w:pPr>
        <w:ind w:firstLine="229"/>
        <w:spacing w:after="0" w:line="277" w:lineRule="auto"/>
        <w:tabs>
          <w:tab w:leader="none" w:pos="5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shall deliver to the Secured Party the following (within 10 business days after the date hereof): a certified true copy of the register of members of the Issuer, annotated to include details of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4(b) The Issuer makes the following warranties and covenants.</w:t>
      </w:r>
    </w:p>
    <w:p>
      <w:pPr>
        <w:spacing w:after="0" w:line="117" w:lineRule="exact"/>
        <w:rPr>
          <w:sz w:val="20"/>
          <w:szCs w:val="20"/>
          <w:color w:val="auto"/>
        </w:rPr>
      </w:pPr>
    </w:p>
    <w:p>
      <w:pPr>
        <w:ind w:left="440" w:hanging="211"/>
        <w:spacing w:after="0"/>
        <w:tabs>
          <w:tab w:leader="none" w:pos="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irrevocably waives:</w:t>
      </w:r>
    </w:p>
    <w:p>
      <w:pPr>
        <w:spacing w:after="0" w:line="117" w:lineRule="exact"/>
        <w:rPr>
          <w:rFonts w:ascii="Arial" w:cs="Arial" w:eastAsia="Arial" w:hAnsi="Arial"/>
          <w:sz w:val="18"/>
          <w:szCs w:val="18"/>
          <w:color w:val="auto"/>
        </w:rPr>
      </w:pPr>
    </w:p>
    <w:p>
      <w:pPr>
        <w:ind w:left="600" w:hanging="142"/>
        <w:spacing w:after="0"/>
        <w:tabs>
          <w:tab w:leader="none" w:pos="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first and paramount lien; and</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rights of forfeiture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that it may have, now or in the future, under its constitutional documents, in relation to the Pledged Shares.</w:t>
      </w:r>
    </w:p>
    <w:p>
      <w:pPr>
        <w:spacing w:after="0" w:line="117" w:lineRule="exact"/>
        <w:rPr>
          <w:sz w:val="20"/>
          <w:szCs w:val="20"/>
          <w:color w:val="auto"/>
        </w:rPr>
      </w:pPr>
    </w:p>
    <w:p>
      <w:pPr>
        <w:ind w:right="420" w:firstLine="229"/>
        <w:spacing w:after="0" w:line="277" w:lineRule="auto"/>
        <w:tabs>
          <w:tab w:leader="none" w:pos="4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irrevocably consents to the transfer of the Pledged Shares pursuant to the enforcement by the Secured Party of any of its rights under this Agreement.</w:t>
      </w:r>
    </w:p>
    <w:p>
      <w:pPr>
        <w:spacing w:after="0" w:line="62" w:lineRule="exact"/>
        <w:rPr>
          <w:rFonts w:ascii="Arial" w:cs="Arial" w:eastAsia="Arial" w:hAnsi="Arial"/>
          <w:sz w:val="18"/>
          <w:szCs w:val="18"/>
          <w:color w:val="auto"/>
        </w:rPr>
      </w:pPr>
    </w:p>
    <w:p>
      <w:pPr>
        <w:ind w:left="540" w:hanging="311"/>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shall not issue any shares in the Issuer to any person without the prior written consent of the Secured Party.</w:t>
      </w:r>
    </w:p>
    <w:p>
      <w:pPr>
        <w:spacing w:after="0" w:line="117" w:lineRule="exact"/>
        <w:rPr>
          <w:rFonts w:ascii="Arial" w:cs="Arial" w:eastAsia="Arial" w:hAnsi="Arial"/>
          <w:sz w:val="18"/>
          <w:szCs w:val="18"/>
          <w:color w:val="auto"/>
        </w:rPr>
      </w:pPr>
    </w:p>
    <w:p>
      <w:pPr>
        <w:ind w:right="160" w:firstLine="229"/>
        <w:spacing w:after="0" w:line="277" w:lineRule="auto"/>
        <w:tabs>
          <w:tab w:leader="none" w:pos="5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shall not register the transfer of any charged share to any other person on the Issuer’s Register of Members without the prior written consent of the Secured Party.</w:t>
      </w:r>
    </w:p>
    <w:p>
      <w:pPr>
        <w:spacing w:after="0" w:line="62" w:lineRule="exact"/>
        <w:rPr>
          <w:rFonts w:ascii="Arial" w:cs="Arial" w:eastAsia="Arial" w:hAnsi="Arial"/>
          <w:sz w:val="18"/>
          <w:szCs w:val="18"/>
          <w:color w:val="auto"/>
        </w:rPr>
      </w:pPr>
    </w:p>
    <w:p>
      <w:pPr>
        <w:ind w:left="480" w:hanging="251"/>
        <w:spacing w:after="0"/>
        <w:tabs>
          <w:tab w:leader="none" w:pos="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shall not continue in a jurisdiction outside of the British Virgin Islands.</w:t>
      </w:r>
    </w:p>
    <w:p>
      <w:pPr>
        <w:spacing w:after="0" w:line="117" w:lineRule="exact"/>
        <w:rPr>
          <w:rFonts w:ascii="Arial" w:cs="Arial" w:eastAsia="Arial" w:hAnsi="Arial"/>
          <w:sz w:val="18"/>
          <w:szCs w:val="18"/>
          <w:color w:val="auto"/>
        </w:rPr>
      </w:pPr>
    </w:p>
    <w:p>
      <w:pPr>
        <w:ind w:left="540" w:hanging="311"/>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shall not amend its memorandum of association or articles of association without the prior written consent of the Secured Party.</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58" w:name="page159"/>
    <w:bookmarkEnd w:id="158"/>
    <w:p>
      <w:pPr>
        <w:ind w:left="460" w:right="480" w:firstLine="229"/>
        <w:spacing w:after="0" w:line="277"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shall make a notation of this Agreement in its Register of Members pursuant to section 66(8) of the Business Companies Act, 2004 (as amended) as in effect in the British Virgin Islands.</w:t>
      </w:r>
    </w:p>
    <w:p>
      <w:pPr>
        <w:spacing w:after="0" w:line="62" w:lineRule="exact"/>
        <w:rPr>
          <w:rFonts w:ascii="Arial" w:cs="Arial" w:eastAsia="Arial" w:hAnsi="Arial"/>
          <w:sz w:val="18"/>
          <w:szCs w:val="18"/>
          <w:color w:val="auto"/>
        </w:rPr>
      </w:pPr>
    </w:p>
    <w:p>
      <w:pPr>
        <w:ind w:left="1100" w:hanging="411"/>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shall file a copy of its annotated Register of Members with the Companies Registry of the British Virgin Islands.</w:t>
      </w:r>
    </w:p>
    <w:p>
      <w:pPr>
        <w:spacing w:after="0" w:line="117" w:lineRule="exact"/>
        <w:rPr>
          <w:rFonts w:ascii="Arial" w:cs="Arial" w:eastAsia="Arial" w:hAnsi="Arial"/>
          <w:sz w:val="18"/>
          <w:szCs w:val="18"/>
          <w:color w:val="auto"/>
        </w:rPr>
      </w:pPr>
    </w:p>
    <w:p>
      <w:pPr>
        <w:ind w:left="460" w:right="320" w:firstLine="229"/>
        <w:spacing w:after="0" w:line="277" w:lineRule="auto"/>
        <w:tabs>
          <w:tab w:leader="none" w:pos="9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shall promptly register any transfer of title to the Pledged Shares pursuant to any enforcement by the Secured Party of its rights under this Agreement on its Register of Members.</w:t>
      </w:r>
    </w:p>
    <w:p>
      <w:pPr>
        <w:spacing w:after="0" w:line="6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at the expense of the Pledgor, the Pledgor shall promptly execute and deliver all further instruments and documents, and take all further action that may be necessary or that the Secured Party may reasonably request, to perfect and protect the Security Interest or to enable the Secured Party to exercise and enforce its rights and remedies hereunder with respect to any Collateral (but any failure to request or assure that the Pledgor execute and deliver such instruments or documents or to take such action shall not affect or impair the validity, sufficiency, or enforceability of this Agreement and the Security Interest, regardless of whether any such item was or was not executed and delivered or action taken in a similar context or on a prior occasion).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Voting Rights; Dividends; Etc</w:t>
      </w:r>
      <w:r>
        <w:rPr>
          <w:rFonts w:ascii="Arial" w:cs="Arial" w:eastAsia="Arial" w:hAnsi="Arial"/>
          <w:sz w:val="18"/>
          <w:szCs w:val="18"/>
          <w:color w:val="auto"/>
        </w:rPr>
        <w:t>.</w:t>
      </w:r>
    </w:p>
    <w:p>
      <w:pPr>
        <w:spacing w:after="0" w:line="117" w:lineRule="exact"/>
        <w:rPr>
          <w:sz w:val="20"/>
          <w:szCs w:val="20"/>
          <w:color w:val="auto"/>
        </w:rPr>
      </w:pPr>
    </w:p>
    <w:p>
      <w:pPr>
        <w:ind w:left="240" w:right="200" w:firstLine="225"/>
        <w:spacing w:after="0" w:line="302" w:lineRule="auto"/>
        <w:rPr>
          <w:sz w:val="20"/>
          <w:szCs w:val="20"/>
          <w:color w:val="auto"/>
        </w:rPr>
      </w:pPr>
      <w:r>
        <w:rPr>
          <w:rFonts w:ascii="Arial" w:cs="Arial" w:eastAsia="Arial" w:hAnsi="Arial"/>
          <w:sz w:val="16"/>
          <w:szCs w:val="16"/>
          <w:color w:val="auto"/>
        </w:rPr>
        <w:t>6(a) Subject to paragraph (d) of this Section 6, the Pledgor shall be entitled to exercise or refrain from exercising any and all voting and other consensual rights pertaining to the Pledged Shares or any other stock that becomes part of the Collateral or any part thereof for any purpose not inconsistent with the terms of this Agreement or the Credit Agreement; provided, however, that the Pledgor shall not exercise or refrain from exercising any such right if such action could reasonably be expected to have a material adverse effect on the value of the Collateral or any material part thereof.</w:t>
      </w:r>
    </w:p>
    <w:p>
      <w:pPr>
        <w:spacing w:after="0" w:line="46" w:lineRule="exact"/>
        <w:rPr>
          <w:sz w:val="20"/>
          <w:szCs w:val="20"/>
          <w:color w:val="auto"/>
        </w:rPr>
      </w:pPr>
    </w:p>
    <w:p>
      <w:pPr>
        <w:ind w:left="240" w:right="520" w:firstLine="225"/>
        <w:spacing w:after="0" w:line="277" w:lineRule="auto"/>
        <w:rPr>
          <w:sz w:val="20"/>
          <w:szCs w:val="20"/>
          <w:color w:val="auto"/>
        </w:rPr>
      </w:pPr>
      <w:r>
        <w:rPr>
          <w:rFonts w:ascii="Arial" w:cs="Arial" w:eastAsia="Arial" w:hAnsi="Arial"/>
          <w:sz w:val="18"/>
          <w:szCs w:val="18"/>
          <w:color w:val="auto"/>
        </w:rPr>
        <w:t xml:space="preserve">6(b) Subject to paragraph (e) of this Section 6, the Pledgor shall be entitled to receive, retain, and use in any manner not prohibited by the Credit Agreement any and all dividends paid in respect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and all</w:t>
      </w:r>
    </w:p>
    <w:p>
      <w:pPr>
        <w:spacing w:after="0" w:line="62" w:lineRule="exact"/>
        <w:rPr>
          <w:sz w:val="20"/>
          <w:szCs w:val="20"/>
          <w:color w:val="auto"/>
        </w:rPr>
      </w:pPr>
    </w:p>
    <w:p>
      <w:pPr>
        <w:ind w:left="460" w:right="280" w:firstLine="229"/>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dividends paid or payable other than in cash in respect of, and instruments and other property received, receivable, or otherwise distributed in respect of, or in exchange for, any Collateral,</w:t>
      </w:r>
    </w:p>
    <w:p>
      <w:pPr>
        <w:spacing w:after="0" w:line="62" w:lineRule="exact"/>
        <w:rPr>
          <w:rFonts w:ascii="Arial" w:cs="Arial" w:eastAsia="Arial" w:hAnsi="Arial"/>
          <w:sz w:val="18"/>
          <w:szCs w:val="18"/>
          <w:color w:val="auto"/>
        </w:rPr>
      </w:pPr>
    </w:p>
    <w:p>
      <w:pPr>
        <w:ind w:left="460" w:right="760" w:firstLine="229"/>
        <w:spacing w:after="0" w:line="277" w:lineRule="auto"/>
        <w:tabs>
          <w:tab w:leader="none" w:pos="95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dividends and other distributions paid or payable in cash in respect of any Collateral in connection with a partial or total liquidation or dissolution or in connection with a reduction of capital, capital surplus, or paid-in-surplus, and</w:t>
      </w:r>
    </w:p>
    <w:p>
      <w:pPr>
        <w:spacing w:after="0" w:line="62" w:lineRule="exact"/>
        <w:rPr>
          <w:rFonts w:ascii="Arial" w:cs="Arial" w:eastAsia="Arial" w:hAnsi="Arial"/>
          <w:sz w:val="18"/>
          <w:szCs w:val="18"/>
          <w:color w:val="auto"/>
        </w:rPr>
      </w:pPr>
    </w:p>
    <w:p>
      <w:pPr>
        <w:ind w:left="1000" w:hanging="311"/>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cash paid, payable, or otherwise distributed in redemption of, or in exchange for, any Collateral,</w:t>
      </w:r>
    </w:p>
    <w:p>
      <w:pPr>
        <w:spacing w:after="0" w:line="117"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shall be, and shall be forthwith delivered to the Secured Party to hold as, Collateral and shall, if received by the Pledgor, be received in trust for the benefit of the Secured Party,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59" w:name="page160"/>
    <w:bookmarkEnd w:id="159"/>
    <w:p>
      <w:pPr>
        <w:ind w:right="20"/>
        <w:spacing w:after="0" w:line="264" w:lineRule="auto"/>
        <w:rPr>
          <w:sz w:val="20"/>
          <w:szCs w:val="20"/>
          <w:color w:val="auto"/>
        </w:rPr>
      </w:pPr>
      <w:r>
        <w:rPr>
          <w:rFonts w:ascii="Arial" w:cs="Arial" w:eastAsia="Arial" w:hAnsi="Arial"/>
          <w:sz w:val="18"/>
          <w:szCs w:val="18"/>
          <w:color w:val="auto"/>
        </w:rPr>
        <w:t>be segregated from the other property or funds of the Pledgor, and be forthwith delivered to the Secured Party as Collateral in the same form as so received (with any necessary indorsement or assignment). The Pledgor shall, upon request by the Secured Party, promptly execute all such documents and do all such acts as may be necessary or desirable to give effect to the provisions of this Section 6(b).</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6(c) The Secured Party shall execute and deliver (or cause to be executed and delivered) to the Pledgor all such proxies and other instruments as the Pledgor reasonably requests for the purpose of enabling the Pledgor to exercise the voting and other rights that it is entitled to exercise pursuant to Section 6(a) and to receive the dividends that it is authorized to receive and retain pursuant to Section 6(b).</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6(d) Upon and during the continuance of any Event of Default, the Secured Party shall have the right in its sole discretion, and the Pledgor shall execute and deliver all such proxies and other instruments as may be necessary or appropriate to give effect to such right, to terminate all rights of the Pledgor to exercise or refrain from exercising the voting and other consensual rights that it would otherwise be entitled to exercise pursuant to Section 6(a), and all such rights shall thereupon become vested in the Secured Party, which shall thereupon have the sole right to exercise or refrain from exercising such voting and other consensual rights; provided, however, that the Secured Party shall not be deemed to possess or have control over any voting rights with respect to any Collateral unless and until the Secured Party has given written notice to the Pledgor that any further exercise of such voting rights by the Pledgor is prohibited and that the Secured Party or its assigns will henceforth exercise such voting rights; and provided, further, that neither the registration of any item of Collateral in the Secured Party’s name nor the exercise of any voting rights with respect thereto shall be deemed to constitute a retention by the Secured Party of any such Collateral in satisfaction of the Obligations or any part thereof.</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6(e) Upon and during the continuance of any Event of Default:</w:t>
      </w:r>
    </w:p>
    <w:p>
      <w:pPr>
        <w:spacing w:after="0" w:line="117" w:lineRule="exact"/>
        <w:rPr>
          <w:sz w:val="20"/>
          <w:szCs w:val="20"/>
          <w:color w:val="auto"/>
        </w:rPr>
      </w:pPr>
    </w:p>
    <w:p>
      <w:pPr>
        <w:ind w:left="220" w:right="120" w:firstLine="229"/>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rights of the Pledgor to receive the dividends that it would otherwise be authorized to receive and retain pursuant to Section 6(b) shall cease, and all such rights shall thereupon become vested in the Secured Party, which shall thereupon have the sole right to receive and hold such dividends as Collateral, and</w:t>
      </w:r>
    </w:p>
    <w:p>
      <w:pPr>
        <w:spacing w:after="0" w:line="73" w:lineRule="exact"/>
        <w:rPr>
          <w:rFonts w:ascii="Arial" w:cs="Arial" w:eastAsia="Arial" w:hAnsi="Arial"/>
          <w:sz w:val="18"/>
          <w:szCs w:val="18"/>
          <w:color w:val="auto"/>
        </w:rPr>
      </w:pPr>
    </w:p>
    <w:p>
      <w:pPr>
        <w:ind w:left="220" w:right="220" w:firstLine="229"/>
        <w:spacing w:after="0" w:line="264" w:lineRule="auto"/>
        <w:tabs>
          <w:tab w:leader="none" w:pos="7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payments of dividends that are received by the Pledgor contrary to the provisions of paragraph (i) of this Section 6(e) shall be received in trust for the benefit of the Secured Party, shall be segregated from other funds of the Pledgor, and shall be forthwith paid over to the Secured Party as Collateral in the same form as so received (with any necessary indorsement).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Transfers and Other Liens; Additional Shares</w:t>
      </w:r>
      <w:r>
        <w:rPr>
          <w:rFonts w:ascii="Arial" w:cs="Arial" w:eastAsia="Arial" w:hAnsi="Arial"/>
          <w:sz w:val="18"/>
          <w:szCs w:val="18"/>
          <w:color w:val="auto"/>
        </w:rPr>
        <w:t>.</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7(a) Except as may be permitted by the Credit Agreement, the Pledgor agrees that it will not (i) sell, assign (by operation of law or otherwise), or otherwise dispose of,</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0" w:name="page161"/>
    <w:bookmarkEnd w:id="160"/>
    <w:p>
      <w:pPr>
        <w:ind w:left="240"/>
        <w:spacing w:after="0"/>
        <w:rPr>
          <w:sz w:val="20"/>
          <w:szCs w:val="20"/>
          <w:color w:val="auto"/>
        </w:rPr>
      </w:pPr>
      <w:r>
        <w:rPr>
          <w:rFonts w:ascii="Arial" w:cs="Arial" w:eastAsia="Arial" w:hAnsi="Arial"/>
          <w:sz w:val="17"/>
          <w:szCs w:val="17"/>
          <w:color w:val="auto"/>
        </w:rPr>
        <w:t>or grant any option with respect to, any of the Collateral, or (ii) create or permit to exist any Lien upon or with respect to any of the Collateral.</w:t>
      </w:r>
    </w:p>
    <w:p>
      <w:pPr>
        <w:spacing w:after="0" w:line="129" w:lineRule="exact"/>
        <w:rPr>
          <w:sz w:val="20"/>
          <w:szCs w:val="20"/>
          <w:color w:val="auto"/>
        </w:rPr>
      </w:pPr>
    </w:p>
    <w:p>
      <w:pPr>
        <w:jc w:val="both"/>
        <w:ind w:left="240" w:right="80" w:firstLine="225"/>
        <w:spacing w:after="0" w:line="286" w:lineRule="auto"/>
        <w:rPr>
          <w:sz w:val="20"/>
          <w:szCs w:val="20"/>
          <w:color w:val="auto"/>
        </w:rPr>
      </w:pPr>
      <w:r>
        <w:rPr>
          <w:rFonts w:ascii="Arial" w:cs="Arial" w:eastAsia="Arial" w:hAnsi="Arial"/>
          <w:sz w:val="17"/>
          <w:szCs w:val="17"/>
          <w:color w:val="auto"/>
        </w:rPr>
        <w:t>7(b) The Pledgor agrees that it will (i) cause each issuer of the Pledged Shares that it controls not to issue any stock or other securities in addition to or in substitution for the Pledged Shares issued by such issuer, except to the Pledgor, and (ii) pledge hereunder, immediately upon its acquisition (directly or indirectly) thereof, any and all additional shares of stock or other securities of each issuer of the Pledged Shares.</w:t>
      </w:r>
    </w:p>
    <w:p>
      <w:pPr>
        <w:spacing w:after="0" w:line="5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Secured Party Appointed Attorney-in-Fac</w:t>
      </w:r>
      <w:r>
        <w:rPr>
          <w:rFonts w:ascii="Arial" w:cs="Arial" w:eastAsia="Arial" w:hAnsi="Arial"/>
          <w:sz w:val="17"/>
          <w:szCs w:val="17"/>
          <w:color w:val="auto"/>
        </w:rPr>
        <w:t>t. As additional security for the Obligations, the Pledgor hereby irrevocably appoints the Secured Party the Pledgor’s attorney-in-fact, with full authority in the place and stead of such Pledgor and in the name of such Pledgor or otherwise, from time to time in the Secured Party’s good-faith discretion, to take any action and to execute any instrument that the Secured Party may reasonably believe necessary or advisable to accomplish the purposes of this Agreement (subject to the rights of the Pledgor under Section 6), in a manner consistent with the terms hereof, including, without limitation, to receive, indorse, and collect all instruments made payable to the Pledgor representing any dividend or other distribution in respect of the Collateral or any part thereof and to give full discharge for the same.</w:t>
      </w:r>
    </w:p>
    <w:p>
      <w:pPr>
        <w:spacing w:after="0" w:line="7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Secured Party May Perform</w:t>
      </w:r>
      <w:r>
        <w:rPr>
          <w:rFonts w:ascii="Arial" w:cs="Arial" w:eastAsia="Arial" w:hAnsi="Arial"/>
          <w:sz w:val="17"/>
          <w:szCs w:val="17"/>
          <w:color w:val="auto"/>
        </w:rPr>
        <w:t>. The Pledgor hereby authorizes the Secured Party to file financing statements, and to otherwise make any filing or registration in any jurisdiction, with respect to the Collateral (including financing statements, filings, and registrations containing a broader description of the Collateral than the description set forth herein). The Pledgor irrevocably waives any right to notice of any such filing. If the Pledgor fails to perform any agreement herein, the Secured Party may itself perform, or cause performance of, such agreement, and the reasonable expenses of the Secured Party incurred in connection therewith shall be payable by the Pledgor under Section 14.</w:t>
      </w:r>
    </w:p>
    <w:p>
      <w:pPr>
        <w:spacing w:after="0" w:line="64"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The Secured Party’s Duties</w:t>
      </w:r>
      <w:r>
        <w:rPr>
          <w:rFonts w:ascii="Arial" w:cs="Arial" w:eastAsia="Arial" w:hAnsi="Arial"/>
          <w:sz w:val="16"/>
          <w:szCs w:val="16"/>
          <w:color w:val="auto"/>
        </w:rPr>
        <w:t>. The powers conferred on the Secured Party hereunder are solely to protect its interest in the Collateral and shall not impose any duty upon it to exercise any such powers. The Secured Party shall be deemed to have exercised reasonable care in the safekeeping of any Collateral in its possession if such Collateral is accorded treatment substantially equal to the safekeeping the Secured Party accords its own property of like kind. Except for the safekeeping of any Collateral in its possession and the accounting for monies and for other properties actually received by it hereunder, the Secured Party shall have no duty, as to any Collateral, as to ascertaining or taking action with respect to calls, conversions, exchanges, maturities, tenders, or other matters relative to any Collateral, whether or not the Secured Party has or is deemed to have knowledge of such matters, or as to the taking of any necessary steps to preserve rights against any Persons or any other rights pertaining to any Collateral. The Secured Party will take action in the nature of exchanges, conversions, redemption, tenders, and the like requested in writing by the Pledgor with respect to any of the Collateral in the Secured Party’s possession if the Secured Party in its reasonable judgment determines that such action will not impair the Security Interest or the value of the Collateral, but a failure of the Secured Party to comply with any such request shall not of itself be deemed a failure to exercise reasonable care.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1" w:name="page162"/>
    <w:bookmarkEnd w:id="161"/>
    <w:p>
      <w:pPr>
        <w:ind w:right="60" w:firstLine="225"/>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Default</w:t>
      </w:r>
      <w:r>
        <w:rPr>
          <w:rFonts w:ascii="Arial" w:cs="Arial" w:eastAsia="Arial" w:hAnsi="Arial"/>
          <w:sz w:val="17"/>
          <w:szCs w:val="17"/>
          <w:color w:val="auto"/>
        </w:rPr>
        <w:t xml:space="preserve"> Each of the following occurrences shall constitute an Event of Default under this Agreement: (a) the Pledgor fails to observe or perform any covenant or agreement applicable to the Pledgor under this Agreement; (b) any representation or warranty made by the Pledgor in this Agreement or in any financial statements, reports, or certificates heretofore or at any time hereafter submitted by or on behalf of the Pledgor to the Secured Party proves to have been false or materially misleading when made; (c) any “Event of Default” occurs under the Credit Agreement; or (d) the Secured Party receives at any time any information indicating that the Security Interest is not enforceable, is not perfected, or is not prior to all other security interests or other interests in the Collateral, except as otherwise agreed by the Secured Party.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Remedies upon Default</w:t>
      </w:r>
      <w:r>
        <w:rPr>
          <w:rFonts w:ascii="Arial" w:cs="Arial" w:eastAsia="Arial" w:hAnsi="Arial"/>
          <w:sz w:val="18"/>
          <w:szCs w:val="18"/>
          <w:color w:val="auto"/>
        </w:rPr>
        <w:t>. If any Event of Default has occurred and is continuing:</w:t>
      </w:r>
    </w:p>
    <w:p>
      <w:pPr>
        <w:spacing w:after="0" w:line="117" w:lineRule="exact"/>
        <w:rPr>
          <w:sz w:val="20"/>
          <w:szCs w:val="20"/>
          <w:color w:val="auto"/>
        </w:rPr>
      </w:pPr>
    </w:p>
    <w:p>
      <w:pPr>
        <w:ind w:left="240" w:firstLine="225"/>
        <w:spacing w:after="0" w:line="269" w:lineRule="auto"/>
        <w:rPr>
          <w:sz w:val="20"/>
          <w:szCs w:val="20"/>
          <w:color w:val="auto"/>
        </w:rPr>
      </w:pPr>
      <w:r>
        <w:rPr>
          <w:rFonts w:ascii="Arial" w:cs="Arial" w:eastAsia="Arial" w:hAnsi="Arial"/>
          <w:sz w:val="17"/>
          <w:szCs w:val="17"/>
          <w:color w:val="auto"/>
        </w:rPr>
        <w:t>12(a) The Secured Party may exercise in respect of the Collateral, in addition to other rights and remedies provided for herein or otherwise available to it, all the rights and remedies of a secured party on default under the Code as in effect at that time, and may, without notice except as specified below, sell the Collateral or any part thereof in one or more parcels at public or private sale, at any exchange or broker’s board, at any of the Secured Party’s offices, or elsewhere, for cash, on credit, or for future delivery, and upon such other terms as the Secured Party may reasonably believe are commercially reasonable. The Pledgor agrees that, to the extent notice of sale is required by law, at least ten days’ prior notice to the Pledgor of the time and place of any public sale or the time after which any private sale is to be made shall constitute reasonable notification. The Secured Party shall not be obligated to make any sale of Collateral regardless of notice of sale having been given. The Secured Party may adjourn any public or private sale from time to time by announcement at the time and place fixed therefor, and such sale may, without further notice, be made at the time and place to which it was so adjourned. The Pledgor hereby waives all requirements of law, if any, relating to the marshalling of assets that would be applicable in connection with the enforcement by the Secured Party of its remedies hereunder, absent this waiver. The Secured Party may disclaim warranties of title and possession and the like.</w:t>
      </w:r>
    </w:p>
    <w:p>
      <w:pPr>
        <w:spacing w:after="0" w:line="75" w:lineRule="exact"/>
        <w:rPr>
          <w:sz w:val="20"/>
          <w:szCs w:val="20"/>
          <w:color w:val="auto"/>
        </w:rPr>
      </w:pPr>
    </w:p>
    <w:p>
      <w:pPr>
        <w:ind w:left="240" w:right="40" w:firstLine="225"/>
        <w:spacing w:after="0" w:line="276" w:lineRule="auto"/>
        <w:rPr>
          <w:sz w:val="20"/>
          <w:szCs w:val="20"/>
          <w:color w:val="auto"/>
        </w:rPr>
      </w:pPr>
      <w:r>
        <w:rPr>
          <w:rFonts w:ascii="Arial" w:cs="Arial" w:eastAsia="Arial" w:hAnsi="Arial"/>
          <w:sz w:val="17"/>
          <w:szCs w:val="17"/>
          <w:color w:val="auto"/>
        </w:rPr>
        <w:t>12(b) The Secured Party may notify any Person obligated on any of the Collateral that the Collateral has been assigned or transferred to the Secured Party and that should be performed as requested by, or paid directly to, the Secured Party, as the case may be. The Pledgor shall join in giving such notice, if the Secured Party so requests. The Secured Party may, in its name or in the Pledgor’s name, demand, sue for, collect, or receive any money or property at any time payable or receivable on account of, or securing, any such Collateral or grant any extension to, make any compromise or settlement with, or otherwise agree to waive, modify, amend, or change the obligation of any such Person.</w:t>
      </w:r>
    </w:p>
    <w:p>
      <w:pPr>
        <w:spacing w:after="0" w:line="64" w:lineRule="exact"/>
        <w:rPr>
          <w:sz w:val="20"/>
          <w:szCs w:val="20"/>
          <w:color w:val="auto"/>
        </w:rPr>
      </w:pPr>
    </w:p>
    <w:p>
      <w:pPr>
        <w:ind w:left="240" w:firstLine="225"/>
        <w:spacing w:after="0" w:line="264" w:lineRule="auto"/>
        <w:rPr>
          <w:sz w:val="20"/>
          <w:szCs w:val="20"/>
          <w:color w:val="auto"/>
        </w:rPr>
      </w:pPr>
      <w:r>
        <w:rPr>
          <w:rFonts w:ascii="Arial" w:cs="Arial" w:eastAsia="Arial" w:hAnsi="Arial"/>
          <w:sz w:val="18"/>
          <w:szCs w:val="18"/>
          <w:color w:val="auto"/>
        </w:rPr>
        <w:t>12(c) Any cash held by the Secured Party as Collateral and all cash proceeds received by the Secured Party in respect of any sale of, collection from, or other realization upon all or any part of the Collateral may, in the discretion of the Secured Party, be held by the Secured Party as collateral for, or then or at any time thereafter be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2" w:name="page163"/>
    <w:bookmarkEnd w:id="162"/>
    <w:p>
      <w:pPr>
        <w:ind w:left="240" w:right="180"/>
        <w:spacing w:after="0" w:line="277" w:lineRule="auto"/>
        <w:rPr>
          <w:sz w:val="20"/>
          <w:szCs w:val="20"/>
          <w:color w:val="auto"/>
        </w:rPr>
      </w:pPr>
      <w:r>
        <w:rPr>
          <w:rFonts w:ascii="Arial" w:cs="Arial" w:eastAsia="Arial" w:hAnsi="Arial"/>
          <w:sz w:val="18"/>
          <w:szCs w:val="18"/>
          <w:color w:val="auto"/>
        </w:rPr>
        <w:t>applied in whole or in part by the Secured Party against, all or any part of the Obligations (including any expenses of the Secured Party payable pursuant to Section 14).</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Waiver of Certain Claims</w:t>
      </w:r>
      <w:r>
        <w:rPr>
          <w:rFonts w:ascii="Arial" w:cs="Arial" w:eastAsia="Arial" w:hAnsi="Arial"/>
          <w:sz w:val="16"/>
          <w:szCs w:val="16"/>
          <w:color w:val="auto"/>
        </w:rPr>
        <w:t>. The Pledgor acknowledges that because of present or future circumstances, a question may arise under the Securities Act of 1933, as from time to time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with respect to any disposition of the Collateral permitted hereunder. The Pledgor understands that compliance with the Securities Act may very strictly limit the course of conduct of the Secured Party if the Secured Party attempts to dispose of all or any portion of the Collateral and may also limit the extent to which or the manner in which any subsequent transferee of the Collateral or any portion thereof may dispose of the same. There may be other legal restrictions or limitations affecting the Secured Party in any attempt to dispose of all or any portion of the Collateral under the applicable Blue Sky or other securities laws or similar laws analogous in purpose or effect. The Secured Party may be compelled to resort to one or more private sales to a restricted group of purchasers who will be obliged to agree, among other things, to acquire such Collateral for their own account for investment only and not to engage in a distribution or resale thereof. The Pledgor agrees that the Secured Party shall not incur any liability, and any liability of the Pledgor for any deficiency shall not be impaired, as a result of the sale of the Collateral or any portion thereof at any such private sale in a manner that the Secured Party reasonably believes is commercially reasonable (within the meaning of Section 9-627 of the Uniform Commercial Code). The Pledgor hereby waives any claims against the Secured Party arising by reason of the fact that the price at which the Collateral has been sold at such sale was less than the price that might have been obtained at a public sale or was less than the aggregate amount of the Obligations, even if the Secured Party accepts the first offer received and does not offer any portion of the Collateral to more than one possible purchaser. The Pledgor further agrees that the Secured Party has no obligation to delay sale of any Collateral for the period of time necessary to permit the issuer of such Collateral to qualify or register such Collateral for public sale under the Securities Act, applicable Blue Sky laws, and other applicable state and federal securities laws, even if said issuer would agree to do so. Without limiting the generality of the foregoing, the provisions of this Section would apply if, for example, the Secured Party placed all or any portion of the Collateral for private placement by an investment banking firm, if such investment banking firm purchased all or any portion of the Collateral for its own account, or if the Secured Party placed all or any portion of the Collateral privately with a purchaser or purchasers.</w:t>
      </w:r>
    </w:p>
    <w:p>
      <w:pPr>
        <w:spacing w:after="0" w:line="65"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Costs and Expenses; Indemnity</w:t>
      </w:r>
      <w:r>
        <w:rPr>
          <w:rFonts w:ascii="Arial" w:cs="Arial" w:eastAsia="Arial" w:hAnsi="Arial"/>
          <w:sz w:val="16"/>
          <w:szCs w:val="16"/>
          <w:color w:val="auto"/>
        </w:rPr>
        <w:t>. The Pledgor shall pay or reimburse the Secured Party on demand for all reasonable out-of-pocket expenses paid or incurred by the Secured Party, including in each case all filing and recording costs and fees, charges, taxes, and disbursements of outside counsel to the Secured Party (determined on the basis of such counsel’s generally applicable rates, which may be higher than the rates such counsel charges the Secured Party in certain matters), and the allocated costs of in-house counsel incurred from time to time, in connection with the creation, perfection, protection, satisfaction, foreclosure, or enforcement of the Security Interest and the preparation, administration, continuance, amendment, collection, and enforcement of this Agreement, and all such costs and expenses shall be part of the Obligations secured by the Security Interest. The Pledgor shall indemnify and hold the Secured Party harmless from and against any and all claims, losses, and liabilities (including reasonable attorneys’ fees) growing out of or resulting from this Agreement (including enforcement of this Agreement) or the Secured Party’s actions pursuant hereto, except claims, losses, or liabilities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spacing w:after="0" w:line="264" w:lineRule="auto"/>
        <w:rPr>
          <w:sz w:val="20"/>
          <w:szCs w:val="20"/>
          <w:color w:val="auto"/>
        </w:rPr>
      </w:pPr>
      <w:r>
        <w:rPr>
          <w:rFonts w:ascii="Arial" w:cs="Arial" w:eastAsia="Arial" w:hAnsi="Arial"/>
          <w:sz w:val="18"/>
          <w:szCs w:val="18"/>
          <w:color w:val="auto"/>
        </w:rPr>
        <w:t>resulting from the Secured Party’s gross negligence or willful misconduct as determined by a final judgment of a court of competent jurisdiction. Any liability of the Pledgor to indemnify and hold Secured Party harmless pursuant to the preceding sentence shall be part of the Obligations. The obligations of the Pledgor under this Section shall survive any termination of this Agreement.</w:t>
      </w:r>
    </w:p>
    <w:p>
      <w:pPr>
        <w:spacing w:after="0" w:line="7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Waivers and Amendments; Remedies</w:t>
      </w:r>
      <w:r>
        <w:rPr>
          <w:rFonts w:ascii="Arial" w:cs="Arial" w:eastAsia="Arial" w:hAnsi="Arial"/>
          <w:sz w:val="16"/>
          <w:szCs w:val="16"/>
          <w:color w:val="auto"/>
        </w:rPr>
        <w:t>. This Agreement can be waived, modified, amended, terminated, or discharged, and the Security Interest can be released, only explicitly in a writing signed by the Secured Party. A waiver so signed shall be effective only in the specific instance and for the specific purpose given. Mere delay or failure to act shall not preclude the exercise or enforcement of any rights and remedies available to the Secured Party. All rights and remedies of the Secured Party shall be cumulative and may be exercised singly in any order or sequence, or concurrently, at the Secured Party’s option, and the exercise or enforcement of any such right or remedy shall neither be a condition to nor bar the exercise or enforcement of any other.</w:t>
      </w:r>
    </w:p>
    <w:p>
      <w:pPr>
        <w:spacing w:after="0" w:line="50"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Waiver of Defenses</w:t>
      </w:r>
      <w:r>
        <w:rPr>
          <w:rFonts w:ascii="Arial" w:cs="Arial" w:eastAsia="Arial" w:hAnsi="Arial"/>
          <w:sz w:val="16"/>
          <w:szCs w:val="16"/>
          <w:color w:val="auto"/>
        </w:rPr>
        <w:t>. The Pledgor waives the benefit of any and all defenses and discharges available to a guarantor, surety, indorser, or accommodation party dependent on its character as such. Without limiting the generality of the foregoing, the Pledgor (in such capacity) waives presentment, demand for payment, and notice of nonpayment or protest of any note other instrument evidencing any of the Obligations; and the Pledgor agrees that its liability hereunder and the Security Interest shall not be affected or impaired in any way by any of the following acts and things (which the Secured Party may do from time to time without notice to the Pledgor): (a) by any sale, pledge, surrender, compromise, settlement, release, renewal, extension, indulgence, alteration, substitution, exchange, change in, modification, or other disposition of any of the Obligations or any evidence thereof or any collateral therefor,</w:t>
      </w:r>
    </w:p>
    <w:p>
      <w:pPr>
        <w:spacing w:after="0" w:line="5" w:lineRule="exact"/>
        <w:rPr>
          <w:sz w:val="20"/>
          <w:szCs w:val="20"/>
          <w:color w:val="auto"/>
        </w:rPr>
      </w:pPr>
    </w:p>
    <w:p>
      <w:pPr>
        <w:ind w:right="40" w:firstLine="8"/>
        <w:spacing w:after="0" w:line="286" w:lineRule="auto"/>
        <w:tabs>
          <w:tab w:leader="none" w:pos="2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by any acceptance or release of collateral for or guarantors of any of the Obligations, (c) by any failure, neglect, or omission to realize upon or protect any of the Obligations, to obtain, perfect, enforce, or realize upon any collateral therefor, or to exercise any Lien upon or right of appropriation of any moneys, credits, or property toward the liquidation of any of the Obligations, or (d) by any application of payments or credits upon any of the Obligations. The Secured Party shall not be required, before exercising its rights under this Agreement, to first resort for payment of any of the Obligations to the Borrower or any other Persons, its or their properties or estates, or any collateral, property, Liens, or other rights or remedies whatsoever. The Pledgor agrees not to exercise any right of contribution, recourse, subrogation, or reimbursement available to the Pledgor against the Borrower or any other Person or property, unless and until all Obligations and all other debts, liabilities, and obligations owed by the Borrower and the Pledgor to the Secured Party have been paid and discharged. The Pledgor expects to derive benefits from the transactions resulting in the creation of the Obligations. The Secured Party may rely conclusively on the continuing warranty, hereby made, that the Pledgor continues to be benefited by the Secured Party’s extension of credit accommodations to the Borrower, the Secured Party shall have no duty to inquire into or confirm the receipt of any such benefits, and this Agreement shall be effective and enforceable by the Secured Party without regard to the receipt, nature, or value of any such benefits.</w:t>
      </w:r>
    </w:p>
    <w:p>
      <w:pPr>
        <w:spacing w:after="0" w:line="5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to any party in connection with this Agreement shall be in writing and shall be sent by manual delivery, facsimile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4" w:name="page165"/>
    <w:bookmarkEnd w:id="164"/>
    <w:p>
      <w:pPr>
        <w:ind w:right="80"/>
        <w:spacing w:after="0" w:line="259" w:lineRule="auto"/>
        <w:rPr>
          <w:sz w:val="20"/>
          <w:szCs w:val="20"/>
          <w:color w:val="auto"/>
        </w:rPr>
      </w:pPr>
      <w:r>
        <w:rPr>
          <w:rFonts w:ascii="Arial" w:cs="Arial" w:eastAsia="Arial" w:hAnsi="Arial"/>
          <w:sz w:val="18"/>
          <w:szCs w:val="18"/>
          <w:color w:val="auto"/>
        </w:rPr>
        <w:t>transmission, overnight courier, or United States mail (postage prepaid) addressed to such party at the address specified on the signature page hereof, or at such other address as such party specifies to the other party hereto in writing. All periods of notice shall be measured from the date of delivery if manually delivered, from the date of sending if sent by facsimile transmission, from the first business day after the date of sending if sent by overnight courier, or from four days after the date of mailing if mailed.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Pledgor hereby represents and warrants to the Secured Party that:</w:t>
      </w:r>
    </w:p>
    <w:p>
      <w:pPr>
        <w:spacing w:after="0" w:line="117" w:lineRule="exact"/>
        <w:rPr>
          <w:sz w:val="20"/>
          <w:szCs w:val="20"/>
          <w:color w:val="auto"/>
        </w:rPr>
      </w:pPr>
    </w:p>
    <w:p>
      <w:pPr>
        <w:ind w:left="240" w:right="380" w:firstLine="225"/>
        <w:spacing w:after="0" w:line="308" w:lineRule="auto"/>
        <w:rPr>
          <w:sz w:val="20"/>
          <w:szCs w:val="20"/>
          <w:color w:val="auto"/>
        </w:rPr>
      </w:pPr>
      <w:r>
        <w:rPr>
          <w:rFonts w:ascii="Arial" w:cs="Arial" w:eastAsia="Arial" w:hAnsi="Arial"/>
          <w:sz w:val="17"/>
          <w:szCs w:val="17"/>
          <w:color w:val="auto"/>
        </w:rPr>
        <w:t>18(a) The Pledgor is duly organized, validly existing, and in good standing under the laws of the jurisdiction of its organization and has the power, authority, and the legal right to own and operate its properties and to conduct the business in which it is currently engaged.</w:t>
      </w:r>
    </w:p>
    <w:p>
      <w:pPr>
        <w:spacing w:after="0" w:line="38" w:lineRule="exact"/>
        <w:rPr>
          <w:sz w:val="20"/>
          <w:szCs w:val="20"/>
          <w:color w:val="auto"/>
        </w:rPr>
      </w:pPr>
    </w:p>
    <w:p>
      <w:pPr>
        <w:ind w:left="240" w:firstLine="225"/>
        <w:spacing w:after="0" w:line="277" w:lineRule="auto"/>
        <w:rPr>
          <w:sz w:val="20"/>
          <w:szCs w:val="20"/>
          <w:color w:val="auto"/>
        </w:rPr>
      </w:pPr>
      <w:r>
        <w:rPr>
          <w:rFonts w:ascii="Arial" w:cs="Arial" w:eastAsia="Arial" w:hAnsi="Arial"/>
          <w:sz w:val="18"/>
          <w:szCs w:val="18"/>
          <w:color w:val="auto"/>
        </w:rPr>
        <w:t>18(b) The Pledgor has the power, authority, and legal right to execute and deliver, and to perform its obligations under, this Agreement and has taken all necessary corporate action to authorize such execution, delivery, and performance.</w:t>
      </w:r>
    </w:p>
    <w:p>
      <w:pPr>
        <w:spacing w:after="0" w:line="62" w:lineRule="exact"/>
        <w:rPr>
          <w:sz w:val="20"/>
          <w:szCs w:val="20"/>
          <w:color w:val="auto"/>
        </w:rPr>
      </w:pPr>
    </w:p>
    <w:p>
      <w:pPr>
        <w:ind w:left="240" w:right="40" w:firstLine="225"/>
        <w:spacing w:after="0" w:line="264" w:lineRule="auto"/>
        <w:rPr>
          <w:sz w:val="20"/>
          <w:szCs w:val="20"/>
          <w:color w:val="auto"/>
        </w:rPr>
      </w:pPr>
      <w:r>
        <w:rPr>
          <w:rFonts w:ascii="Arial" w:cs="Arial" w:eastAsia="Arial" w:hAnsi="Arial"/>
          <w:sz w:val="18"/>
          <w:szCs w:val="18"/>
          <w:color w:val="auto"/>
        </w:rPr>
        <w:t>18(c) This Agreement constitutes a legal, valid, and binding obligation of the Pledgor enforceable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73" w:lineRule="exact"/>
        <w:rPr>
          <w:sz w:val="20"/>
          <w:szCs w:val="20"/>
          <w:color w:val="auto"/>
        </w:rPr>
      </w:pPr>
    </w:p>
    <w:p>
      <w:pPr>
        <w:ind w:left="240" w:right="100" w:firstLine="225"/>
        <w:spacing w:after="0" w:line="254" w:lineRule="auto"/>
        <w:rPr>
          <w:sz w:val="20"/>
          <w:szCs w:val="20"/>
          <w:color w:val="auto"/>
        </w:rPr>
      </w:pPr>
      <w:r>
        <w:rPr>
          <w:rFonts w:ascii="Arial" w:cs="Arial" w:eastAsia="Arial" w:hAnsi="Arial"/>
          <w:sz w:val="18"/>
          <w:szCs w:val="18"/>
          <w:color w:val="auto"/>
        </w:rPr>
        <w:t>18(d) The execution, delivery and performance of this Agreement will not (i) violate any provision of any law, statute, rule, or regulation or any order, writ, judgment, injunction, decree, determination, or award of any court, governmental agency, or arbitrator presently in effect having applicability to the Pledgor, (ii) violate or contravene any provision of the organizational documents of the Pledgor, or (iii) result in a breach of or constitute a default under any indenture, loan, or other agreement, lease, or instrument to which the Pledgor is a party or by which it or any of its properties may be bound or result in the creation of any Lien thereunder. The Pledgor is not in default under or in violation of any such law, statute, rule, regulation, order, writ, judgment, injunction, decree, determination, or award or any such indenture, loan, or other agreement, lease, or instrument in any case in which the consequences of such default or violation could have a material adverse effect on the business, operations, properties, assets, or condition (financial or otherwise) of the Pledgor.</w:t>
      </w:r>
    </w:p>
    <w:p>
      <w:pPr>
        <w:spacing w:after="0" w:line="84" w:lineRule="exact"/>
        <w:rPr>
          <w:sz w:val="20"/>
          <w:szCs w:val="20"/>
          <w:color w:val="auto"/>
        </w:rPr>
      </w:pPr>
    </w:p>
    <w:p>
      <w:pPr>
        <w:ind w:left="240" w:right="60" w:firstLine="225"/>
        <w:spacing w:after="0" w:line="259" w:lineRule="auto"/>
        <w:rPr>
          <w:sz w:val="20"/>
          <w:szCs w:val="20"/>
          <w:color w:val="auto"/>
        </w:rPr>
      </w:pPr>
      <w:r>
        <w:rPr>
          <w:rFonts w:ascii="Arial" w:cs="Arial" w:eastAsia="Arial" w:hAnsi="Arial"/>
          <w:sz w:val="18"/>
          <w:szCs w:val="18"/>
          <w:color w:val="auto"/>
        </w:rPr>
        <w:t>18(e) Except for any filings, recordings, and registrations to perfect the Security Interest, no order, consent, approval, license, authorization, or validation of, filing, recording, or registration with, or exemption by any governmental or public body or authority is required on the part of the Pledgor to authorize, or is required in connection with the execution, delivery, and performance of, or the legality, validity, binding effect, or enforceability of, this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5" w:name="page166"/>
    <w:bookmarkEnd w:id="165"/>
    <w:p>
      <w:pPr>
        <w:ind w:left="240" w:right="40" w:firstLine="225"/>
        <w:spacing w:after="0" w:line="259" w:lineRule="auto"/>
        <w:rPr>
          <w:sz w:val="20"/>
          <w:szCs w:val="20"/>
          <w:color w:val="auto"/>
        </w:rPr>
      </w:pPr>
      <w:r>
        <w:rPr>
          <w:rFonts w:ascii="Arial" w:cs="Arial" w:eastAsia="Arial" w:hAnsi="Arial"/>
          <w:sz w:val="18"/>
          <w:szCs w:val="18"/>
          <w:color w:val="auto"/>
        </w:rPr>
        <w:t>18(f) There are no actions, suits, or proceedings pending or, to the knowledge of the Pledgor, threatened against or affecting the Pledgor or any of its properties before any court or arbitrator or any governmental department, board, agency, or other instrumentality that, if determined adversely to the Pledgor, would have a material adverse effect on the business, operations, property, or condition (financial or otherwise) of the Pledgor or on the ability of the Pledgor to perform its obligations hereunder.</w:t>
      </w:r>
    </w:p>
    <w:p>
      <w:pPr>
        <w:spacing w:after="0" w:line="79"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Pledgor Acknowledgments</w:t>
      </w:r>
      <w:r>
        <w:rPr>
          <w:rFonts w:ascii="Arial" w:cs="Arial" w:eastAsia="Arial" w:hAnsi="Arial"/>
          <w:sz w:val="18"/>
          <w:szCs w:val="18"/>
          <w:color w:val="auto"/>
        </w:rPr>
        <w:t>. The Pledgor hereby acknowledges that (a) it has been advised by counsel in the negotiation, execution and delivery of this Agreement, (b) the Secured Party has no fiduciary relationship to the Pledgor, the relationship being solely that of debtor and creditor, and (c) no joint venture exists between the Pledgor and the Secured Party.</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Continuing Security Interest; Assignments under Credit Agreement</w:t>
      </w:r>
      <w:r>
        <w:rPr>
          <w:rFonts w:ascii="Arial" w:cs="Arial" w:eastAsia="Arial" w:hAnsi="Arial"/>
          <w:sz w:val="18"/>
          <w:szCs w:val="18"/>
          <w:color w:val="auto"/>
        </w:rPr>
        <w:t>. This Agreement shall create a continuing security interest in the Collateral and shall (a) remain in full force and effect until the payment in full of the Obligations and the expiration of the obligation, if any, of the Secured Party to extend credit accommodations to the Borrower, (b) be binding upon the Pledgor and its successors and assigns, and (c) inure, together with the rights and remedies of the Secured Party hereunder, to the benefit of, and be enforceable by, the Secured Party and its successors, transferees, and assigns. Without limiting the generality of the foregoing clause (c), the Secured Party may assign or otherwise transfer all or any portion of its rights and obligations under the Credit Agreement to any other Person to the extent and in the manner provided in the Credit Agreement, and may similarly transfer all or any portion of its rights under this Agreement to such Persons.</w:t>
      </w:r>
    </w:p>
    <w:p>
      <w:pPr>
        <w:spacing w:after="0" w:line="81"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Termination of Security Interest</w:t>
      </w:r>
      <w:r>
        <w:rPr>
          <w:rFonts w:ascii="Arial" w:cs="Arial" w:eastAsia="Arial" w:hAnsi="Arial"/>
          <w:sz w:val="17"/>
          <w:szCs w:val="17"/>
          <w:color w:val="auto"/>
        </w:rPr>
        <w:t>. Upon payment in full of the Obligations and the expiration of any obligation of the Secured Party to extend credit accommodations to the Borrower, the Security Interest shall terminate and all rights to the Collateral shall revert to the Pledgor. Upon any such termination, the Secured Party will return to the Pledgor such of the Collateral as has not been sold or otherwise applied pursuant to the terms hereof and execute and deliver to the Pledgor such documents as the Pledgor reasonably requests to evidence such termination. Any reversion or return of the Collateral upon termination of this Agreement and any instruments of transfer or termination shall be at the expense of the Pledgor and shall be without warranty by, or recourse on, the Secured Party. As used in this Section, “Pledgor” includes any assigns of Pledgor, any Person holding a subordinate security interest in any part of the Collateral, or whoever else may be lawfully entitled to any part of the Collateral.</w:t>
      </w:r>
    </w:p>
    <w:p>
      <w:pPr>
        <w:spacing w:after="0" w:line="66"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Governing Law and Construction</w:t>
      </w:r>
      <w:r>
        <w:rPr>
          <w:rFonts w:ascii="Arial" w:cs="Arial" w:eastAsia="Arial" w:hAnsi="Arial"/>
          <w:sz w:val="18"/>
          <w:szCs w:val="18"/>
          <w:b w:val="1"/>
          <w:bCs w:val="1"/>
          <w:color w:val="auto"/>
        </w:rPr>
        <w:t>. THE VALIDITY, CONSTRUCTION, AND ENFORCEABILITY OF THIS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SHALL BE GOVERNED BY THE LAWS OF THE STATE OF CALIFORNIA; PROVIDED, HOWEVER, THAT NO EFFECT SHALL BE GIVEN TO CONFLICT OF LAWS PRINCIPLES OF THE STATE OF CALIFORNIA, EXCEPT TO THE EXTENT THAT THE VALIDITY OR PERFECTION OF THE SECURITY INTEREST OR REMEDIES HEREUNDER IN RESPECT OF ANY PARTICULAR COLLATERAL ARE MANDATORILY GOVERNED BY THE LAWS OF A JURISDICTION OTHER THAN THE STATE OF CALIFORNIA. </w:t>
      </w:r>
      <w:r>
        <w:rPr>
          <w:rFonts w:ascii="Arial" w:cs="Arial" w:eastAsia="Arial" w:hAnsi="Arial"/>
          <w:sz w:val="18"/>
          <w:szCs w:val="18"/>
          <w:color w:val="auto"/>
        </w:rPr>
        <w:t>Whenever possible, each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and any other statement, instrument, or transaction contemplated hereby or relating hereto shall be interpreted so as to be effective and valid under such applicable law, but if any provision of this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6" w:name="page167"/>
    <w:bookmarkEnd w:id="166"/>
    <w:p>
      <w:pPr>
        <w:spacing w:after="0" w:line="286" w:lineRule="auto"/>
        <w:rPr>
          <w:sz w:val="20"/>
          <w:szCs w:val="20"/>
          <w:color w:val="auto"/>
        </w:rPr>
      </w:pPr>
      <w:r>
        <w:rPr>
          <w:rFonts w:ascii="Arial" w:cs="Arial" w:eastAsia="Arial" w:hAnsi="Arial"/>
          <w:sz w:val="17"/>
          <w:szCs w:val="17"/>
          <w:color w:val="auto"/>
        </w:rPr>
        <w:t>Agreement or any other statement, instrument, or transaction contemplated hereby or relating hereto is held to be prohibited or invalid under such applicable law, such provision shall be ineffective only to the extent of such prohibition or invalidity, without invalidating the remainder of such provision, the remaining provisions of this Agreement or any other statement, instrument, or transaction contemplated hereby or relating hereto.</w:t>
      </w:r>
    </w:p>
    <w:p>
      <w:pPr>
        <w:spacing w:after="0" w:line="5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AT THE OPTION OF THE SECURED PARTY, THIS AGREEMENT MAY BE ENFORCED IN ANY</w:t>
      </w:r>
      <w:r>
        <w:rPr>
          <w:rFonts w:ascii="Arial" w:cs="Arial" w:eastAsia="Arial" w:hAnsi="Arial"/>
          <w:sz w:val="18"/>
          <w:szCs w:val="18"/>
          <w:color w:val="auto"/>
        </w:rPr>
        <w:t xml:space="preserve"> </w:t>
      </w:r>
      <w:r>
        <w:rPr>
          <w:rFonts w:ascii="Arial" w:cs="Arial" w:eastAsia="Arial" w:hAnsi="Arial"/>
          <w:sz w:val="18"/>
          <w:szCs w:val="18"/>
          <w:b w:val="1"/>
          <w:bCs w:val="1"/>
          <w:color w:val="auto"/>
        </w:rPr>
        <w:t>FEDERAL OR STATE COURT SITTING IN ORANGE COUNTY OR LOS ANGELES COUNTY, CALIFORNIA, AND THE PLEDGOR CONSENTS TO THE JURISDICTION AND VENUE OF SUCH COURTS AND WAIVES ANY ARGUMENT THAT VENUE IN SUCH FORUMS IS NOT CONVENIENT. IF THE PLEDGOR COMMENCES ANY ACTION IN ANOTHER JURISDICTION OR VENUE UNDER ANY TORT OR CONTRACT THEORY ARISING DIRECTLY OR INDIRECTLY FROM THE RELATIONSHIP CREATED BY THIS AGREEMENT, THE SECURED PARTY AT ITS OPTION SHALL BE ENTITLED TO HAVE THE CASE TRANSFERRED TO ONE OF THE JURISDICTIONS AND VENUES ABOVE-DESCRIBED, OR IF SUCH TRANSFER CANNOT BE ACCOMPLISHED UNDER APPLICABLE LAW, TO HAVE SUCH CASE DISMISSED WITHOUT PREJUDICE.</w:t>
      </w:r>
    </w:p>
    <w:p>
      <w:pPr>
        <w:spacing w:after="0" w:line="77"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PLEDGOR AND THE SECURED PARTY, BY ITS ACCEPTANCE OF THIS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WAIVES ANY AND ALL RIGHT TO TRIAL BY JURY IN ANY LEGAL PROCEEDING ARISING OUT OF OR RELATING TO THIS AGREEMENT OR THE TRANSACTIONS CONTEMPLATED HEREBY.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Judicial Reference Agreement</w:t>
      </w:r>
      <w:r>
        <w:rPr>
          <w:rFonts w:ascii="Arial" w:cs="Arial" w:eastAsia="Arial" w:hAnsi="Arial"/>
          <w:sz w:val="18"/>
          <w:szCs w:val="18"/>
          <w:color w:val="auto"/>
        </w:rPr>
        <w:t>.</w:t>
      </w:r>
    </w:p>
    <w:p>
      <w:pPr>
        <w:spacing w:after="0" w:line="117" w:lineRule="exact"/>
        <w:rPr>
          <w:sz w:val="20"/>
          <w:szCs w:val="20"/>
          <w:color w:val="auto"/>
        </w:rPr>
      </w:pPr>
    </w:p>
    <w:p>
      <w:pPr>
        <w:ind w:left="240" w:right="40" w:firstLine="225"/>
        <w:spacing w:after="0" w:line="259" w:lineRule="auto"/>
        <w:rPr>
          <w:sz w:val="20"/>
          <w:szCs w:val="20"/>
          <w:color w:val="auto"/>
        </w:rPr>
      </w:pPr>
      <w:r>
        <w:rPr>
          <w:rFonts w:ascii="Arial" w:cs="Arial" w:eastAsia="Arial" w:hAnsi="Arial"/>
          <w:sz w:val="18"/>
          <w:szCs w:val="18"/>
          <w:color w:val="auto"/>
        </w:rPr>
        <w:t>25(a) Any and all disputes, claims, and controversies arising out of this Agreement or the transactions contemplated thereby (including, but not limited to, actions arising in contract or tort and any claims by the Pledgor against the Secured Party related in any way to the Security Interest or the Obligations) (individually, a “</w:t>
      </w:r>
      <w:r>
        <w:rPr>
          <w:rFonts w:ascii="Arial" w:cs="Arial" w:eastAsia="Arial" w:hAnsi="Arial"/>
          <w:sz w:val="18"/>
          <w:szCs w:val="18"/>
          <w:u w:val="single" w:color="auto"/>
          <w:color w:val="auto"/>
        </w:rPr>
        <w:t>Dispute</w:t>
      </w:r>
      <w:r>
        <w:rPr>
          <w:rFonts w:ascii="Arial" w:cs="Arial" w:eastAsia="Arial" w:hAnsi="Arial"/>
          <w:sz w:val="18"/>
          <w:szCs w:val="18"/>
          <w:color w:val="auto"/>
        </w:rPr>
        <w:t>”) that are brought before a forum in which pre-dispute waivers of the right to trial by jury are invalid under applicable law shall be subject to the terms of this Section 25.</w:t>
      </w:r>
    </w:p>
    <w:p>
      <w:pPr>
        <w:spacing w:after="0" w:line="79" w:lineRule="exact"/>
        <w:rPr>
          <w:sz w:val="20"/>
          <w:szCs w:val="20"/>
          <w:color w:val="auto"/>
        </w:rPr>
      </w:pPr>
    </w:p>
    <w:p>
      <w:pPr>
        <w:ind w:left="240" w:firstLine="225"/>
        <w:spacing w:after="0" w:line="273" w:lineRule="auto"/>
        <w:rPr>
          <w:sz w:val="20"/>
          <w:szCs w:val="20"/>
          <w:color w:val="auto"/>
        </w:rPr>
      </w:pPr>
      <w:r>
        <w:rPr>
          <w:rFonts w:ascii="Arial" w:cs="Arial" w:eastAsia="Arial" w:hAnsi="Arial"/>
          <w:sz w:val="17"/>
          <w:szCs w:val="17"/>
          <w:color w:val="auto"/>
        </w:rPr>
        <w:t>25(b) Any and all Disputes shall be heard by a referee and resolved by judicial reference pursuant to California Code of Civil Procedure Sections 638 et seq. The referee shall be a retired California state court judge or an attorney licensed to practice law in the State of California with at least 10 years’ experience practicing commercial law. Neither the Pledgor nor the Secured Party shall seek to appoint a referee that may be disqualified pursuant to California Code of Civil Procedure Section 641 or 641.2 without the prior written consent of the other party. If the Secured Party and the Pledgor are unable to agree upon a referee within 10 calendar days after one party serves a written notice of intent for judicial reference upon the other party, then the referee will be selected by the court in accordance with California Code of Civil Procedure Section 640(b).</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7" w:name="page168"/>
    <w:bookmarkEnd w:id="167"/>
    <w:p>
      <w:pPr>
        <w:ind w:firstLine="225"/>
        <w:spacing w:after="0" w:line="276" w:lineRule="auto"/>
        <w:rPr>
          <w:sz w:val="20"/>
          <w:szCs w:val="20"/>
          <w:color w:val="auto"/>
        </w:rPr>
      </w:pPr>
      <w:r>
        <w:rPr>
          <w:rFonts w:ascii="Arial" w:cs="Arial" w:eastAsia="Arial" w:hAnsi="Arial"/>
          <w:sz w:val="17"/>
          <w:szCs w:val="17"/>
          <w:color w:val="auto"/>
        </w:rPr>
        <w:t>25(c) The referee shall render a written statement of decision and shall conduct the proceedings in accordance with the California Code of Civil Procedure, the Rules of Court, and California Evidence Code, except as otherwise specifically agreed by the parties and approved by the referee. The referee’s statement of decision shall set forth findings of fact and conclusions of law. The decision of the referee shall be entered as a judgment in the court in accordance with the provisions of California Code of Civil Procedure Sections 644 and 645. The decision of the referee shall be appealable to the same extent and in the same manner that such decision would be appealable if rendered by a judge of the superior court.</w:t>
      </w:r>
    </w:p>
    <w:p>
      <w:pPr>
        <w:spacing w:after="0" w:line="64"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25(d) Nothing in this Section 25 shall be deemed to apply to or limit the right of the Secured Party (i) to exercise self-help remedies such as (but not limited to) setoff, (ii) to foreclose judicially or nonjudicially against any real or personal property collateral, or to exercise judicial or nonjudicial power of sale rights, (iii) to obtain from a court provisional or ancillary remedies (including, but not limited to, injunctive relief, a writ of possession, prejudgment attachment, a protective order, or the appointment of a receiver), or (iv) to pursue rights against any party in a third-party proceeding in any action brought against the Secured Party (including actions in bankruptcy court). The Secured Party may exercise the rights set forth in the foregoing clauses (i) through (iv), inclusive, before, during, or after the pendency of any judicial reference proceeding. Neither the exercise of self-help remedies nor the institution or maintenance of an action for foreclosure or provisional or ancillary remedies or the opposition to any such provisional remedies shall constitute a waiver of the right of any party, including, but not limited to, the claimant in any such action, to require submission to judicial reference of the merits of the Dispute occasioning resort to such remedies. No provision in the Loan Documents regarding submission to jurisdiction and/or venue in any court is intended or shall be construed to be in derogation of the provisions in any Loan Document for judicial reference of any of Dispute.</w:t>
      </w:r>
    </w:p>
    <w:p>
      <w:pPr>
        <w:spacing w:after="0" w:line="61"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25(e) If a Dispute includes multiple claims, some of which are found not subject to this Section 25, the Parties shall stay the proceedings of such Dispute or the part or parts thereof not subject to this Section 25 until all other Disputes or parts thereof are resolved in accordance with this Section 25. If there are Disputes by or against multiple parties, some of which are not subject to this Section 25, the Pledgor and the Secured Party shall sever the Disputes subject to this Section 25 and resolve them in accordance with this Section 25. During the pendency of any Dispute that is submitted to judicial reference in accordance with this Agreement, each of the parties to such Dispute shall bear equal shares of the fees charged and costs incurred by the referee in performing the services described in this Section 25. The compensation of the referee shall not exceed the prevailing rate for like services. The prevailing party shall be entitled to reasonable court costs and legal fees, including customary attorney fees, expert witness fees, paralegal fees, the fees of the referee, a reimbursement of fees and costs paid during the pendency of a dispute in accordance with this Section 25(d), and other reasonable costs and disbursements charged to the party by its counsel, in such amount as the Referee determines.</w:t>
      </w:r>
    </w:p>
    <w:p>
      <w:pPr>
        <w:spacing w:after="0" w:line="14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168" w:name="page169"/>
    <w:bookmarkEnd w:id="168"/>
    <w:p>
      <w:pPr>
        <w:ind w:left="240" w:right="420" w:firstLine="225"/>
        <w:spacing w:after="0" w:line="308" w:lineRule="auto"/>
        <w:rPr>
          <w:sz w:val="20"/>
          <w:szCs w:val="20"/>
          <w:color w:val="auto"/>
        </w:rPr>
      </w:pPr>
      <w:r>
        <w:rPr>
          <w:rFonts w:ascii="Arial" w:cs="Arial" w:eastAsia="Arial" w:hAnsi="Arial"/>
          <w:sz w:val="17"/>
          <w:szCs w:val="17"/>
          <w:color w:val="auto"/>
        </w:rPr>
        <w:t>25(f) In the event of any challenge to the legality or enforceability of this Section 25, the prevailing party shall be entitled to recover the costs and expenses from the non-prevailing party, including reasonable attorneys’ fees, incurred by it in connection with such challenge.</w:t>
      </w:r>
    </w:p>
    <w:p>
      <w:pPr>
        <w:spacing w:after="0" w:line="38" w:lineRule="exact"/>
        <w:rPr>
          <w:sz w:val="20"/>
          <w:szCs w:val="20"/>
          <w:color w:val="auto"/>
        </w:rPr>
      </w:pPr>
    </w:p>
    <w:p>
      <w:pPr>
        <w:ind w:left="240" w:right="380" w:firstLine="225"/>
        <w:spacing w:after="0" w:line="277" w:lineRule="auto"/>
        <w:rPr>
          <w:sz w:val="20"/>
          <w:szCs w:val="20"/>
          <w:color w:val="auto"/>
        </w:rPr>
      </w:pPr>
      <w:r>
        <w:rPr>
          <w:rFonts w:ascii="Arial" w:cs="Arial" w:eastAsia="Arial" w:hAnsi="Arial"/>
          <w:sz w:val="18"/>
          <w:szCs w:val="18"/>
          <w:color w:val="auto"/>
        </w:rPr>
        <w:t>25(g) THIS SECTION 25 CONSTITUTES A “REFERENCE AGREEMENT” BETWEEN THE BORROWER AND THE BANK WITHIN THE MEANING OF AND FOR PURPOSES OF CALIFORNIA CODE OF CIVIL PROCEDURE SECTION 638.</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deemed an original, but all such counterparts together shall constitute but one and the same instrument.</w:t>
      </w:r>
    </w:p>
    <w:p>
      <w:pPr>
        <w:spacing w:after="0" w:line="6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General</w:t>
      </w:r>
      <w:r>
        <w:rPr>
          <w:rFonts w:ascii="Arial" w:cs="Arial" w:eastAsia="Arial" w:hAnsi="Arial"/>
          <w:sz w:val="18"/>
          <w:szCs w:val="18"/>
          <w:color w:val="auto"/>
        </w:rPr>
        <w:t>. All representations and warranties in this Agreement or in any other agreement between the Pledgor and the Secured Party shall survive the execution, delivery, and performance of this Agreement and the creation and payment of the Obligations. The Pledgor waives notice of the acceptance of this Agreement by the Secured Party. Captions in this Agreement are for reference and convenience only and shall not affect the interpretation or meaning of any provision of this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9" w:name="page170"/>
    <w:bookmarkEnd w:id="169"/>
    <w:p>
      <w:pPr>
        <w:ind w:firstLine="225"/>
        <w:spacing w:after="0" w:line="277" w:lineRule="auto"/>
        <w:rPr>
          <w:sz w:val="20"/>
          <w:szCs w:val="20"/>
          <w:color w:val="auto"/>
        </w:rPr>
      </w:pPr>
      <w:r>
        <w:rPr>
          <w:rFonts w:ascii="Arial" w:cs="Arial" w:eastAsia="Arial" w:hAnsi="Arial"/>
          <w:sz w:val="18"/>
          <w:szCs w:val="18"/>
          <w:color w:val="auto"/>
        </w:rPr>
        <w:t>IN WITNESS WHEREOF, the Pledgor has caused this Agreement to be duly executed and delivered by its officer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PLEDGOR:</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UEI HONG KONG PRIVATE LIMITED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-130810</wp:posOffset>
            </wp:positionV>
            <wp:extent cx="27012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012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14605</wp:posOffset>
            </wp:positionV>
            <wp:extent cx="24523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ENSON ASSETS LIMITED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-130810</wp:posOffset>
            </wp:positionV>
            <wp:extent cx="27012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012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14605</wp:posOffset>
            </wp:positionV>
            <wp:extent cx="24523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Address for Pledgor: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4003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24003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24003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24003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-10160</wp:posOffset>
            </wp:positionV>
            <wp:extent cx="18002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 for Secured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4100 Newport Place,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Fax Number : (949) 863-2335</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Stock Issuer: Enson Assets Limited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Percentage Ownership: 65%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Class of Stock: [common]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Certificate No(s).: [___]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[___]</w:t>
      </w:r>
    </w:p>
    <w:p>
      <w:pPr>
        <w:sectPr>
          <w:pgSz w:w="11900" w:h="16838" w:orient="portrait"/>
          <w:cols w:equalWidth="0" w:num="1">
            <w:col w:w="10219"/>
          </w:cols>
          <w:pgMar w:left="240" w:top="936"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12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THIS SECURITY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 2010, and effective as of the Effective Date (defined below), is made and given by UNIVERSAL ELECTRONICS INC., a corporation organized under the laws of the State of Delaware (the “</w:t>
      </w:r>
      <w:r>
        <w:rPr>
          <w:rFonts w:ascii="Arial" w:cs="Arial" w:eastAsia="Arial" w:hAnsi="Arial"/>
          <w:sz w:val="18"/>
          <w:szCs w:val="18"/>
          <w:u w:val="single" w:color="auto"/>
          <w:color w:val="auto"/>
        </w:rPr>
        <w:t>Grantor</w:t>
      </w:r>
      <w:r>
        <w:rPr>
          <w:rFonts w:ascii="Arial" w:cs="Arial" w:eastAsia="Arial" w:hAnsi="Arial"/>
          <w:sz w:val="18"/>
          <w:szCs w:val="18"/>
          <w:color w:val="auto"/>
        </w:rPr>
        <w:t>”), to U.S. BANK NATIONAL ASSOCIATION, a national banking association (the “</w:t>
      </w:r>
      <w:r>
        <w:rPr>
          <w:rFonts w:ascii="Arial" w:cs="Arial" w:eastAsia="Arial" w:hAnsi="Arial"/>
          <w:sz w:val="18"/>
          <w:szCs w:val="18"/>
          <w:u w:val="single" w:color="auto"/>
          <w:color w:val="auto"/>
        </w:rPr>
        <w:t>Secured Party</w:t>
      </w:r>
      <w:r>
        <w:rPr>
          <w:rFonts w:ascii="Arial" w:cs="Arial" w:eastAsia="Arial" w:hAnsi="Arial"/>
          <w:sz w:val="18"/>
          <w:szCs w:val="18"/>
          <w:color w:val="auto"/>
        </w:rPr>
        <w: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ind w:right="300" w:firstLine="215"/>
        <w:spacing w:after="0" w:line="259" w:lineRule="auto"/>
        <w:rPr>
          <w:sz w:val="20"/>
          <w:szCs w:val="20"/>
          <w:color w:val="auto"/>
        </w:rPr>
      </w:pPr>
      <w:r>
        <w:rPr>
          <w:rFonts w:ascii="Arial" w:cs="Arial" w:eastAsia="Arial" w:hAnsi="Arial"/>
          <w:sz w:val="18"/>
          <w:szCs w:val="18"/>
          <w:color w:val="auto"/>
        </w:rPr>
        <w:t>A. The Grantor and the Secured Party have entered into a Amended and Restated Credit Agreement dated as of November 1, 2010 (as the same may hereafter be amended, supplemented, extended, restated,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the Secured Party has agreed to extend to the Grantor certain credit accommodations consisting of a revolving credit and a term loan to finance in part the Acquisition (Enson) (as defined in the Credit Agreement).</w:t>
      </w:r>
    </w:p>
    <w:p>
      <w:pPr>
        <w:spacing w:after="0" w:line="7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B. It is a condition precedent to the obligation of the Secured Party to extend credit accommodations pursuant to the terms of the Credit Agreement that this Agreement be executed and delivered by the Grantor.</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C. The Grantor finds it advantageous, desirable and in its best interests to comply with the requirement that it execute and deliver this Security Agreement to the Secured Party.</w:t>
      </w:r>
    </w:p>
    <w:p>
      <w:pPr>
        <w:spacing w:after="0" w:line="62" w:lineRule="exact"/>
        <w:rPr>
          <w:sz w:val="20"/>
          <w:szCs w:val="20"/>
          <w:color w:val="auto"/>
        </w:rPr>
      </w:pPr>
    </w:p>
    <w:p>
      <w:pPr>
        <w:ind w:right="940" w:firstLine="225"/>
        <w:spacing w:after="0" w:line="342" w:lineRule="auto"/>
        <w:rPr>
          <w:sz w:val="20"/>
          <w:szCs w:val="20"/>
          <w:color w:val="auto"/>
        </w:rPr>
      </w:pPr>
      <w:r>
        <w:rPr>
          <w:rFonts w:ascii="Arial" w:cs="Arial" w:eastAsia="Arial" w:hAnsi="Arial"/>
          <w:sz w:val="16"/>
          <w:szCs w:val="16"/>
          <w:color w:val="auto"/>
        </w:rPr>
        <w:t>NOW, THEREFORE, in consideration of the premises and to induce the Secured Party to enter into the Credit Agreement and to extend credit accommodations to the Grantor thereunder, the Grantor hereby agrees with the Secured Party for the Secured Party’s benefit as follows: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1(a) As used in this Agreement, the following terms shall have the meanings indicated:</w:t>
      </w:r>
    </w:p>
    <w:p>
      <w:pPr>
        <w:spacing w:after="0" w:line="117" w:lineRule="exact"/>
        <w:rPr>
          <w:sz w:val="20"/>
          <w:szCs w:val="20"/>
          <w:color w:val="auto"/>
        </w:rPr>
      </w:pPr>
    </w:p>
    <w:p>
      <w:pPr>
        <w:ind w:left="460" w:right="12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 right to payment of a monetary obligation, whether or not earned by performance, (i) for property that has been or is to be sold, leased, licensed, assigned, or otherwise disposed of, (ii) for services rendered or to be rendered, (iii) for a policy of insurance issued or to be issued,</w:t>
      </w:r>
    </w:p>
    <w:p>
      <w:pPr>
        <w:jc w:val="both"/>
        <w:ind w:left="460" w:right="20" w:firstLine="4"/>
        <w:spacing w:after="0" w:line="273" w:lineRule="auto"/>
        <w:tabs>
          <w:tab w:leader="none" w:pos="76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for a secondary obligation incurred or to be incurred, (v) for energy provided or to be provided, (vi) for the use or hire of a vessel under a charter or other contract, (vii) arising out of the use of a credit or charge card or information contained on or for use with the card, or (viii) as winnings in a lottery or other game of chance operated, sponsored, licensed or authorized by a State or governmental unit of a State, or person licensed or authorized to operate the game by a State or governmental unit of a State. The term includes health-care insurance receivables.</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 Person who is obligated on or under any Account, Chattel Paper, Instrument or General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2" w:name="page173"/>
    <w:bookmarkEnd w:id="172"/>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means a record or records that evidence both a monetary obligation and a security interest in specific goods, a security interest in specific goods and software used in the goods, a security interest in specific goods and license of software used in the goods, a lease of specific goods, or a lease of specific goods and license of software used in the goods.</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property and rights in property now owned or hereafter at any time acquired by the Grantor in or upon which a Security Interest is granted to the Secured Party by the Grantor under this Agreement.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any demand, time, savings, passbook or similar account maintained with a bank.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w:t>
      </w:r>
      <w:r>
        <w:rPr>
          <w:rFonts w:ascii="Arial" w:cs="Arial" w:eastAsia="Arial" w:hAnsi="Arial"/>
          <w:sz w:val="18"/>
          <w:szCs w:val="18"/>
          <w:color w:val="auto"/>
        </w:rPr>
        <w:t>” means a document of title or a warehouse receipt.</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November 8, 2010, unless the Grantor satisfies all of the conditions set forth in Article III of the Credit Agreement on or before November 8, 2010, in which case this Agreement shall never take effect and shall be null and void.</w:t>
      </w:r>
    </w:p>
    <w:p>
      <w:pPr>
        <w:spacing w:after="0" w:line="62"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w:t>
      </w:r>
      <w:r>
        <w:rPr>
          <w:rFonts w:ascii="Arial" w:cs="Arial" w:eastAsia="Arial" w:hAnsi="Arial"/>
          <w:sz w:val="16"/>
          <w:szCs w:val="16"/>
          <w:color w:val="auto"/>
        </w:rPr>
        <w:t>” means all machinery, equipment, motor vehicles, furniture, furnishings and fixtures, including all accessions, accessories and attachments thereto, and any guaranties, warranties, indemnities and other agreements of manufacturers, vendors and others with respect to such Equipment.</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given to such term in Section 18.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Statement</w:t>
      </w:r>
      <w:r>
        <w:rPr>
          <w:rFonts w:ascii="Arial" w:cs="Arial" w:eastAsia="Arial" w:hAnsi="Arial"/>
          <w:sz w:val="18"/>
          <w:szCs w:val="18"/>
          <w:color w:val="auto"/>
        </w:rPr>
        <w:t>” has the meaning given to such term in Section 4.</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means goods that have become so related to particular real property that an interest in them arises under real property law.</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Intangibles</w:t>
      </w:r>
      <w:r>
        <w:rPr>
          <w:rFonts w:ascii="Arial" w:cs="Arial" w:eastAsia="Arial" w:hAnsi="Arial"/>
          <w:sz w:val="16"/>
          <w:szCs w:val="16"/>
          <w:color w:val="auto"/>
        </w:rPr>
        <w:t>” means any personal property (other than goods, Accounts, Chattel Paper, Deposit Accounts, Documents, Instruments, Investment Property, Letter of Credit Rights, and money) including things in action, contract rights, payment intangibles, software, corporate and other business records, inventions, designs, patents, patent applications, service marks, trademarks, tradenames, trade secrets, internet domain names, engineering drawings, good will, registrations, copyrights, licenses, franchises, customer lists, tax refund claims, royalties, licensing and product rights, rights to the retrieval from third parties of electronically processed and recorded data and all rights to payment resulting from an order of any court.</w:t>
      </w:r>
    </w:p>
    <w:p>
      <w:pPr>
        <w:spacing w:after="0" w:line="50"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w:t>
      </w:r>
      <w:r>
        <w:rPr>
          <w:rFonts w:ascii="Arial" w:cs="Arial" w:eastAsia="Arial" w:hAnsi="Arial"/>
          <w:sz w:val="18"/>
          <w:szCs w:val="18"/>
          <w:color w:val="auto"/>
        </w:rPr>
        <w:t>” means a negotiable instrument or any other writing that evidences a right to the payment of a monetary obligation and is not itself a security agreement or lease and is of a type that is transferred in the ordinary course of business by delivery with any necessary endorsement or assignment.</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173" w:name="page174"/>
    <w:bookmarkEnd w:id="173"/>
    <w:p>
      <w:pPr>
        <w:ind w:left="240" w:right="2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w:t>
      </w:r>
      <w:r>
        <w:rPr>
          <w:rFonts w:ascii="Arial" w:cs="Arial" w:eastAsia="Arial" w:hAnsi="Arial"/>
          <w:sz w:val="16"/>
          <w:szCs w:val="16"/>
          <w:color w:val="auto"/>
        </w:rPr>
        <w:t>” means goods, other than farm products, that are leased by a person as lessor, are held by a person for sale or lease or to be furnished under a contract of service, are furnished by a person under a contract of service, or consist of raw materials, work in process, or materials used or consumed in a business or incorporated or consumed in the production of any of the foregoing and supplies, in each case wherever the same is located, whether in transit, on consignment, in retail outlets, warehouses, terminals or otherwise, and all property the sale, lease or other disposition of which has given rise to an Account and that has been returned to the Grantor or repossessed by the Grantor or stopped in transit.</w:t>
      </w:r>
    </w:p>
    <w:p>
      <w:pPr>
        <w:spacing w:after="0" w:line="50" w:lineRule="exact"/>
        <w:rPr>
          <w:sz w:val="20"/>
          <w:szCs w:val="20"/>
          <w:color w:val="auto"/>
        </w:rPr>
      </w:pPr>
    </w:p>
    <w:p>
      <w:pPr>
        <w:ind w:left="240"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means a security, whether certificated or uncertificated, a security entitlement, a securities account and all financial assets therein, a commodity contract or a commodity account.</w:t>
      </w:r>
    </w:p>
    <w:p>
      <w:pPr>
        <w:spacing w:after="0" w:line="62"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Right</w:t>
      </w:r>
      <w:r>
        <w:rPr>
          <w:rFonts w:ascii="Arial" w:cs="Arial" w:eastAsia="Arial" w:hAnsi="Arial"/>
          <w:sz w:val="18"/>
          <w:szCs w:val="18"/>
          <w:color w:val="auto"/>
        </w:rPr>
        <w:t>” means a right to payment or performance under a letter of credit, whether or not the beneficiary has demanded or is at the time entitled to demand payment or performance.</w:t>
      </w:r>
    </w:p>
    <w:p>
      <w:pPr>
        <w:spacing w:after="0" w:line="62" w:lineRule="exact"/>
        <w:rPr>
          <w:sz w:val="20"/>
          <w:szCs w:val="20"/>
          <w:color w:val="auto"/>
        </w:rPr>
      </w:pPr>
    </w:p>
    <w:p>
      <w:pPr>
        <w:ind w:lef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security interest, mortgage, pledge, lien, charge, encumbrance, title retention agreement or analogous instrument or device (including the interest of the lessors under capitalized leases), in, of or on any assets or properties of the Person referred to.</w:t>
      </w:r>
    </w:p>
    <w:p>
      <w:pPr>
        <w:spacing w:after="0" w:line="62" w:lineRule="exact"/>
        <w:rPr>
          <w:sz w:val="20"/>
          <w:szCs w:val="20"/>
          <w:color w:val="auto"/>
        </w:rPr>
      </w:pPr>
    </w:p>
    <w:p>
      <w:pPr>
        <w:ind w:left="240" w:right="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 all indebtedness, liabilities and obligations of the Grantor to the Secured Party of every kind, nature or description under the Credit Agreement, including the Grantor’s obligation on any promissory note or notes under the Credit Agreement and any note or notes hereafter issued in substitution or replacement thereof, (b) all liabilities of the Grantor under this Agreement, and (c) any and all other liabilities and obligations of the Grantor to the Secured Party of every kind, nature and description, whether direct or indirect or hereafter acquired by the Secured Party from any Person, absolute or contingent, regardless of how such liabilities arise or by what agreement or instrument they may be evidenced, and in all of the foregoing cases whether due or to become due, and whether now existing or hereafter arising or incurred.</w:t>
      </w:r>
    </w:p>
    <w:p>
      <w:pPr>
        <w:spacing w:after="0" w:line="70" w:lineRule="exact"/>
        <w:rPr>
          <w:sz w:val="20"/>
          <w:szCs w:val="20"/>
          <w:color w:val="auto"/>
        </w:rPr>
      </w:pPr>
    </w:p>
    <w:p>
      <w:pPr>
        <w:ind w:left="240"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partnership, limited liability company, joint venture, firm, association, trust, unincorporated organization, government or governmental agency or political subdivision or any other entity, whether acting in an individual, fiduciary or other capacity.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has the meaning given such term in Section 2.</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1(b) All other terms used in this Agreement that are not specifically defined herein shall have the meaning assigned to such terms in Article 9 of the Uniform Commercial Code as in effect in the State of California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4" w:name="page175"/>
    <w:bookmarkEnd w:id="174"/>
    <w:p>
      <w:pPr>
        <w:ind w:left="240" w:firstLine="225"/>
        <w:spacing w:after="0" w:line="302" w:lineRule="auto"/>
        <w:rPr>
          <w:sz w:val="20"/>
          <w:szCs w:val="20"/>
          <w:color w:val="auto"/>
        </w:rPr>
      </w:pPr>
      <w:r>
        <w:rPr>
          <w:rFonts w:ascii="Arial" w:cs="Arial" w:eastAsia="Arial" w:hAnsi="Arial"/>
          <w:sz w:val="16"/>
          <w:szCs w:val="16"/>
          <w:color w:val="auto"/>
        </w:rPr>
        <w:t>1(c) Unless the context of this Agreement otherwise clearly requires, references to the plural include the singular, references to the singular include the plural, and “or” has the inclusive meaning represented by the phrase “and/or.” The words “include,” “includes” and “including” shall be deemed to be followed by the phrase “without limitation.” The words “hereof,” “herein,” and “hereunder” and similar terms in this Agreement refer to this Agreement as a whole and not to any particular provision. References to Sections are references to Sections in this Agreement unless otherwise provided.</w:t>
      </w:r>
    </w:p>
    <w:p>
      <w:pPr>
        <w:spacing w:after="0" w:line="46"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Grant of Security Interes</w:t>
      </w:r>
      <w:r>
        <w:rPr>
          <w:rFonts w:ascii="Arial" w:cs="Arial" w:eastAsia="Arial" w:hAnsi="Arial"/>
          <w:sz w:val="18"/>
          <w:szCs w:val="18"/>
          <w:color w:val="auto"/>
        </w:rPr>
        <w:t>t. As security for the payment and performance of all of the Obligations, the Grantor hereby grants to the Secured Party a security interest (the “</w:t>
      </w:r>
      <w:r>
        <w:rPr>
          <w:rFonts w:ascii="Arial" w:cs="Arial" w:eastAsia="Arial" w:hAnsi="Arial"/>
          <w:sz w:val="18"/>
          <w:szCs w:val="18"/>
          <w:u w:val="single" w:color="auto"/>
          <w:color w:val="auto"/>
        </w:rPr>
        <w:t>Security Interest</w:t>
      </w:r>
      <w:r>
        <w:rPr>
          <w:rFonts w:ascii="Arial" w:cs="Arial" w:eastAsia="Arial" w:hAnsi="Arial"/>
          <w:sz w:val="18"/>
          <w:szCs w:val="18"/>
          <w:color w:val="auto"/>
        </w:rPr>
        <w:t>”) in all of the Grantor’s right, title, and interest in and to the following, whether now or hereafter owned, existing, arising or acquired and wherever located: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2(a) All Accounts.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2(b) All Chattel Paper.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2(c) All Deposit Accounts.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2(d) All Documents.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2(e) All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2(f) All Fixtures.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2(g) All General Intangibles.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2(h) All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2(i) All Inventory.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2(j) All Investment Property.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2(k) All Letter of Credit Rights.</w:t>
      </w:r>
    </w:p>
    <w:p>
      <w:pPr>
        <w:spacing w:after="0" w:line="117" w:lineRule="exact"/>
        <w:rPr>
          <w:sz w:val="20"/>
          <w:szCs w:val="20"/>
          <w:color w:val="auto"/>
        </w:rPr>
      </w:pPr>
    </w:p>
    <w:p>
      <w:pPr>
        <w:ind w:left="240" w:right="160" w:firstLine="225"/>
        <w:spacing w:after="0" w:line="255" w:lineRule="auto"/>
        <w:rPr>
          <w:sz w:val="20"/>
          <w:szCs w:val="20"/>
          <w:color w:val="auto"/>
        </w:rPr>
      </w:pPr>
      <w:r>
        <w:rPr>
          <w:rFonts w:ascii="Arial" w:cs="Arial" w:eastAsia="Arial" w:hAnsi="Arial"/>
          <w:sz w:val="18"/>
          <w:szCs w:val="18"/>
          <w:color w:val="auto"/>
        </w:rPr>
        <w:t>2(l) To the extent not otherwise included in the foregoing, all other rights to the payment of money, including rents and other sums payable to the Grantor under leases, rental agreements and other Chattel Paper; all books, correspondence, credit files, records, invoices, bills of lading, and other documents relating to any of the foregoing, including, without limitation, all tapes, cards, disks, computer software, computer runs, and other papers and documents in the possession or control of the Grantor or any computer bureau from time to time acting for the Grantor; all rights in, to and under all policies insuring the life of any officer, director, stockholder or employee of the Grantor, the proceeds of which are payable to the Grantor; all accessions and additions to, parts and appurtenances of, substitutions for and replacements of any of the foregoing; and all proceeds (including insurance proceeds) and products thereof.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5" w:name="page176"/>
    <w:bookmarkEnd w:id="175"/>
    <w:p>
      <w:pPr>
        <w:ind w:right="20" w:firstLine="225"/>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Grantor Remains Liable</w:t>
      </w:r>
      <w:r>
        <w:rPr>
          <w:rFonts w:ascii="Arial" w:cs="Arial" w:eastAsia="Arial" w:hAnsi="Arial"/>
          <w:sz w:val="18"/>
          <w:szCs w:val="18"/>
          <w:color w:val="auto"/>
        </w:rPr>
        <w:t>. Anything herein to the contrary notwithstanding, (a) the Grantor shall remain liable under the Accounts, Chattel Paper, General Intangibles and other items included in the Collateral to the extent set forth therein to perform all of its duties and obligations thereunder to the same extent as if this Agreement had not been executed, (b) the exercise by the Secured Party of any of the rights hereunder shall not release the Grantor from any of its duties or obligations under the Accounts or any other items included in the Collateral, and (c) the Secured Party shall have no obligation or liability under Accounts, Chattel Paper, General Intangibles and other items included in the Collateral by reason of this Agreement, nor shall the Secured Party be obligated to perform any of the obligations or duties of the Grantor thereunder or to take any action to collect or enforce any claim for payment assigned hereunder.</w:t>
      </w:r>
    </w:p>
    <w:p>
      <w:pPr>
        <w:spacing w:after="0" w:line="81"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Title to Collateral</w:t>
      </w:r>
      <w:r>
        <w:rPr>
          <w:rFonts w:ascii="Arial" w:cs="Arial" w:eastAsia="Arial" w:hAnsi="Arial"/>
          <w:sz w:val="16"/>
          <w:szCs w:val="16"/>
          <w:color w:val="auto"/>
        </w:rPr>
        <w:t>. The Grantor has (or will have at the time it acquires rights in Collateral hereafter acquired or arising) and shall maintain so long as the Security Interest may remain outstanding, title to each item of Collateral (including the proceeds and products thereof), free and clear of all Liens except the Security Interest and except Liens permitted by the Credit Agreement. The Grantor shall not license any Collateral. The Grantor shall defend the Collateral against all claims or demands of all Persons (other than the Secured Party) claiming the Collateral or any interest therein. As of the date of execution of this Security Agreement, no effective financing statement or other similar document used to perfect and preserve a security interest under the laws of any jurisdiction (a “</w:t>
      </w:r>
      <w:r>
        <w:rPr>
          <w:rFonts w:ascii="Arial" w:cs="Arial" w:eastAsia="Arial" w:hAnsi="Arial"/>
          <w:sz w:val="16"/>
          <w:szCs w:val="16"/>
          <w:u w:val="single" w:color="auto"/>
          <w:color w:val="auto"/>
        </w:rPr>
        <w:t>Financing Statement</w:t>
      </w:r>
      <w:r>
        <w:rPr>
          <w:rFonts w:ascii="Arial" w:cs="Arial" w:eastAsia="Arial" w:hAnsi="Arial"/>
          <w:sz w:val="16"/>
          <w:szCs w:val="16"/>
          <w:color w:val="auto"/>
        </w:rPr>
        <w:t>”) covering all or any part of the Collateral is on file in any recording office, except such as may have been filed (a) in favor of the Secured Party relating to this Agreement, or (b) to perfect Liens permitted by the Credit Agreement.</w:t>
      </w:r>
    </w:p>
    <w:p>
      <w:pPr>
        <w:spacing w:after="0" w:line="5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Disposition of Collateral</w:t>
      </w:r>
      <w:r>
        <w:rPr>
          <w:rFonts w:ascii="Arial" w:cs="Arial" w:eastAsia="Arial" w:hAnsi="Arial"/>
          <w:sz w:val="18"/>
          <w:szCs w:val="18"/>
          <w:color w:val="auto"/>
        </w:rPr>
        <w:t>. The Grantor shall not sell, lease or otherwise dispose of, or discount or factor with or without recourse, any Collateral, except for sales of items of Inventory in the ordinary course of business and dispositions of Equipment that are immediately replaced with comparable replacement equipment.</w:t>
      </w:r>
    </w:p>
    <w:p>
      <w:pPr>
        <w:spacing w:after="0" w:line="73"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Names, Offices, Locations, Jurisdiction of Organization</w:t>
      </w:r>
      <w:r>
        <w:rPr>
          <w:rFonts w:ascii="Arial" w:cs="Arial" w:eastAsia="Arial" w:hAnsi="Arial"/>
          <w:sz w:val="17"/>
          <w:szCs w:val="17"/>
          <w:color w:val="auto"/>
        </w:rPr>
        <w:t>. The Grantor’s legal name (as set forth in its constituent documents filed with the appropriate governmental official or agency) is as set forth in the opening paragraph hereof. The jurisdiction of organization of the Grantor is the state of Delaware, and the organizational number of the Grantor is set forth on the signature page of this Agreement. The Grantor shall from time to time at the request of the Secured Party provide the Secured Party with current good standing certificates and/or state-certified constituent documents from the appropriate governmental officials. The chief place of business and chief executive office of Grantor are located at its address set forth on the signature page hereof. The Grantor shall not locate or relocate any item of Collateral into any jurisdiction in which an additional Financing Statement would be required to be filed to maintain the Secured Party’s perfected security interest in such Collateral. The Grantor shall not change its name, the location of its chief place of business and chief executive office or its corporate structure (including without limitation, its jurisdiction of organization) unless the Secured Party has been given at least 30 days’ prior written notice thereof and the Grantor has executed and delivered to the Secured Party such Financing Statements and other instruments required or appropriate to continue the perfection of the Security Interest.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6" w:name="page177"/>
    <w:bookmarkEnd w:id="176"/>
    <w:p>
      <w:pPr>
        <w:ind w:firstLine="225"/>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Rights to Payment</w:t>
      </w:r>
      <w:r>
        <w:rPr>
          <w:rFonts w:ascii="Arial" w:cs="Arial" w:eastAsia="Arial" w:hAnsi="Arial"/>
          <w:sz w:val="16"/>
          <w:szCs w:val="16"/>
          <w:color w:val="auto"/>
        </w:rPr>
        <w:t>. Except as the Grantor otherwise advises the Secured Party in writing, each Account, Chattel Paper, Document, General Intangible and Instrument constituting or evidencing Collateral is (or, in the case of all future Collateral, will be when arising or issued) the valid, genuine and legally enforceable obligation of the Account Debtor or other obligor named therein or in the Grantor’s records pertaining thereto as being obligated to pay or perform such obligation. Without the Secured Party’s prior written consent, the Grantor shall not agree to any modifications, amendments, subordinations, cancellations or terminations of the obligations of any such Account Debtors or other obligors except in the ordinary course of business and in amounts not exceeding $10,000 per Account Debtor or other obligor in any calendar year. The Grantor shall perform and comply in all material respects with all its obligations under any items included in the Collateral and exercise promptly and diligently its rights thereunder.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Further Assurances; Attorney-in-Fact</w:t>
      </w:r>
      <w:r>
        <w:rPr>
          <w:rFonts w:ascii="Arial" w:cs="Arial" w:eastAsia="Arial" w:hAnsi="Arial"/>
          <w:sz w:val="18"/>
          <w:szCs w:val="18"/>
          <w:color w:val="auto"/>
        </w:rPr>
        <w:t>.</w:t>
      </w:r>
    </w:p>
    <w:p>
      <w:pPr>
        <w:spacing w:after="0" w:line="117" w:lineRule="exact"/>
        <w:rPr>
          <w:sz w:val="20"/>
          <w:szCs w:val="20"/>
          <w:color w:val="auto"/>
        </w:rPr>
      </w:pPr>
    </w:p>
    <w:p>
      <w:pPr>
        <w:ind w:left="240" w:firstLine="225"/>
        <w:spacing w:after="0" w:line="286" w:lineRule="auto"/>
        <w:rPr>
          <w:sz w:val="20"/>
          <w:szCs w:val="20"/>
          <w:color w:val="auto"/>
        </w:rPr>
      </w:pPr>
      <w:r>
        <w:rPr>
          <w:rFonts w:ascii="Arial" w:cs="Arial" w:eastAsia="Arial" w:hAnsi="Arial"/>
          <w:sz w:val="16"/>
          <w:szCs w:val="16"/>
          <w:color w:val="auto"/>
        </w:rPr>
        <w:t>8(a) From time to time, at its expense, the Grantor shall promptly execute and deliver all further instruments and documents, and take all further action, that may be necessary or that the Secured Party may reasonably request, in order to perfect and protect the Security Interest or to enable the Secured Party to exercise and enforce its rights and remedies hereunder with respect to any Collateral (but any failure to request or assure that the Grantor execute and deliver such instrument or documents or to take such action shall not affect or impair the validity, sufficiency or enforceability of this Agreement and the Security Interest, regardless of whether any such item was or was not executed and delivered or action taken in a similar context or on a prior occasion). Without limiting the generality of the foregoing, the Grantor shall, promptly and from time to time at the request of the Secured Party: (i) execute and file such Financing Statements or continuation statements in respect thereof, or amendments thereto, and such other instruments or notices (including fixture filings with any necessary legal descriptions as to any goods included in the Collateral that the Secured Party determines might be deemed to be fixtures, and instruments and notices with respect to vehicle titles), as may be necessary or desirable, or as the Secured Party may request, in order to perfect, preserve, and enhance the Security Interest; (ii) obtain from any bailee holding any item of Collateral an acknowledgement, in form satisfactory to the Secured Party that such bailee holds such collateral for the benefit of the Secured Party; (iii) obtain from any securities intermediary, or other party holding any item of Collateral, control agreements in form satisfactory to the Secured Party (iv) and deliver and pledge to the Secured Party, all Instruments and Documents, duly indorsed or accompanied by duly executed instruments of transfer or assignment, with full recourse to the Grantor, all in form and substance satisfactory to the Secured Party; (v) obtain waivers, in form satisfactory to the Secured Party, of any claim to any Collateral from any landlords or mortgagees of any property where any Inventory or Equipment is located.</w:t>
      </w:r>
    </w:p>
    <w:p>
      <w:pPr>
        <w:spacing w:after="0" w:line="61" w:lineRule="exact"/>
        <w:rPr>
          <w:sz w:val="20"/>
          <w:szCs w:val="20"/>
          <w:color w:val="auto"/>
        </w:rPr>
      </w:pPr>
    </w:p>
    <w:p>
      <w:pPr>
        <w:jc w:val="both"/>
        <w:ind w:left="240" w:right="420" w:firstLine="225"/>
        <w:spacing w:after="0" w:line="312" w:lineRule="auto"/>
        <w:rPr>
          <w:sz w:val="20"/>
          <w:szCs w:val="20"/>
          <w:color w:val="auto"/>
        </w:rPr>
      </w:pPr>
      <w:r>
        <w:rPr>
          <w:rFonts w:ascii="Arial" w:cs="Arial" w:eastAsia="Arial" w:hAnsi="Arial"/>
          <w:sz w:val="16"/>
          <w:szCs w:val="16"/>
          <w:color w:val="auto"/>
        </w:rPr>
        <w:t>8(b) The Grantor hereby authorizes the Secured Party to file one or more Financing Statements or continuation statements in respect thereof, and amendments thereto, relating to all or any part of the Collateral without the signature of the Grantor where permitted by law. The Grantor irrevocably waives any right to notice of any such filing. A photocopy or other reproduction of this Agreement or any Financing Statement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7" w:name="page178"/>
    <w:bookmarkEnd w:id="177"/>
    <w:p>
      <w:pPr>
        <w:ind w:left="240"/>
        <w:spacing w:after="0"/>
        <w:rPr>
          <w:sz w:val="20"/>
          <w:szCs w:val="20"/>
          <w:color w:val="auto"/>
        </w:rPr>
      </w:pPr>
      <w:r>
        <w:rPr>
          <w:rFonts w:ascii="Arial" w:cs="Arial" w:eastAsia="Arial" w:hAnsi="Arial"/>
          <w:sz w:val="18"/>
          <w:szCs w:val="18"/>
          <w:color w:val="auto"/>
        </w:rPr>
        <w:t>covering the Collateral or any part thereof shall be sufficient as a Financing Statement where permitted by law.</w:t>
      </w:r>
    </w:p>
    <w:p>
      <w:pPr>
        <w:spacing w:after="0" w:line="117" w:lineRule="exact"/>
        <w:rPr>
          <w:sz w:val="20"/>
          <w:szCs w:val="20"/>
          <w:color w:val="auto"/>
        </w:rPr>
      </w:pPr>
    </w:p>
    <w:p>
      <w:pPr>
        <w:ind w:left="240" w:right="300" w:firstLine="225"/>
        <w:spacing w:after="0" w:line="264" w:lineRule="auto"/>
        <w:rPr>
          <w:sz w:val="20"/>
          <w:szCs w:val="20"/>
          <w:color w:val="auto"/>
        </w:rPr>
      </w:pPr>
      <w:r>
        <w:rPr>
          <w:rFonts w:ascii="Arial" w:cs="Arial" w:eastAsia="Arial" w:hAnsi="Arial"/>
          <w:sz w:val="18"/>
          <w:szCs w:val="18"/>
          <w:color w:val="auto"/>
        </w:rPr>
        <w:t>8(c) The Grantor shall furnish to the Secured Party from time to time statements and schedules further identifying and describing the Collateral and such other reports in connection with the Collateral as the Secured Party may reasonably request, all in reasonable detail and in form and substance reasonably satisfactory to the Secured Party.</w:t>
      </w:r>
    </w:p>
    <w:p>
      <w:pPr>
        <w:spacing w:after="0" w:line="73" w:lineRule="exact"/>
        <w:rPr>
          <w:sz w:val="20"/>
          <w:szCs w:val="20"/>
          <w:color w:val="auto"/>
        </w:rPr>
      </w:pPr>
    </w:p>
    <w:p>
      <w:pPr>
        <w:ind w:left="240" w:right="120" w:firstLine="225"/>
        <w:spacing w:after="0" w:line="257" w:lineRule="auto"/>
        <w:rPr>
          <w:sz w:val="20"/>
          <w:szCs w:val="20"/>
          <w:color w:val="auto"/>
        </w:rPr>
      </w:pPr>
      <w:r>
        <w:rPr>
          <w:rFonts w:ascii="Arial" w:cs="Arial" w:eastAsia="Arial" w:hAnsi="Arial"/>
          <w:sz w:val="18"/>
          <w:szCs w:val="18"/>
          <w:color w:val="auto"/>
        </w:rPr>
        <w:t>8(d) In furtherance, and not in limitation, of the other rights, powers and remedies granted to the Secured Party in this Agreement, the Grantor hereby appoints the Secured Party the Grantor’s attorney-in-fact, with full authority in the place and stead of Grantor and in the name of Grantor or otherwise, from time to time in the Secured Party’s good faith discretion, to take any action (including the right to collect on any Collateral) and to execute any instrument that the Secured Party may reasonably believe is necessary or advisable to accomplish the purposes of this Agreement, in a manner consistent with the terms hereof.</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Taxes and Claims</w:t>
      </w:r>
      <w:r>
        <w:rPr>
          <w:rFonts w:ascii="Arial" w:cs="Arial" w:eastAsia="Arial" w:hAnsi="Arial"/>
          <w:sz w:val="16"/>
          <w:szCs w:val="16"/>
          <w:color w:val="auto"/>
        </w:rPr>
        <w:t>. The Grantor shall promptly pay all taxes and other governmental charges levied or assessed upon or against any Collateral or upon or against the creation, perfection or continuance of the Security Interest, as well as all other claims of any kind (including claims for labor, material and supplies) against or with respect to the Collateral, except to the extent (a) such taxes, charges or claims are being contested in good faith by appropriate proceedings, (b) such proceedings do not involve any material danger of the sale, forfeiture or loss of any of the Collateral or any interest therein and (c) such taxes, charges or claims are adequately reserved against on the Grantor’s books in accordance with generally accepted accounting principles.</w:t>
      </w:r>
    </w:p>
    <w:p>
      <w:pPr>
        <w:spacing w:after="0" w:line="50"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Grantor shall keep and maintain at its own cost and expense satisfactory and complete records of the Collateral, including a record of all payments received and credits granted with respect to all Accounts, Chattel Paper and other items included in the Collateral.</w:t>
      </w:r>
    </w:p>
    <w:p>
      <w:pPr>
        <w:spacing w:after="0" w:line="16"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Inspection, Reports, Verifications</w:t>
      </w:r>
      <w:r>
        <w:rPr>
          <w:rFonts w:ascii="Arial" w:cs="Arial" w:eastAsia="Arial" w:hAnsi="Arial"/>
          <w:sz w:val="16"/>
          <w:szCs w:val="16"/>
          <w:color w:val="auto"/>
        </w:rPr>
        <w:t>. The Grantor shall at all reasonable times permit the Secured Party or its representatives to examine or inspect any Collateral, any evidence of Collateral and the Grantor’s books and records concerning the Collateral, wherever located. The Grantor shall from time to time when requested by the Secured Party furnish to the Secured Party a report on its Accounts, Chattel Paper, General Intangibles and Instruments, naming the Account Debtors or other obligors thereon, the amount due and the aging thereof. The Secured Party or its designee is authorized to contact Account Debtors and other Persons obligated on any such Collateral from time to time to verify the existence, amount and/or terms of such Collateral.</w:t>
      </w:r>
    </w:p>
    <w:p>
      <w:pPr>
        <w:spacing w:after="0" w:line="50"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Notice of Loss</w:t>
      </w:r>
      <w:r>
        <w:rPr>
          <w:rFonts w:ascii="Arial" w:cs="Arial" w:eastAsia="Arial" w:hAnsi="Arial"/>
          <w:sz w:val="17"/>
          <w:szCs w:val="17"/>
          <w:color w:val="auto"/>
        </w:rPr>
        <w:t>. The Grantor shall promptly notify the Secured Party of any loss of or material damage to any material item of Collateral or of any substantial adverse change, known to Grantor, in any material item of Collateral or the prospect of payment or performance thereof.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8" w:name="page179"/>
    <w:bookmarkEnd w:id="178"/>
    <w:p>
      <w:pPr>
        <w:ind w:right="140" w:firstLine="225"/>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Insurance</w:t>
      </w:r>
      <w:r>
        <w:rPr>
          <w:rFonts w:ascii="Arial" w:cs="Arial" w:eastAsia="Arial" w:hAnsi="Arial"/>
          <w:sz w:val="18"/>
          <w:szCs w:val="18"/>
          <w:color w:val="auto"/>
        </w:rPr>
        <w:t>. The Grantor shall keep the Inventory and Equipment insured against “all risks” for the full replacement cost thereof subject to a deductible not exceeding $10,000 and with an insurance company or companies satisfactory to the Secured Party, the policies to protect the Secured Party as its interests may appear, with such policies or certificates with respect thereto to be delivered to the Secured Party at its request. Each such policy or the certificate with respect thereto shall provide that such policy shall not be canceled or allowed to lapse unless at least 30 days’ prior written notice is given to the Secured Party.</w:t>
      </w:r>
    </w:p>
    <w:p>
      <w:pPr>
        <w:spacing w:after="0" w:line="8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Lawful Use; Fair Labor Standards Act</w:t>
      </w:r>
      <w:r>
        <w:rPr>
          <w:rFonts w:ascii="Arial" w:cs="Arial" w:eastAsia="Arial" w:hAnsi="Arial"/>
          <w:sz w:val="18"/>
          <w:szCs w:val="18"/>
          <w:color w:val="auto"/>
        </w:rPr>
        <w:t>. The Grantor shall use and keep the Collateral, and shall require that others use and keep the Collateral, only for lawful purposes, without violation of any federal, state or local law, statute or ordinance. All Inventory of the Grantor as of the date of this Agreement that was produced by the Grantor or with respect to which the Grantor performed any manufacturing or assembly process was produced by the Grantor (or such manufacturing or assembly process was conducted) in compliance in all material respects with all requirements of the Fair Labor Standards Act, and all Inventory produced, manufactured or assembled by the Grantor after the date of this Agreement will be so produced, manufactured or assembled, as the case may be.</w:t>
      </w:r>
    </w:p>
    <w:p>
      <w:pPr>
        <w:spacing w:after="0" w:line="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Action by the Secured Party</w:t>
      </w:r>
      <w:r>
        <w:rPr>
          <w:rFonts w:ascii="Arial" w:cs="Arial" w:eastAsia="Arial" w:hAnsi="Arial"/>
          <w:sz w:val="16"/>
          <w:szCs w:val="16"/>
          <w:color w:val="auto"/>
        </w:rPr>
        <w:t>. If the Grantor at any time fails to perform or observe any of the foregoing agreements, the Secured Party shall have (and the Grantor hereby grants to the Secured Party) the right, power and authority (but not the duty) to perform or observe such agreement on behalf and in the name, place and stead of the Grantor (or, at the Secured Party’s option, in the Secured Party’s name) and to take any and all other actions that the Secured Party may reasonably deem necessary to cure or correct such failure (including, without limitation, the payment of taxes, the satisfaction of Liens, the procurement and maintenance of insurance, the execution of assignments, security agreements and Financing Statements, and the indorsement of instruments); and the Grantor shall thereupon pay to the Secured Party on demand the amount of all monies expended and all costs and expenses (including reasonable attorneys’ fees and legal expenses) incurred by the Secured Party in connection with or as a result of the performance or observance of such agreements or the taking of such action by the Secured Party, together with interest thereon from the date expended or incurred at the highest lawful rate then applicable to any of the Obligations, and all such monies expended, costs and expenses and interest thereon shall be part of the Obligations.</w:t>
      </w:r>
    </w:p>
    <w:p>
      <w:pPr>
        <w:spacing w:after="0" w:line="59"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Insurance Claims</w:t>
      </w:r>
      <w:r>
        <w:rPr>
          <w:rFonts w:ascii="Arial" w:cs="Arial" w:eastAsia="Arial" w:hAnsi="Arial"/>
          <w:sz w:val="17"/>
          <w:szCs w:val="17"/>
          <w:color w:val="auto"/>
        </w:rPr>
        <w:t>. As additional security for the payment and performance of the Obligations, the Grantor hereby assigns to the Secured Party any and all monies (including proceeds of insurance and refunds of unearned premiums) due or to become due under, and all other rights of the Grantor with respect to, any and all policies of insurance now or at any time hereafter covering the Collateral or any evidence thereof or any business records or valuable papers pertaining thereto. At any time, whether before or after the occurrence of any Event of Default, the Secured Party may (but need not), in the Secured Party’s name or in Grantor’s name, execute and deliver proofs of claim, receive all such monies, indorse checks and other instruments representing payment of such monies, and adjust, litigate, compromise or release any claim against the issuer of any such policy. Notwithstanding any of the foregoing, so long as no Event of Default exists the Grantor shall be entitled to all insurance proceeds with respect to Equipment or Inventory provided that such proceeds are applied to the cost of replacement Equipment or Inventory.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ind w:firstLine="225"/>
        <w:spacing w:after="0" w:line="287"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The Secured Party’s Duties</w:t>
      </w:r>
      <w:r>
        <w:rPr>
          <w:rFonts w:ascii="Arial" w:cs="Arial" w:eastAsia="Arial" w:hAnsi="Arial"/>
          <w:sz w:val="16"/>
          <w:szCs w:val="16"/>
          <w:color w:val="auto"/>
        </w:rPr>
        <w:t>. The powers conferred on the Secured Party hereunder are solely to protect its interest in the Collateral and shall not impose any duty upon it to exercise any such powers. The Secured Party shall be deemed to have exercised reasonable care in the safekeeping of any Collateral in its possession if such Collateral is accorded treatment substantially equal to the safekeeping that the Secured Party accords its own property of like kind. Except for the safekeeping of any Collateral in its possession and the accounting for monies and for other properties actually received by it hereunder, the Secured Party shall have no duty, as to any Collateral, as to ascertaining or taking action with respect to calls, conversions, exchanges, maturities, tenders or other matters relative to any Collateral, whether or not the Secured Party has or is deemed to have knowledge of such matters, or as to the taking of any necessary steps to preserve rights against any Persons or any other rights pertaining to any Collateral. The Secured Party will take action in the nature of exchanges, conversions, redemptions, tenders and the like requested in writing by the Grantor with respect to the Collateral in the Secured Party’s possession if the Secured Party in its reasonable judgment determines that such action will not impair the Security Interest or the value of the Collateral, but a failure of the Secured Party to comply with any such request shall not of itself be deemed a failure to exercise reasonable care with respect to the taking of any necessary steps to preserve rights against any Persons or any other rights pertaining to any Collateral.</w:t>
      </w:r>
    </w:p>
    <w:p>
      <w:pPr>
        <w:spacing w:after="0" w:line="6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Default</w:t>
      </w:r>
      <w:r>
        <w:rPr>
          <w:rFonts w:ascii="Arial" w:cs="Arial" w:eastAsia="Arial" w:hAnsi="Arial"/>
          <w:sz w:val="18"/>
          <w:szCs w:val="18"/>
          <w:color w:val="auto"/>
        </w:rPr>
        <w:t>. Each of the following occurrences shall constitute an “Event of Default” under this Agreement: (a) the Grantor fails to observe or perform any covenant or agreement applicable to the Grantor under this Agreement; (b) any representation or warranty made by the Grantor in this Agreement or any schedule, exhibit, supplement or attachment hereto or in any financial statements, reports, or certificates heretofore or at any time hereafter submitted by or on behalf of the Grantor to the Secured Party proves to have been false or materially misleading when made; or (c) any “Event of Default” occurs under the Credit Agreement.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Remedies on Default</w:t>
      </w:r>
      <w:r>
        <w:rPr>
          <w:rFonts w:ascii="Arial" w:cs="Arial" w:eastAsia="Arial" w:hAnsi="Arial"/>
          <w:sz w:val="18"/>
          <w:szCs w:val="18"/>
          <w:color w:val="auto"/>
        </w:rPr>
        <w:t>. Upon an Event of Default and at any time thereafter:</w:t>
      </w:r>
    </w:p>
    <w:p>
      <w:pPr>
        <w:spacing w:after="0" w:line="117" w:lineRule="exact"/>
        <w:rPr>
          <w:sz w:val="20"/>
          <w:szCs w:val="20"/>
          <w:color w:val="auto"/>
        </w:rPr>
      </w:pPr>
    </w:p>
    <w:p>
      <w:pPr>
        <w:ind w:left="240" w:right="420" w:firstLine="225"/>
        <w:spacing w:after="0" w:line="277" w:lineRule="auto"/>
        <w:rPr>
          <w:sz w:val="20"/>
          <w:szCs w:val="20"/>
          <w:color w:val="auto"/>
        </w:rPr>
      </w:pPr>
      <w:r>
        <w:rPr>
          <w:rFonts w:ascii="Arial" w:cs="Arial" w:eastAsia="Arial" w:hAnsi="Arial"/>
          <w:sz w:val="18"/>
          <w:szCs w:val="18"/>
          <w:color w:val="auto"/>
        </w:rPr>
        <w:t>19(a) The Secured Party may exercise and enforce any and all rights and remedies available upon default to a secured party under Article 9 of the Uniform Commercial Code as in effect in the State of California</w:t>
      </w:r>
    </w:p>
    <w:p>
      <w:pPr>
        <w:spacing w:after="0" w:line="62" w:lineRule="exact"/>
        <w:rPr>
          <w:sz w:val="20"/>
          <w:szCs w:val="20"/>
          <w:color w:val="auto"/>
        </w:rPr>
      </w:pPr>
    </w:p>
    <w:p>
      <w:pPr>
        <w:ind w:left="240" w:right="20" w:firstLine="225"/>
        <w:spacing w:after="0" w:line="272" w:lineRule="auto"/>
        <w:rPr>
          <w:sz w:val="20"/>
          <w:szCs w:val="20"/>
          <w:color w:val="auto"/>
        </w:rPr>
      </w:pPr>
      <w:r>
        <w:rPr>
          <w:rFonts w:ascii="Arial" w:cs="Arial" w:eastAsia="Arial" w:hAnsi="Arial"/>
          <w:sz w:val="17"/>
          <w:szCs w:val="17"/>
          <w:color w:val="auto"/>
        </w:rPr>
        <w:t>19(b) The Secured Party shall have the right to enter upon and into and take possession of all or such part or parts of the properties of the Grantor, including lands, plants, buildings, Equipment, Inventory and other property as may be necessary or appropriate in the judgment of the Secured Party to permit or enable the Secured Party to manufacture, produce, process, store or sell or complete the manufacture, production, processing, storing or sale of all or any part of the Collateral, as the Secured Party may elect, and to use and operate said properties for said purposes and for such length of time as the Secured Party may deem necessary or appropriate for said purposes without the payment of any compensation to Grantor therefor. The Secured Party may require the Grantor to, and the Grantor shall, at its expense and upon request of the Secured Party forthwith, assemble all or part of the Collateral as directed by the Secured Party and make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80" w:name="page181"/>
    <w:bookmarkEnd w:id="180"/>
    <w:p>
      <w:pPr>
        <w:ind w:left="240"/>
        <w:spacing w:after="0"/>
        <w:rPr>
          <w:sz w:val="20"/>
          <w:szCs w:val="20"/>
          <w:color w:val="auto"/>
        </w:rPr>
      </w:pPr>
      <w:r>
        <w:rPr>
          <w:rFonts w:ascii="Arial" w:cs="Arial" w:eastAsia="Arial" w:hAnsi="Arial"/>
          <w:sz w:val="18"/>
          <w:szCs w:val="18"/>
          <w:color w:val="auto"/>
        </w:rPr>
        <w:t>it available to the Secured Party at a place or places to be designated by the Secured Party.</w:t>
      </w:r>
    </w:p>
    <w:p>
      <w:pPr>
        <w:spacing w:after="0" w:line="117" w:lineRule="exact"/>
        <w:rPr>
          <w:sz w:val="20"/>
          <w:szCs w:val="20"/>
          <w:color w:val="auto"/>
        </w:rPr>
      </w:pPr>
    </w:p>
    <w:p>
      <w:pPr>
        <w:ind w:left="240" w:right="100" w:firstLine="225"/>
        <w:spacing w:after="0" w:line="257" w:lineRule="auto"/>
        <w:rPr>
          <w:sz w:val="20"/>
          <w:szCs w:val="20"/>
          <w:color w:val="auto"/>
        </w:rPr>
      </w:pPr>
      <w:r>
        <w:rPr>
          <w:rFonts w:ascii="Arial" w:cs="Arial" w:eastAsia="Arial" w:hAnsi="Arial"/>
          <w:sz w:val="18"/>
          <w:szCs w:val="18"/>
          <w:color w:val="auto"/>
        </w:rPr>
        <w:t>19(c) Any disposition of Collateral may be in one or more parcels at public or private sale, at any of the Secured Party’s offices or elsewhere, for cash, on credit, or for future delivery, and upon such other terms as the Secured Party may reasonably believe are commercially reasonable. The Secured Party shall not be obligated to dispose of Collateral regardless of notice of sale having been given, and the Secured Party may adjourn any public or private sale from time to time by announcement made at the time and place fixed therefor, and such disposition may, without further notice, be made at the time and place to which it was so adjourned.</w:t>
      </w:r>
    </w:p>
    <w:p>
      <w:pPr>
        <w:spacing w:after="0" w:line="80" w:lineRule="exact"/>
        <w:rPr>
          <w:sz w:val="20"/>
          <w:szCs w:val="20"/>
          <w:color w:val="auto"/>
        </w:rPr>
      </w:pPr>
    </w:p>
    <w:p>
      <w:pPr>
        <w:ind w:left="240" w:firstLine="225"/>
        <w:spacing w:after="0" w:line="259" w:lineRule="auto"/>
        <w:rPr>
          <w:sz w:val="20"/>
          <w:szCs w:val="20"/>
          <w:color w:val="auto"/>
        </w:rPr>
      </w:pPr>
      <w:r>
        <w:rPr>
          <w:rFonts w:ascii="Arial" w:cs="Arial" w:eastAsia="Arial" w:hAnsi="Arial"/>
          <w:sz w:val="18"/>
          <w:szCs w:val="18"/>
          <w:color w:val="auto"/>
        </w:rPr>
        <w:t>19(d) The Secured Party is hereby granted a license or other right to use, without charge, all of the Grantor’s property, including, without limitation, all of the Grantor’s labels, trademarks, copyrights, patents and advertising matter, or any property of a similar nature, as it pertains to the Collateral, in completing production of, advertising for sale and selling any Collateral, and the Grantor’s rights under all licenses and all franchise agreements shall inure to the Secured Party’s benefit until the Obligations are paid in full.</w:t>
      </w:r>
    </w:p>
    <w:p>
      <w:pPr>
        <w:spacing w:after="0" w:line="79" w:lineRule="exact"/>
        <w:rPr>
          <w:sz w:val="20"/>
          <w:szCs w:val="20"/>
          <w:color w:val="auto"/>
        </w:rPr>
      </w:pPr>
    </w:p>
    <w:p>
      <w:pPr>
        <w:ind w:left="240" w:right="240" w:firstLine="225"/>
        <w:spacing w:after="0" w:line="290" w:lineRule="auto"/>
        <w:rPr>
          <w:sz w:val="20"/>
          <w:szCs w:val="20"/>
          <w:color w:val="auto"/>
        </w:rPr>
      </w:pPr>
      <w:r>
        <w:rPr>
          <w:rFonts w:ascii="Arial" w:cs="Arial" w:eastAsia="Arial" w:hAnsi="Arial"/>
          <w:sz w:val="16"/>
          <w:szCs w:val="16"/>
          <w:color w:val="auto"/>
        </w:rPr>
        <w:t>19(e) If notice to the Grantor of any intended disposition of Collateral or any other intended action is required by law in a particular instance, such notice shall be deemed commercially reasonable if given in the manner specified for the giving of notice in Section 24 at least ten calendar days prior to the date of intended disposition or other action, and the Secured Party may exercise or enforce any and all other rights or remedies available by law or agreement against the Collateral, against the Grantor, or against any other Person or property. The Secured Party (i) may dispose of the Collateral in its then present condition or following such preparation and processing as the Secured Party deems commercially reasonable, (ii) shall have no duty to prepare or process the Collateral prior to sale, (iii) may disclaim warranties of title, possession, quiet enjoyment and the like, and (iv) may comply with any applicable state or federal law requirements in connection with a disposition of the Collateral and none of the foregoing actions shall be deemed to adversely affect the commercial reasonableness of the disposition of the Collateral.</w:t>
      </w:r>
    </w:p>
    <w:p>
      <w:pPr>
        <w:spacing w:after="0" w:line="58"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Remedies as to Certain Rights to Payment</w:t>
      </w:r>
      <w:r>
        <w:rPr>
          <w:rFonts w:ascii="Arial" w:cs="Arial" w:eastAsia="Arial" w:hAnsi="Arial"/>
          <w:sz w:val="17"/>
          <w:szCs w:val="17"/>
          <w:color w:val="auto"/>
        </w:rPr>
        <w:t>. Upon the occurrence of an Event of Default and at any time thereafter the Secured Party may notify any Account Debtor or other Person obligated on any Accounts or other Collateral that the same have been assigned or transferred to the Secured Party and that the same should be performed as requested by, or paid directly to, the Secured Party, as the case may be. The Grantor shall join in giving such notice, if the Secured Party so requests. The Secured Party may, in the Secured Party’s name or in the Grantor’s name, demand, sue for, collect or receive any money or property at any time payable or receivable on account of, or securing, any such Collateral or grant any extension to, make any compromise or settlement with or otherwise agree to waive, modify, amend or change the obligation of any such Account Debtor or other Person. If any payments on any such Collateral are received by the Grantor after an Event of Default has occurred, such payments shall be held in trust by the Grantor as the property of the Secured Party and shall not be commingled with 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funds or property of the Grantor and shall be forthwith remitted to the Secured Party for application on the Obligations.</w:t>
      </w:r>
    </w:p>
    <w:p>
      <w:pPr>
        <w:spacing w:after="0" w:line="117"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All cash proceeds received by the Secured Party in respect of any sale of, collection from, or other realization upon all or any part of the Collateral may, in the discretion of the Secured Party, be held by the Secured Party as collateral for, or then or at any time thereafter be applied in whole or in part by the Secured Party against, all or any part of the Obligations (including, without limitation, any expenses of the Secured Party payable pursuant to Section 24).</w:t>
      </w:r>
    </w:p>
    <w:p>
      <w:pPr>
        <w:spacing w:after="0" w:line="79"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Costs and Expenses; Indemnity</w:t>
      </w:r>
      <w:r>
        <w:rPr>
          <w:rFonts w:ascii="Arial" w:cs="Arial" w:eastAsia="Arial" w:hAnsi="Arial"/>
          <w:sz w:val="17"/>
          <w:szCs w:val="17"/>
          <w:color w:val="auto"/>
        </w:rPr>
        <w:t>. The Grantor shall pay or reimburse the Secured Party on demand for all reasonable out-of-pocket expenses paid or incurred by the Secured Party, including in each case all filing and recording costs and fees, taxes, charges and disbursements of outside counsel to the Secured Party (determined on the basis of such counsel’s generally applicable rates, which may be higher than the rates such counsel charges the Secured Party in certain matters) and/or the allocated costs of in-house counsel incurred from time to time, in connection with the creation, perfection, protection, satisfaction, foreclosure, collection or enforcement of the Security Interest and the preparation, administration, continuance, amendment or enforcement of this Agreement, and all such costs and expenses shall be part of the Obligations. The Grantor shall indemnify and hold the Secured Party harmless from and against any and all claims, losses and liabilities (including reasonable attorneys’ fees) growing out of or resulting from this Agreement and the Security Interest (including enforcement of this Agreement) or the Secured Party’s actions pursuant hereto, except claims, losses or liabilities resulting from the Secured Party’s gross negligence or willful misconduct as determined by a final judgment of a court of competent jurisdiction. Any liability of the Grantor to indemnify and hold the Secured Party harmless pursuant to the preceding sentence shall be part of the Obligations. The obligations of the Grantor under this Section shall survive any termination of this Agreement.</w:t>
      </w:r>
    </w:p>
    <w:p>
      <w:pPr>
        <w:spacing w:after="0" w:line="7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Waivers; Remedies; Marshalling</w:t>
      </w:r>
      <w:r>
        <w:rPr>
          <w:rFonts w:ascii="Arial" w:cs="Arial" w:eastAsia="Arial" w:hAnsi="Arial"/>
          <w:sz w:val="17"/>
          <w:szCs w:val="17"/>
          <w:color w:val="auto"/>
        </w:rPr>
        <w:t>. This Agreement can be waived, modified, amended, terminated or discharged, and the Security Interest can be released, only explicitly in a writing signed by the Secured Party. A waiver so signed shall be effective only in the specific instance and for the specific purpose given. Mere delay or failure to act shall not preclude the exercise or enforcement of any rights and remedies available to the Secured Party. All rights and remedies of the Secured Party shall be cumulative and may be exercised singly in any order or sequence, or concurrently, at the Secured Party’s option, and the exercise or enforcement of any such right or remedy shall neither be a condition to nor bar the exercise or enforcement of any other. The Grantor hereby waives all requirements of law, if any, relating to the marshalling of assets that would be applicable in connection with the enforcement by the Secured Party of its remedies hereunder, absent this waiver.</w:t>
      </w:r>
    </w:p>
    <w:p>
      <w:pPr>
        <w:spacing w:after="0" w:line="70"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to any party in connection with this Agreement shall be in writing and shall be sent by manual delivery, facsimile transmission, overnight courier or United States mail (postage prepaid) addressed to such party at the address specified on the signature page hereof, or at such other address as such party specifies to the other party hereto in writing. All periods of notice shall be measured from the date of delivery if manually delivered, from the date of sending if sent by facsimile transmission,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from the first business day after the date of sending if sent by overnight courier, or from four days after the date of mailing if mailed.</w:t>
      </w:r>
    </w:p>
    <w:p>
      <w:pPr>
        <w:spacing w:after="0" w:line="11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Grantor Acknowledgments</w:t>
      </w:r>
      <w:r>
        <w:rPr>
          <w:rFonts w:ascii="Arial" w:cs="Arial" w:eastAsia="Arial" w:hAnsi="Arial"/>
          <w:sz w:val="18"/>
          <w:szCs w:val="18"/>
          <w:color w:val="auto"/>
        </w:rPr>
        <w:t>. The Grantor hereby acknowledges that (a) it has been advised by counsel in the negotiation, execution and delivery of this Agreement, (b) the Secured Party has no fiduciary relationship to the Grantor, the relationship being solely that of debtor and creditor, and (c) no joint venture exists between the Grantor and the Secured Party.</w:t>
      </w:r>
    </w:p>
    <w:p>
      <w:pPr>
        <w:spacing w:after="0" w:line="73"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Continuing Security Interest; Assignments under Credit Agreement</w:t>
      </w:r>
      <w:r>
        <w:rPr>
          <w:rFonts w:ascii="Arial" w:cs="Arial" w:eastAsia="Arial" w:hAnsi="Arial"/>
          <w:sz w:val="16"/>
          <w:szCs w:val="16"/>
          <w:color w:val="auto"/>
        </w:rPr>
        <w:t>. This Agreement shall (a) create a continuing security interest in the Collateral and shall remain in full force and effect until payment in full of the Obligations and the expiration of the obligations, if any, of the Secured Party to extend credit accommodations to the Grantor, (b) be binding upon the Grantor, its successors and assigns, and (c) inure to the benefit of, and be enforceable by, the Secured Party and its successors, transferees, and assigns. Without limiting the generality of the foregoing clause (c), the Secured Party may assign or otherwise transfer all or any portion of its rights and obligations under the Credit Agreement to any other Persons to the extent and in the manner provided in the Credit Agreement and may similarly transfer all or any portion of its rights under this Security Agreement to such Persons.</w:t>
      </w:r>
    </w:p>
    <w:p>
      <w:pPr>
        <w:spacing w:after="0" w:line="5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Termination of Security Interest</w:t>
      </w:r>
      <w:r>
        <w:rPr>
          <w:rFonts w:ascii="Arial" w:cs="Arial" w:eastAsia="Arial" w:hAnsi="Arial"/>
          <w:sz w:val="17"/>
          <w:szCs w:val="17"/>
          <w:color w:val="auto"/>
        </w:rPr>
        <w:t>. Upon payment in full of the Obligations and the expiration of any obligation of the Secured Party to extend credit accommodations to the Grantor, the Security Interest shall terminate. Upon any such termination, the Secured Party will return to the Grantor such of the Collateral then in the possession of the Secured Party as have not been sold or otherwise applied pursuant to the terms hereof and execute and deliver to the Grantor such documents as the Grantor reasonably requests to evidence such termination. Any reversion or return of Collateral upon termination of this Agreement and any instruments of transfer or termination shall be at the expense of the Grantor and shall be without warranty by, or recourse on, the Secured Party. As used in this Section, “Grantor” includes any assigns of Grantor, any Person holding a subordinate security interest in any of the Collateral or whoever else may be lawfully entitled to any part of the Collateral.</w:t>
      </w:r>
    </w:p>
    <w:p>
      <w:pPr>
        <w:spacing w:after="0" w:line="66"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b w:val="1"/>
          <w:bCs w:val="1"/>
          <w:u w:val="single" w:color="auto"/>
          <w:color w:val="auto"/>
        </w:rPr>
        <w:t>Governing Law and Construction</w:t>
      </w:r>
      <w:r>
        <w:rPr>
          <w:rFonts w:ascii="Arial" w:cs="Arial" w:eastAsia="Arial" w:hAnsi="Arial"/>
          <w:sz w:val="17"/>
          <w:szCs w:val="17"/>
          <w:b w:val="1"/>
          <w:bCs w:val="1"/>
          <w:color w:val="auto"/>
        </w:rPr>
        <w:t>. THE VALIDITY, CONSTRUCTION, AND ENFORCEABILITY OF THIS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SHALL BE GOVERNED BY THE LAWS OF THE STATE OF CALIFORNIA, WITHOUT GIVING EFFECT TO CONFLICT OF LAWS PRINCIPLES THEREOF, EXCEPT TO THE EXTENT THAT THE VALIDITY OR PERFECTION OF THE SECURITY INTEREST HEREUNDER, OR REMEDIES HEREUNDER, IN RESPECT OF ANY PARTICULAR COLLATERAL ARE MANDATORILY GOVERNED BY THE LAWS OF A JURISDICTION OTHER THAN THE STATE OF CALIFORNIA</w:t>
      </w:r>
      <w:r>
        <w:rPr>
          <w:rFonts w:ascii="Arial" w:cs="Arial" w:eastAsia="Arial" w:hAnsi="Arial"/>
          <w:sz w:val="17"/>
          <w:szCs w:val="17"/>
          <w:color w:val="auto"/>
        </w:rPr>
        <w:t>. Whenever possible, each provision of this Agreement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statement, instrument or transaction contemplated hereby or relating hereto shall be interpreted so as to be effective and valid under such applicable law, but if any provision of this Agreement or any other statement, instrument or transaction contemplated hereby or relating hereto is held to be prohibited or invalid under such applicable law, such provision shall be ineffective only to the extent of such prohibition or invalidity, without invalidating the remainder of such provision or the remaining provisions of this Agreement or any other statement, instrument, or transaction contemplated hereby or relating hereto.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3" w:name="page184"/>
    <w:bookmarkEnd w:id="183"/>
    <w:p>
      <w:pPr>
        <w:ind w:right="100" w:firstLine="225"/>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AT THE OPTION OF THE SECURED PARTY, THIS AGREEMENT MAY BE ENFORCED IN ANY</w:t>
      </w:r>
      <w:r>
        <w:rPr>
          <w:rFonts w:ascii="Arial" w:cs="Arial" w:eastAsia="Arial" w:hAnsi="Arial"/>
          <w:sz w:val="18"/>
          <w:szCs w:val="18"/>
          <w:color w:val="auto"/>
        </w:rPr>
        <w:t xml:space="preserve"> </w:t>
      </w:r>
      <w:r>
        <w:rPr>
          <w:rFonts w:ascii="Arial" w:cs="Arial" w:eastAsia="Arial" w:hAnsi="Arial"/>
          <w:sz w:val="18"/>
          <w:szCs w:val="18"/>
          <w:b w:val="1"/>
          <w:bCs w:val="1"/>
          <w:color w:val="auto"/>
        </w:rPr>
        <w:t>FEDERAL OR STATE COURT SITTING IN ORANGE COUNTY, CALIFORNIA OR LOS ANGELES COUNTY, CALIFORNIA, AND THE GRANTOR CONSENTS TO THE JURISDICTION AND VENUE OF ANY SUCH COURT AND WAIVES ANY ARGUMENT THAT VENUE IN SUCH FORUMS IS NOT CONVENIENT. IF THE GRANTOR COMMENCES ANY ACTION IN ANOTHER JURISDICTION OR VENUE UNDER ANY TORT OR CONTRACT THEORY ARISING DIRECTLY OR INDIRECTLY FROM THE RELATIONSHIP CREATED BY THIS AGREEMENT, THE SECURED PARTY AT ITS OPTION SHALL BE ENTITLED TO HAVE THE CASE TRANSFERRED TO ONE OF THE JURISDICTIONS AND VENUES ABOVE-DESCRIBED, OR IF SUCH TRANSFER CANNOT BE ACCOMPLISHED UNDER APPLICABLE LAW, TO HAVE SUCH CASE DISMISSED WITHOUT PREJUDICE.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b w:val="1"/>
          <w:bCs w:val="1"/>
          <w:u w:val="single" w:color="auto"/>
          <w:color w:val="auto"/>
        </w:rPr>
        <w:t>Waiver of Notice and Hearing</w:t>
      </w:r>
      <w:r>
        <w:rPr>
          <w:rFonts w:ascii="Arial" w:cs="Arial" w:eastAsia="Arial" w:hAnsi="Arial"/>
          <w:sz w:val="18"/>
          <w:szCs w:val="18"/>
          <w:b w:val="1"/>
          <w:bCs w:val="1"/>
          <w:color w:val="auto"/>
        </w:rPr>
        <w:t>. THE GRANTOR HEREBY WAIVES ALL RIGHTS TO A JUDICIAL HEARING OF ANY KIND</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PRIOR TO THE EXERCISE BY THE SECURED PARTY OF ITS RIGHTS TO POSSESSION OF THE COLLATERAL WITHOUT JUDICIAL PROCESS OR OF ITS RIGHTS TO REPLEVY, ATTACH, OR LEVY UPON THE COLLATERAL WITHOUT PRIOR NOTICE OR HEARING. THE GRANTOR ACKNOWLEDGES THAT IT HAS BEEN ADVISED BY COUNSEL OF ITS CHOICE WITH RESPECT TO THIS PROVISION AND THIS AGREEMENT.</w:t>
      </w:r>
    </w:p>
    <w:p>
      <w:pPr>
        <w:spacing w:after="0" w:line="78"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GRANTOR AND THE SECURED PARTY, BY ITS ACCEPTANCE OF THIS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WAIVES ANY AND ALL RIGHT TO TRIAL BY JURY IN ANY LEGAL PROCEEDING ARISING OUT OF OR RELATING TO THIS AGREEMENT OR THE TRANSACTIONS CONTEMPLATED HEREBY.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Judicial Reference Agreement</w:t>
      </w:r>
      <w:r>
        <w:rPr>
          <w:rFonts w:ascii="Arial" w:cs="Arial" w:eastAsia="Arial" w:hAnsi="Arial"/>
          <w:sz w:val="18"/>
          <w:szCs w:val="18"/>
          <w:color w:val="auto"/>
        </w:rPr>
        <w:t>.</w:t>
      </w:r>
    </w:p>
    <w:p>
      <w:pPr>
        <w:spacing w:after="0" w:line="117" w:lineRule="exact"/>
        <w:rPr>
          <w:sz w:val="20"/>
          <w:szCs w:val="20"/>
          <w:color w:val="auto"/>
        </w:rPr>
      </w:pPr>
    </w:p>
    <w:p>
      <w:pPr>
        <w:ind w:left="240" w:right="40" w:firstLine="225"/>
        <w:spacing w:after="0" w:line="259" w:lineRule="auto"/>
        <w:rPr>
          <w:sz w:val="20"/>
          <w:szCs w:val="20"/>
          <w:color w:val="auto"/>
        </w:rPr>
      </w:pPr>
      <w:r>
        <w:rPr>
          <w:rFonts w:ascii="Arial" w:cs="Arial" w:eastAsia="Arial" w:hAnsi="Arial"/>
          <w:sz w:val="18"/>
          <w:szCs w:val="18"/>
          <w:color w:val="auto"/>
        </w:rPr>
        <w:t>32(a) Any and all disputes, claims, and controversies arising out of this Agreement or the transactions contemplated thereby (including, but not limited to, actions arising in contract or tort and any claims by the Grantor against the Secured Party related in any way to the Security Interest or the Obligations) (individually, a “</w:t>
      </w:r>
      <w:r>
        <w:rPr>
          <w:rFonts w:ascii="Arial" w:cs="Arial" w:eastAsia="Arial" w:hAnsi="Arial"/>
          <w:sz w:val="18"/>
          <w:szCs w:val="18"/>
          <w:u w:val="single" w:color="auto"/>
          <w:color w:val="auto"/>
        </w:rPr>
        <w:t>Dispute</w:t>
      </w:r>
      <w:r>
        <w:rPr>
          <w:rFonts w:ascii="Arial" w:cs="Arial" w:eastAsia="Arial" w:hAnsi="Arial"/>
          <w:sz w:val="18"/>
          <w:szCs w:val="18"/>
          <w:color w:val="auto"/>
        </w:rPr>
        <w:t>”) that are brought before a forum in which pre-dispute waivers of the right to trial by jury are invalid under applicable law shall be subject to the terms of this Section 32.</w:t>
      </w:r>
    </w:p>
    <w:p>
      <w:pPr>
        <w:spacing w:after="0" w:line="79" w:lineRule="exact"/>
        <w:rPr>
          <w:sz w:val="20"/>
          <w:szCs w:val="20"/>
          <w:color w:val="auto"/>
        </w:rPr>
      </w:pPr>
    </w:p>
    <w:p>
      <w:pPr>
        <w:ind w:left="240" w:firstLine="225"/>
        <w:spacing w:after="0" w:line="257" w:lineRule="auto"/>
        <w:rPr>
          <w:sz w:val="20"/>
          <w:szCs w:val="20"/>
          <w:color w:val="auto"/>
        </w:rPr>
      </w:pPr>
      <w:r>
        <w:rPr>
          <w:rFonts w:ascii="Arial" w:cs="Arial" w:eastAsia="Arial" w:hAnsi="Arial"/>
          <w:sz w:val="18"/>
          <w:szCs w:val="18"/>
          <w:color w:val="auto"/>
        </w:rPr>
        <w:t>32(b) Any and all Disputes shall be heard by a referee and resolved by judicial reference pursuant to California Code of Civil Procedure Sections 638 et seq. The referee shall be a retired California state court judge or an attorney licensed to practice law in the State of California with at least 10 years’ experience practicing commercial law. Neither the Grantor nor the Secured Party shall seek to appoint a referee that may be disqualified pursuant to California Code of Civil Procedure Section 641 or 641.2 without the prior written consent of the other party. If the Secured Party and the Grantor are unable to agree upon a referee within 10 calendar days after one party serves a written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84" w:name="page185"/>
    <w:bookmarkEnd w:id="184"/>
    <w:p>
      <w:pPr>
        <w:ind w:right="540"/>
        <w:spacing w:after="0" w:line="277" w:lineRule="auto"/>
        <w:rPr>
          <w:sz w:val="20"/>
          <w:szCs w:val="20"/>
          <w:color w:val="auto"/>
        </w:rPr>
      </w:pPr>
      <w:r>
        <w:rPr>
          <w:rFonts w:ascii="Arial" w:cs="Arial" w:eastAsia="Arial" w:hAnsi="Arial"/>
          <w:sz w:val="18"/>
          <w:szCs w:val="18"/>
          <w:color w:val="auto"/>
        </w:rPr>
        <w:t>notice of intent for judicial reference upon the other party, then the referee will be selected by the court in accordance with California Code of Civil Procedure Section 640(b).</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32(c) The referee shall render a written statement of decision and shall conduct the proceedings in accordance with the California Code of Civil Procedure, the Rules of Court, and California Evidence Code, except as otherwise specifically agreed by the parties and approved by the referee. The referee’s statement of decision shall set forth findings of fact and conclusions of law. The decision of the referee shall be entered as a judgment in the court in accordance with the provisions of California Code of Civil Procedure Sections 644 and 645. The decision of the referee shall be appealable to the same extent and in the same manner that such decision would be appealable if rendered by a judge of the superior court.</w:t>
      </w:r>
    </w:p>
    <w:p>
      <w:pPr>
        <w:spacing w:after="0" w:line="64"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32(d) Nothing in this Section 32 shall be deemed to apply to or limit the right of the Secured Party (i) to exercise self-help remedies such as (but not limited to) setoff, (ii) to foreclose judicially or nonjudicially against any real or personal property collateral, or to exercise judicial or nonjudicial power of sale rights, (iii) to obtain from a court provisional or ancillary remedies (including, but not limited to, injunctive relief, a writ of possession, prejudgment attachment, a protective order, or the appointment of a receiver), or (iv) to pursue rights against any party in a third-party proceeding in any action brought against the Secured Party (including actions in bankruptcy court). The Secured Party may exercise the rights set forth in the foregoing clauses (i) through (iv), inclusive, before, during, or after the pendency of any judicial reference proceeding. Neither the exercise of self-help remedies nor the institution or maintenance of an action for foreclosure or provisional or ancillary remedies or the opposition to any such provisional remedies shall constitute a waiver of the right of any party, including, but not limited to, the claimant in any such action, to require submission to judicial reference of the merits of the Dispute occasioning resort to such remedies. No provision in the Loan Documents regarding submission to jurisdiction and/or venue in any court is intended or shall be construed to be in derogation of the provisions in any Loan Document for judicial reference of any of Dispute.</w:t>
      </w:r>
    </w:p>
    <w:p>
      <w:pPr>
        <w:spacing w:after="0" w:line="61"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32(e) If a Dispute includes multiple claims, some of which are found not subject to this Section 32, the Parties shall stay the proceedings of such Dispute or the part or parts thereof not subject to this Section 32 until all other Disputes or parts thereof are resolved in accordance with this Section 32. If there are Disputes by or against multiple parties, some of which are not subject to this Section 32, the Grantor and the Secured Party shall sever the Disputes subject to this Section 32 and resolve them in accordance with this Section 32. During the pendency of any Dispute that is submitted to judicial reference in accordance with this Agreement, each of the parties to such Dispute shall bear equal shares of the fees charged and costs incurred by the referee in performing the services described in this Section 32. The compensation of the referee shall not exceed the prevailing rate for like services. The prevailing party shall be entitled to reasonable court costs and legal fees, including customary attorney fees, expert witness fees, paralegal fees, the fees of the referee, a reimbursement of fees and costs paid during the pendency of a dispute in accordance with this Section 32(d), and other reasonable costs</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185" w:name="page186"/>
    <w:bookmarkEnd w:id="185"/>
    <w:p>
      <w:pPr>
        <w:ind w:left="240"/>
        <w:spacing w:after="0"/>
        <w:rPr>
          <w:sz w:val="20"/>
          <w:szCs w:val="20"/>
          <w:color w:val="auto"/>
        </w:rPr>
      </w:pPr>
      <w:r>
        <w:rPr>
          <w:rFonts w:ascii="Arial" w:cs="Arial" w:eastAsia="Arial" w:hAnsi="Arial"/>
          <w:sz w:val="18"/>
          <w:szCs w:val="18"/>
          <w:color w:val="auto"/>
        </w:rPr>
        <w:t>and disbursements charged to the party by its counsel, in such amount as the Referee determines.</w:t>
      </w:r>
    </w:p>
    <w:p>
      <w:pPr>
        <w:spacing w:after="0" w:line="117" w:lineRule="exact"/>
        <w:rPr>
          <w:sz w:val="20"/>
          <w:szCs w:val="20"/>
          <w:color w:val="auto"/>
        </w:rPr>
      </w:pPr>
    </w:p>
    <w:p>
      <w:pPr>
        <w:ind w:left="240" w:right="420" w:firstLine="225"/>
        <w:spacing w:after="0" w:line="308" w:lineRule="auto"/>
        <w:rPr>
          <w:sz w:val="20"/>
          <w:szCs w:val="20"/>
          <w:color w:val="auto"/>
        </w:rPr>
      </w:pPr>
      <w:r>
        <w:rPr>
          <w:rFonts w:ascii="Arial" w:cs="Arial" w:eastAsia="Arial" w:hAnsi="Arial"/>
          <w:sz w:val="17"/>
          <w:szCs w:val="17"/>
          <w:color w:val="auto"/>
        </w:rPr>
        <w:t>32(f) In the event of any challenge to the legality or enforceability of this Section 32, the prevailing party shall be entitled to recover the costs and expenses from the non-prevailing party, including reasonable attorneys’ fees, incurred by it in connection with such challenge.</w:t>
      </w:r>
    </w:p>
    <w:p>
      <w:pPr>
        <w:spacing w:after="0" w:line="38" w:lineRule="exact"/>
        <w:rPr>
          <w:sz w:val="20"/>
          <w:szCs w:val="20"/>
          <w:color w:val="auto"/>
        </w:rPr>
      </w:pPr>
    </w:p>
    <w:p>
      <w:pPr>
        <w:ind w:left="240" w:right="380" w:firstLine="225"/>
        <w:spacing w:after="0" w:line="277" w:lineRule="auto"/>
        <w:rPr>
          <w:sz w:val="20"/>
          <w:szCs w:val="20"/>
          <w:color w:val="auto"/>
        </w:rPr>
      </w:pPr>
      <w:r>
        <w:rPr>
          <w:rFonts w:ascii="Arial" w:cs="Arial" w:eastAsia="Arial" w:hAnsi="Arial"/>
          <w:sz w:val="18"/>
          <w:szCs w:val="18"/>
          <w:color w:val="auto"/>
        </w:rPr>
        <w:t>32(g) THIS SECTION 32 CONSTITUTES A “REFERENCE AGREEMENT” BETWEEN THE BORROWER AND THE BANK WITHIN THE MEANING OF AND FOR PURPOSES OF CALIFORNIA CODE OF CIVIL PROCEDURE SECTION 638.</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deemed an original, but all such counterparts together shall constitute but one and the same instrument.</w:t>
      </w:r>
    </w:p>
    <w:p>
      <w:pPr>
        <w:spacing w:after="0" w:line="6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General</w:t>
      </w:r>
      <w:r>
        <w:rPr>
          <w:rFonts w:ascii="Arial" w:cs="Arial" w:eastAsia="Arial" w:hAnsi="Arial"/>
          <w:sz w:val="18"/>
          <w:szCs w:val="18"/>
          <w:color w:val="auto"/>
        </w:rPr>
        <w:t>. All representations and warranties in this Agreement or in any other agreement between the Grantor and the Secured Party shall survive the execution, delivery and performance of this Agreement and the creation and payment of the Obligations. The Grantor waives notice of the acceptance of this Agreement by the Secured Party. Captions in this Agreement are for reference and convenience only and shall not affect the interpretation or meaning of any provision of this Agreement.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6" w:name="page187"/>
    <w:bookmarkEnd w:id="186"/>
    <w:p>
      <w:pPr>
        <w:ind w:firstLine="225"/>
        <w:spacing w:after="0" w:line="277" w:lineRule="auto"/>
        <w:rPr>
          <w:sz w:val="20"/>
          <w:szCs w:val="20"/>
          <w:color w:val="auto"/>
        </w:rPr>
      </w:pPr>
      <w:r>
        <w:rPr>
          <w:rFonts w:ascii="Arial" w:cs="Arial" w:eastAsia="Arial" w:hAnsi="Arial"/>
          <w:sz w:val="18"/>
          <w:szCs w:val="18"/>
          <w:color w:val="auto"/>
        </w:rPr>
        <w:t>IN WITNESS WHEREOF, the Grantor has caused this Security Agreement to be duly executed and delivered by its officer thereunto duly authorized as of the date first above written.</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UNIVERSAL ELECTRONICS INC.</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710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14605</wp:posOffset>
            </wp:positionV>
            <wp:extent cx="24612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Address for Grantor: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6101 Gateway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Cypress, CA 90630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(714) 820-1151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Grantor’s Tax ID # 2108379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for the Secured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4100 Newport Place, Suite 900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(949) 863-2335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Security Agreement</w:t>
      </w:r>
    </w:p>
    <w:p>
      <w:pPr>
        <w:sectPr>
          <w:pgSz w:w="11900" w:h="16838" w:orient="portrait"/>
          <w:cols w:equalWidth="0" w:num="1">
            <w:col w:w="11400"/>
          </w:cols>
          <w:pgMar w:left="240" w:top="936" w:right="25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CG Asia Limited (organized under the laws of the British Virgin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Limited (organized under the laws of 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C.G. Group (organized under the laws of the British Virgin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C.G. Technology Limited (organized under the laws of 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C.G. Timepiece Limited (organized under the laws of 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Enson Assets Limited (organized under the laws of the British Virgin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Limited (organized under the laws of 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(China) Co. Limited (organized under the laws of the People’s Republic of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Limited (organized under the laws of the People’s Republic of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Republic of Singapore)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UEI Hong Kong Holdings Co. Pte. Ltd. (organized under the laws of 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Ultra Control Consumer Electronics GmbH (organized under the laws of 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(Shenzhen) LLC (organized under the laws of the People’s Republic of China)</w:t>
      </w:r>
    </w:p>
    <w:p>
      <w:pPr>
        <w:sectPr>
          <w:pgSz w:w="11900" w:h="16838" w:orient="portrait"/>
          <w:cols w:equalWidth="0" w:num="1">
            <w:col w:w="11420"/>
          </w:cols>
          <w:pgMar w:left="240" w:top="12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issued our reports dated March 16, 2011, with respect to the consolidated financial statements and internal control over financial reporting included in the Annual Report of Universal Electronics Inc. on Form 10-K for the year ended December 31, 2010.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January 31, 2000; File No. 333-47378, effective October 5, 2000; File No. 333-103038, effective February 7, 2003, File No. 333-117782, effective July 30, 2004, and File No. 333-149926, effective March 27,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314"/>
        <w:spacing w:after="0" w:line="264"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314"/>
        <w:spacing w:after="0" w:line="264"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314"/>
        <w:spacing w:after="0" w:line="308" w:lineRule="auto"/>
        <w:tabs>
          <w:tab w:leader="none" w:pos="6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314"/>
        <w:spacing w:after="0" w:line="264"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314"/>
        <w:spacing w:after="0" w:line="277"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314"/>
        <w:spacing w:after="0" w:line="277"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314"/>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314"/>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314"/>
        <w:spacing w:after="0" w:line="308" w:lineRule="auto"/>
        <w:tabs>
          <w:tab w:leader="none" w:pos="6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314"/>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314"/>
        <w:spacing w:after="0" w:line="277"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314"/>
        <w:spacing w:after="0" w:line="277"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53"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62" w:lineRule="exact"/>
        <w:rPr>
          <w:sz w:val="20"/>
          <w:szCs w:val="20"/>
          <w:color w:val="auto"/>
        </w:rPr>
      </w:pPr>
    </w:p>
    <w:p>
      <w:pPr>
        <w:ind w:left="220" w:right="20"/>
        <w:spacing w:after="0" w:line="308" w:lineRule="auto"/>
        <w:rPr>
          <w:sz w:val="20"/>
          <w:szCs w:val="20"/>
          <w:color w:val="auto"/>
        </w:rPr>
      </w:pPr>
      <w:r>
        <w:rPr>
          <w:rFonts w:ascii="Arial" w:cs="Arial" w:eastAsia="Arial" w:hAnsi="Arial"/>
          <w:sz w:val="17"/>
          <w:szCs w:val="17"/>
          <w:color w:val="auto"/>
        </w:rPr>
        <w:t>(1)the Company’s Annual Report on Form 10-K for the fiscal year ended December 31, 2010 as filed with the Securities and Exchange Commission on the date hereof (the “Report”) fully complies with the requirements of Section 13(a) or 15(d) of the Securities Exchange Act of 1934; and</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553"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62" w:lineRule="exact"/>
        <w:rPr>
          <w:sz w:val="20"/>
          <w:szCs w:val="20"/>
          <w:color w:val="auto"/>
        </w:rPr>
      </w:pPr>
    </w:p>
    <w:p>
      <w:pPr>
        <w:ind w:left="340" w:right="120" w:hanging="332"/>
        <w:spacing w:after="0" w:line="308" w:lineRule="auto"/>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Company’s Annual Report on Form 10-K for the fiscal year ended December 31, 2010 as filed with the Securities and Exchange Commission on the date hereof (the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1)"/>
      <w:numFmt w:val="lowerRoman"/>
      <w:start w:val="5"/>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emdash "/>
      <w:numFmt w:val="bullet"/>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1."/>
      <w:numFmt w:val="lowerLetter"/>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decimal"/>
      <w:start w:val="4"/>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1)"/>
      <w:numFmt w:val="lowerLetter"/>
      <w:start w:val="1"/>
    </w:lvl>
    <w:lvl w:ilvl="1">
      <w:lvlJc w:val="left"/>
      <w:lvlText w:val="(%2)"/>
      <w:numFmt w:val="lowerRoman"/>
      <w:start w:val="1"/>
    </w:lvl>
  </w:abstractNum>
  <w:abstractNum w:abstractNumId="43">
    <w:nsid w:val="661E3F1E"/>
    <w:multiLevelType w:val="hybridMultilevel"/>
    <w:lvl w:ilvl="0">
      <w:lvlJc w:val="left"/>
      <w:lvlText w:val="(%1)"/>
      <w:numFmt w:val="lowerLetter"/>
      <w:start w:val="1"/>
    </w:lvl>
  </w:abstractNum>
  <w:abstractNum w:abstractNumId="44">
    <w:nsid w:val="5DC79EA8"/>
    <w:multiLevelType w:val="hybridMultilevel"/>
    <w:lvl w:ilvl="0">
      <w:lvlJc w:val="left"/>
      <w:lvlText w:val="(%1)"/>
      <w:numFmt w:val="lowerLetter"/>
      <w:start w:val="2"/>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lowerLetter"/>
      <w:start w:val="5"/>
    </w:lvl>
  </w:abstractNum>
  <w:abstractNum w:abstractNumId="48">
    <w:nsid w:val="613EFDC5"/>
    <w:multiLevelType w:val="hybridMultilevel"/>
    <w:lvl w:ilvl="0">
      <w:lvlJc w:val="left"/>
      <w:lvlText w:val="(%1)"/>
      <w:numFmt w:val="lowerLetter"/>
      <w:start w:val="1"/>
    </w:lvl>
    <w:lvl w:ilvl="1">
      <w:lvlJc w:val="left"/>
      <w:lvlText w:val="(%2)"/>
      <w:numFmt w:val="lowerRoman"/>
      <w:start w:val="1"/>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Letter"/>
      <w:start w:val="4"/>
    </w:lvl>
  </w:abstractNum>
  <w:abstractNum w:abstractNumId="53">
    <w:nsid w:val="8F2B15E"/>
    <w:multiLevelType w:val="hybridMultilevel"/>
    <w:lvl w:ilvl="0">
      <w:lvlJc w:val="left"/>
      <w:lvlText w:val="(%1)"/>
      <w:numFmt w:val="lowerLetter"/>
      <w:start w:val="1"/>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3"/>
    </w:lvl>
  </w:abstractNum>
  <w:abstractNum w:abstractNumId="57">
    <w:nsid w:val="4962813B"/>
    <w:multiLevelType w:val="hybridMultilevel"/>
    <w:lvl w:ilvl="0">
      <w:lvlJc w:val="left"/>
      <w:lvlText w:val="(%1)"/>
      <w:numFmt w:val="lowerLetter"/>
      <w:start w:val="1"/>
    </w:lvl>
    <w:lvl w:ilvl="1">
      <w:lvlJc w:val="left"/>
      <w:lvlText w:val="(%2)"/>
      <w:numFmt w:val="lowerRoman"/>
      <w:start w:val="1"/>
    </w:lvl>
  </w:abstractNum>
  <w:abstractNum w:abstractNumId="58">
    <w:nsid w:val="60B6DF70"/>
    <w:multiLevelType w:val="hybridMultilevel"/>
    <w:lvl w:ilvl="0">
      <w:lvlJc w:val="left"/>
      <w:lvlText w:val="(%1)"/>
      <w:numFmt w:val="lowerRoman"/>
      <w:start w:val="3"/>
    </w:lvl>
    <w:lvl w:ilvl="1">
      <w:lvlJc w:val="left"/>
      <w:lvlText w:val="(%2)"/>
      <w:numFmt w:val="upperLetter"/>
      <w:start w:val="1"/>
    </w:lvl>
    <w:lvl w:ilvl="2">
      <w:lvlJc w:val="left"/>
      <w:lvlText w:val="(%3)"/>
      <w:numFmt w:val="lowerLetter"/>
      <w:start w:val="1"/>
    </w:lvl>
  </w:abstractNum>
  <w:abstractNum w:abstractNumId="59">
    <w:nsid w:val="6A5EE64"/>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2"/>
    </w:lvl>
  </w:abstractNum>
  <w:abstractNum w:abstractNumId="60">
    <w:nsid w:val="14330624"/>
    <w:multiLevelType w:val="hybridMultilevel"/>
    <w:lvl w:ilvl="0">
      <w:lvlJc w:val="left"/>
      <w:lvlText w:val="(%1)"/>
      <w:numFmt w:val="lowerRoman"/>
      <w:start w:val="6"/>
    </w:lvl>
    <w:lvl w:ilvl="1">
      <w:lvlJc w:val="left"/>
      <w:lvlText w:val="(%2)"/>
      <w:numFmt w:val="upperLetter"/>
      <w:start w:val="1"/>
    </w:lvl>
    <w:lvl w:ilvl="2">
      <w:lvlJc w:val="left"/>
      <w:lvlText w:val="%3"/>
      <w:numFmt w:val="lowerLetter"/>
      <w:start w:val="1"/>
    </w:lvl>
  </w:abstractNum>
  <w:abstractNum w:abstractNumId="61">
    <w:nsid w:val="7FFFCA11"/>
    <w:multiLevelType w:val="hybridMultilevel"/>
    <w:lvl w:ilvl="0">
      <w:lvlJc w:val="left"/>
      <w:lvlText w:val="%1"/>
      <w:numFmt w:val="lowerLetter"/>
      <w:start w:val="1"/>
    </w:lvl>
    <w:lvl w:ilvl="1">
      <w:lvlJc w:val="left"/>
      <w:lvlText w:val="(%2)"/>
      <w:numFmt w:val="lowerRoman"/>
      <w:start w:val="11"/>
    </w:lvl>
  </w:abstractNum>
  <w:abstractNum w:abstractNumId="62">
    <w:nsid w:val="1A27709E"/>
    <w:multiLevelType w:val="hybridMultilevel"/>
    <w:lvl w:ilvl="0">
      <w:lvlJc w:val="left"/>
      <w:lvlText w:val="(%1)"/>
      <w:numFmt w:val="lowerLetter"/>
      <w:start w:val="2"/>
    </w:lvl>
    <w:lvl w:ilvl="1">
      <w:lvlJc w:val="left"/>
      <w:lvlText w:val="(%2)"/>
      <w:numFmt w:val="lowerRoman"/>
      <w:start w:val="1"/>
    </w:lvl>
  </w:abstractNum>
  <w:abstractNum w:abstractNumId="63">
    <w:nsid w:val="71EA1109"/>
    <w:multiLevelType w:val="hybridMultilevel"/>
    <w:lvl w:ilvl="0">
      <w:lvlJc w:val="left"/>
      <w:lvlText w:val="(%1)"/>
      <w:numFmt w:val="lowerLetter"/>
      <w:start w:val="6"/>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lowerLetter"/>
      <w:start w:val="1"/>
    </w:lvl>
  </w:abstractNum>
  <w:abstractNum w:abstractNumId="66">
    <w:nsid w:val="6EB5BD4"/>
    <w:multiLevelType w:val="hybridMultilevel"/>
    <w:lvl w:ilvl="0">
      <w:lvlJc w:val="left"/>
      <w:lvlText w:val="(%1)"/>
      <w:numFmt w:val="lowerLetter"/>
      <w:start w:val="2"/>
    </w:lvl>
  </w:abstractNum>
  <w:abstractNum w:abstractNumId="67">
    <w:nsid w:val="6F6DD9AC"/>
    <w:multiLevelType w:val="hybridMultilevel"/>
    <w:lvl w:ilvl="0">
      <w:lvlJc w:val="left"/>
      <w:lvlText w:val="%1"/>
      <w:numFmt w:val="lowerLetter"/>
      <w:start w:val="1"/>
    </w:lvl>
    <w:lvl w:ilvl="1">
      <w:lvlJc w:val="left"/>
      <w:lvlText w:val="(%2)"/>
      <w:numFmt w:val="lowerLetter"/>
      <w:start w:val="1"/>
    </w:lvl>
  </w:abstractNum>
  <w:abstractNum w:abstractNumId="68">
    <w:nsid w:val="94211F2"/>
    <w:multiLevelType w:val="hybridMultilevel"/>
    <w:lvl w:ilvl="0">
      <w:lvlJc w:val="left"/>
      <w:lvlText w:val="(%1)"/>
      <w:numFmt w:val="lowerLetter"/>
      <w:start w:val="35"/>
    </w:lvl>
    <w:lvl w:ilvl="1">
      <w:lvlJc w:val="left"/>
      <w:lvlText w:val="(%2)"/>
      <w:numFmt w:val="lowerLetter"/>
      <w:start w:val="2"/>
    </w:lvl>
  </w:abstractNum>
  <w:abstractNum w:abstractNumId="69">
    <w:nsid w:val="885E1B"/>
    <w:multiLevelType w:val="hybridMultilevel"/>
    <w:lvl w:ilvl="0">
      <w:lvlJc w:val="left"/>
      <w:lvlText w:val="(%1)"/>
      <w:numFmt w:val="lowerLetter"/>
      <w:start w:val="4"/>
    </w:lvl>
  </w:abstractNum>
  <w:abstractNum w:abstractNumId="70">
    <w:nsid w:val="76272110"/>
    <w:multiLevelType w:val="hybridMultilevel"/>
    <w:lvl w:ilvl="0">
      <w:lvlJc w:val="left"/>
      <w:lvlText w:val="(%1)"/>
      <w:numFmt w:val="lowerLetter"/>
      <w:start w:val="11"/>
    </w:lvl>
  </w:abstractNum>
  <w:abstractNum w:abstractNumId="71">
    <w:nsid w:val="4C04A8AF"/>
    <w:multiLevelType w:val="hybridMultilevel"/>
    <w:lvl w:ilvl="0">
      <w:lvlJc w:val="left"/>
      <w:lvlText w:val="(%1)"/>
      <w:numFmt w:val="lowerLetter"/>
      <w:start w:val="1"/>
    </w:lvl>
  </w:abstractNum>
  <w:abstractNum w:abstractNumId="72">
    <w:nsid w:val="1716703B"/>
    <w:multiLevelType w:val="hybridMultilevel"/>
    <w:lvl w:ilvl="0">
      <w:lvlJc w:val="left"/>
      <w:lvlText w:val="(%1)"/>
      <w:numFmt w:val="lowerLetter"/>
      <w:start w:val="2"/>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4"/>
    </w:lvl>
  </w:abstractNum>
  <w:abstractNum w:abstractNumId="75">
    <w:nsid w:val="74DE0EE3"/>
    <w:multiLevelType w:val="hybridMultilevel"/>
    <w:lvl w:ilvl="0">
      <w:lvlJc w:val="left"/>
      <w:lvlText w:val="(%1)"/>
      <w:numFmt w:val="lowerLetter"/>
      <w:start w:val="1"/>
    </w:lvl>
  </w:abstractNum>
  <w:abstractNum w:abstractNumId="76">
    <w:nsid w:val="68EBC550"/>
    <w:multiLevelType w:val="hybridMultilevel"/>
    <w:lvl w:ilvl="0">
      <w:lvlJc w:val="left"/>
      <w:lvlText w:val="(%1)"/>
      <w:numFmt w:val="lowerLetter"/>
      <w:start w:val="5"/>
    </w:lvl>
  </w:abstractNum>
  <w:abstractNum w:abstractNumId="77">
    <w:nsid w:val="2DF6D648"/>
    <w:multiLevelType w:val="hybridMultilevel"/>
    <w:lvl w:ilvl="0">
      <w:lvlJc w:val="left"/>
      <w:lvlText w:val="%1"/>
      <w:numFmt w:val="lowerLetter"/>
      <w:start w:val="1"/>
    </w:lvl>
    <w:lvl w:ilvl="1">
      <w:lvlJc w:val="left"/>
      <w:lvlText w:val="(%2)"/>
      <w:numFmt w:val="lowerLetter"/>
      <w:start w:val="1"/>
    </w:lvl>
  </w:abstractNum>
  <w:abstractNum w:abstractNumId="78">
    <w:nsid w:val="46B7D447"/>
    <w:multiLevelType w:val="hybridMultilevel"/>
    <w:lvl w:ilvl="0">
      <w:lvlJc w:val="left"/>
      <w:lvlText w:val="(%1)"/>
      <w:numFmt w:val="lowerLetter"/>
      <w:start w:val="9"/>
    </w:lvl>
    <w:lvl w:ilvl="1">
      <w:lvlJc w:val="left"/>
      <w:lvlText w:val="(%2)"/>
      <w:numFmt w:val="lowerLetter"/>
      <w:start w:val="8"/>
    </w:lvl>
  </w:abstractNum>
  <w:abstractNum w:abstractNumId="79">
    <w:nsid w:val="4A2AC315"/>
    <w:multiLevelType w:val="hybridMultilevel"/>
    <w:lvl w:ilvl="0">
      <w:lvlJc w:val="left"/>
      <w:lvlText w:val="(%1)"/>
      <w:numFmt w:val="lowerLetter"/>
      <w:start w:val="1"/>
    </w:lvl>
  </w:abstractNum>
  <w:abstractNum w:abstractNumId="80">
    <w:nsid w:val="39EE015C"/>
    <w:multiLevelType w:val="hybridMultilevel"/>
    <w:lvl w:ilvl="0">
      <w:lvlJc w:val="left"/>
      <w:lvlText w:val="%1"/>
      <w:numFmt w:val="lowerLetter"/>
      <w:start w:val="1"/>
    </w:lvl>
    <w:lvl w:ilvl="1">
      <w:lvlJc w:val="left"/>
      <w:lvlText w:val="(%2)"/>
      <w:numFmt w:val="lowerLetter"/>
      <w:start w:val="2"/>
    </w:lvl>
  </w:abstractNum>
  <w:abstractNum w:abstractNumId="81">
    <w:nsid w:val="57FC4FBB"/>
    <w:multiLevelType w:val="hybridMultilevel"/>
    <w:lvl w:ilvl="0">
      <w:lvlJc w:val="left"/>
      <w:lvlText w:val="(%1)"/>
      <w:numFmt w:val="lowerLetter"/>
      <w:start w:val="35"/>
    </w:lvl>
    <w:lvl w:ilvl="1">
      <w:lvlJc w:val="left"/>
      <w:lvlText w:val="(%2)"/>
      <w:numFmt w:val="lowerLetter"/>
      <w:start w:val="7"/>
    </w:lvl>
  </w:abstractNum>
  <w:abstractNum w:abstractNumId="82">
    <w:nsid w:val="CC1016F"/>
    <w:multiLevelType w:val="hybridMultilevel"/>
    <w:lvl w:ilvl="0">
      <w:lvlJc w:val="left"/>
      <w:lvlText w:val="(%1)"/>
      <w:numFmt w:val="lowerLetter"/>
      <w:start w:val="10"/>
    </w:lvl>
  </w:abstractNum>
  <w:abstractNum w:abstractNumId="83">
    <w:nsid w:val="43F18422"/>
    <w:multiLevelType w:val="hybridMultilevel"/>
    <w:lvl w:ilvl="0">
      <w:lvlJc w:val="left"/>
      <w:lvlText w:val="%1"/>
      <w:numFmt w:val="lowerLetter"/>
      <w:start w:val="1"/>
    </w:lvl>
    <w:lvl w:ilvl="1">
      <w:lvlJc w:val="left"/>
      <w:lvlText w:val="(%2)"/>
      <w:numFmt w:val="lowerLetter"/>
      <w:start w:val="1"/>
    </w:lvl>
  </w:abstractNum>
  <w:abstractNum w:abstractNumId="84">
    <w:nsid w:val="60EF0119"/>
    <w:multiLevelType w:val="hybridMultilevel"/>
    <w:lvl w:ilvl="0">
      <w:lvlJc w:val="left"/>
      <w:lvlText w:val="(%1)"/>
      <w:numFmt w:val="lowerLetter"/>
      <w:start w:val="9"/>
    </w:lvl>
    <w:lvl w:ilvl="1">
      <w:lvlJc w:val="left"/>
      <w:lvlText w:val="(%2)"/>
      <w:numFmt w:val="lowerLetter"/>
      <w:start w:val="3"/>
    </w:lvl>
  </w:abstractNum>
  <w:abstractNum w:abstractNumId="85">
    <w:nsid w:val="26F324BA"/>
    <w:multiLevelType w:val="hybridMultilevel"/>
    <w:lvl w:ilvl="0">
      <w:lvlJc w:val="left"/>
      <w:lvlText w:val="(%1)"/>
      <w:numFmt w:val="lowerLetter"/>
      <w:start w:val="4"/>
    </w:lvl>
  </w:abstractNum>
  <w:abstractNum w:abstractNumId="86">
    <w:nsid w:val="7F01579B"/>
    <w:multiLevelType w:val="hybridMultilevel"/>
    <w:lvl w:ilvl="0">
      <w:lvlJc w:val="left"/>
      <w:lvlText w:val="(%1)"/>
      <w:numFmt w:val="lowerLetter"/>
      <w:start w:val="1"/>
    </w:lvl>
  </w:abstractNum>
  <w:abstractNum w:abstractNumId="87">
    <w:nsid w:val="49DA307D"/>
    <w:multiLevelType w:val="hybridMultilevel"/>
    <w:lvl w:ilvl="0">
      <w:lvlJc w:val="left"/>
      <w:lvlText w:val="%1"/>
      <w:numFmt w:val="lowerLetter"/>
      <w:start w:val="1"/>
    </w:lvl>
    <w:lvl w:ilvl="1">
      <w:lvlJc w:val="left"/>
      <w:lvlText w:val="(%2)"/>
      <w:numFmt w:val="lowerLetter"/>
      <w:start w:val="3"/>
    </w:lvl>
  </w:abstractNum>
  <w:abstractNum w:abstractNumId="88">
    <w:nsid w:val="7055A5F5"/>
    <w:multiLevelType w:val="hybridMultilevel"/>
    <w:lvl w:ilvl="0">
      <w:lvlJc w:val="left"/>
      <w:lvlText w:val="(%1)"/>
      <w:numFmt w:val="lowerLetter"/>
      <w:start w:val="61"/>
    </w:lvl>
    <w:lvl w:ilvl="1">
      <w:lvlJc w:val="left"/>
      <w:lvlText w:val="(%2)"/>
      <w:numFmt w:val="lowerLetter"/>
      <w:start w:val="5"/>
    </w:lvl>
  </w:abstractNum>
  <w:abstractNum w:abstractNumId="89">
    <w:nsid w:val="5FB8370B"/>
    <w:multiLevelType w:val="hybridMultilevel"/>
    <w:lvl w:ilvl="0">
      <w:lvlJc w:val="left"/>
      <w:lvlText w:val="(%1)"/>
      <w:numFmt w:val="lowerLetter"/>
      <w:start w:val="7"/>
    </w:lvl>
  </w:abstractNum>
  <w:abstractNum w:abstractNumId="90">
    <w:nsid w:val="50801EE1"/>
    <w:multiLevelType w:val="hybridMultilevel"/>
    <w:lvl w:ilvl="0">
      <w:lvlJc w:val="left"/>
      <w:lvlText w:val="(%1)"/>
      <w:numFmt w:val="lowerLetter"/>
      <w:start w:val="1"/>
    </w:lvl>
  </w:abstractNum>
  <w:abstractNum w:abstractNumId="91">
    <w:nsid w:val="488AC1A"/>
    <w:multiLevelType w:val="hybridMultilevel"/>
    <w:lvl w:ilvl="0">
      <w:lvlJc w:val="left"/>
      <w:lvlText w:val="(%1)"/>
      <w:numFmt w:val="lowerRoman"/>
      <w:start w:val="1"/>
    </w:lvl>
  </w:abstractNum>
  <w:abstractNum w:abstractNumId="92">
    <w:nsid w:val="5FB8011C"/>
    <w:multiLevelType w:val="hybridMultilevel"/>
    <w:lvl w:ilvl="0">
      <w:lvlJc w:val="left"/>
      <w:lvlText w:val="(%1)"/>
      <w:numFmt w:val="lowerRoman"/>
      <w:start w:val="2"/>
    </w:lvl>
  </w:abstractNum>
  <w:abstractNum w:abstractNumId="93">
    <w:nsid w:val="6AA78F7F"/>
    <w:multiLevelType w:val="hybridMultilevel"/>
    <w:lvl w:ilvl="0">
      <w:lvlJc w:val="left"/>
      <w:lvlText w:val="(%1)"/>
      <w:numFmt w:val="lowerRoman"/>
      <w:start w:val="1"/>
    </w:lvl>
    <w:lvl w:ilvl="1">
      <w:lvlJc w:val="left"/>
      <w:lvlText w:val="%2."/>
      <w:numFmt w:val="lowerRoman"/>
      <w:start w:val="1"/>
    </w:lvl>
  </w:abstractNum>
  <w:abstractNum w:abstractNumId="94">
    <w:nsid w:val="7672BD23"/>
    <w:multiLevelType w:val="hybridMultilevel"/>
    <w:lvl w:ilvl="0">
      <w:lvlJc w:val="left"/>
      <w:lvlText w:val="(%1)"/>
      <w:numFmt w:val="lowerRoman"/>
      <w:start w:val="2"/>
    </w:lvl>
  </w:abstractNum>
  <w:abstractNum w:abstractNumId="95">
    <w:nsid w:val="6FC75AF8"/>
    <w:multiLevelType w:val="hybridMultilevel"/>
    <w:lvl w:ilvl="0">
      <w:lvlJc w:val="left"/>
      <w:lvlText w:val="(%1)"/>
      <w:numFmt w:val="lowerRoman"/>
      <w:start w:val="7"/>
    </w:lvl>
  </w:abstractNum>
  <w:abstractNum w:abstractNumId="96">
    <w:nsid w:val="6A5F7029"/>
    <w:multiLevelType w:val="hybridMultilevel"/>
    <w:lvl w:ilvl="0">
      <w:lvlJc w:val="left"/>
      <w:lvlText w:val="(%1)"/>
      <w:numFmt w:val="lowerRoman"/>
      <w:start w:val="1"/>
    </w:lvl>
  </w:abstractNum>
  <w:abstractNum w:abstractNumId="97">
    <w:nsid w:val="7D5E18F8"/>
    <w:multiLevelType w:val="hybridMultilevel"/>
    <w:lvl w:ilvl="0">
      <w:lvlJc w:val="left"/>
      <w:lvlText w:val="(%1)"/>
      <w:numFmt w:val="lowerRoman"/>
      <w:start w:val="1"/>
    </w:lvl>
  </w:abstractNum>
  <w:abstractNum w:abstractNumId="98">
    <w:nsid w:val="5F3534A4"/>
    <w:multiLevelType w:val="hybridMultilevel"/>
    <w:lvl w:ilvl="0">
      <w:lvlJc w:val="left"/>
      <w:lvlText w:val="(%1)"/>
      <w:numFmt w:val="lowerLetter"/>
      <w:start w:val="2"/>
    </w:lvl>
  </w:abstractNum>
  <w:abstractNum w:abstractNumId="99">
    <w:nsid w:val="73A1821B"/>
    <w:multiLevelType w:val="hybridMultilevel"/>
    <w:lvl w:ilvl="0">
      <w:lvlJc w:val="left"/>
      <w:lvlText w:val="(%1)"/>
      <w:numFmt w:val="lowerRoman"/>
      <w:start w:val="4"/>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2019-12-10T04:29:44Z</dcterms:created>
  <dcterms:modified xsi:type="dcterms:W3CDTF">2019-12-10T04:29:44Z</dcterms:modified>
</cp:coreProperties>
</file>