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spacing w:after="0"/>
              <w:rPr>
                <w:sz w:val="24"/>
                <w:szCs w:val="24"/>
                <w:color w:val="auto"/>
              </w:rPr>
            </w:pP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4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60" w:space="720"/>
            <w:col w:w="3340" w:space="460"/>
            <w:col w:w="2240"/>
          </w:cols>
          <w:pgMar w:left="240" w:top="122" w:right="2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13,382,147 shares of Common Stock, par value $0.01 per share, of the registrant were outstanding on November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60" w:type="dxa"/>
            <w:vAlign w:val="bottom"/>
            <w:gridSpan w:val="4"/>
          </w:tcPr>
          <w:p>
            <w:pPr>
              <w:jc w:val="center"/>
              <w:ind w:right="3180"/>
              <w:spacing w:after="0"/>
              <w:rPr>
                <w:sz w:val="20"/>
                <w:szCs w:val="20"/>
                <w:color w:val="auto"/>
              </w:rPr>
            </w:pPr>
            <w:r>
              <w:rPr>
                <w:rFonts w:ascii="Arial" w:cs="Arial" w:eastAsia="Arial" w:hAnsi="Arial"/>
                <w:sz w:val="18"/>
                <w:szCs w:val="18"/>
                <w:b w:val="1"/>
                <w:bCs w:val="1"/>
                <w:color w:val="auto"/>
              </w:rPr>
              <w:t>UNIVERSAL ELECTRONICS INC.</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2"/>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40" w:type="dxa"/>
            <w:vAlign w:val="bottom"/>
            <w:gridSpan w:val="7"/>
            <w:vMerge w:val="restart"/>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1"/>
            <w:vMerge w:val="continue"/>
          </w:tcPr>
          <w:p>
            <w:pPr>
              <w:spacing w:after="0"/>
              <w:rPr>
                <w:sz w:val="14"/>
                <w:szCs w:val="14"/>
                <w:color w:val="auto"/>
              </w:rPr>
            </w:pPr>
          </w:p>
        </w:tc>
        <w:tc>
          <w:tcPr>
            <w:tcW w:w="7740" w:type="dxa"/>
            <w:vAlign w:val="bottom"/>
            <w:gridSpan w:val="7"/>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660" w:type="dxa"/>
            <w:vAlign w:val="bottom"/>
            <w:gridSpan w:val="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Consolidated Financial Statements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2. Management’s Discussion and Analysis of Financial Condition and Results of Operations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6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4.</w:t>
              </w:r>
            </w:hyperlink>
          </w:p>
        </w:tc>
        <w:tc>
          <w:tcPr>
            <w:tcW w:w="18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Controls and Procedures</w:t>
              </w:r>
            </w:hyperlink>
          </w:p>
        </w:tc>
        <w:tc>
          <w:tcPr>
            <w:tcW w:w="8300" w:type="dxa"/>
            <w:vAlign w:val="bottom"/>
            <w:gridSpan w:val="9"/>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PART II. OTHER INFORMATION</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8060" w:type="dxa"/>
            <w:vAlign w:val="bottom"/>
            <w:gridSpan w:val="8"/>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1A. Risk Factors</w:t>
              </w:r>
            </w:hyperlink>
          </w:p>
        </w:tc>
        <w:tc>
          <w:tcPr>
            <w:tcW w:w="9040" w:type="dxa"/>
            <w:vAlign w:val="bottom"/>
            <w:gridSpan w:val="1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2.</w:t>
              </w:r>
            </w:hyperlink>
          </w:p>
        </w:tc>
        <w:tc>
          <w:tcPr>
            <w:tcW w:w="43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Unregistered Sales of Equity Securities and Use of Proceeds</w:t>
              </w:r>
            </w:hyperlink>
          </w:p>
        </w:tc>
        <w:tc>
          <w:tcPr>
            <w:tcW w:w="5720" w:type="dxa"/>
            <w:vAlign w:val="bottom"/>
            <w:gridSpan w:val="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6.</w:t>
              </w:r>
            </w:hyperlink>
          </w:p>
        </w:tc>
        <w:tc>
          <w:tcPr>
            <w:tcW w:w="10100" w:type="dxa"/>
            <w:vAlign w:val="bottom"/>
            <w:gridSpan w:val="16"/>
          </w:tcPr>
          <w:p>
            <w:pPr>
              <w:ind w:left="2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Signature</w:t>
              </w:r>
            </w:hyperlink>
          </w:p>
        </w:tc>
        <w:tc>
          <w:tcPr>
            <w:tcW w:w="460" w:type="dxa"/>
            <w:vAlign w:val="bottom"/>
            <w:tcBorders>
              <w:top w:val="single" w:sz="8" w:color="0000EE"/>
            </w:tcBorders>
            <w:gridSpan w:val="2"/>
          </w:tcPr>
          <w:p>
            <w:pPr>
              <w:spacing w:after="0"/>
              <w:rPr>
                <w:sz w:val="17"/>
                <w:szCs w:val="17"/>
                <w:color w:val="auto"/>
              </w:rPr>
            </w:pPr>
          </w:p>
        </w:tc>
        <w:tc>
          <w:tcPr>
            <w:tcW w:w="9480" w:type="dxa"/>
            <w:vAlign w:val="bottom"/>
            <w:gridSpan w:val="1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Exhibit Index</w:t>
              </w:r>
            </w:hyperlink>
          </w:p>
        </w:tc>
        <w:tc>
          <w:tcPr>
            <w:tcW w:w="9640" w:type="dxa"/>
            <w:vAlign w:val="bottom"/>
            <w:gridSpan w:val="1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23,447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49,536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57,990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44,615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Income tax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180,600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10,913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13,609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225,055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30,969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6,692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5,650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49,399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50,984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63,577</w:t>
            </w:r>
          </w:p>
        </w:tc>
        <w:tc>
          <w:tcPr>
            <w:tcW w:w="0" w:type="dxa"/>
            <w:vAlign w:val="bottom"/>
          </w:tcPr>
          <w:p>
            <w:pPr>
              <w:spacing w:after="0"/>
              <w:rPr>
                <w:sz w:val="1"/>
                <w:szCs w:val="1"/>
                <w:color w:val="auto"/>
              </w:rPr>
            </w:pPr>
          </w:p>
        </w:tc>
      </w:tr>
      <w:tr>
        <w:trPr>
          <w:trHeight w:val="439"/>
        </w:trPr>
        <w:tc>
          <w:tcPr>
            <w:tcW w:w="89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$0.01 par value, 50,000,000 shares authorized; 19,270,607 and 19,140,232 shares issued 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September 30, 2010 and December 31, 2009,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133,078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128,913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130,304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263,407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249,556</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Less cost of common stock in treasury, 5,921,136 and 5,449,962 shares on September 30, 2010 and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December 31, 2009, respectively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(89,336)</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174,071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225,055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79,007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83,182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229,275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53,289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57,112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154,068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159,609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25,718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26,070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75,207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73,002</w:t>
            </w: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2,687</w:t>
            </w: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7,944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16,465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17,175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50,694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52,724</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6,566</w:t>
            </w: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16,569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6,605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(1,903)</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(5,415)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13,417</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13,687</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13,572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13,671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14,008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11,315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4,660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doubtful accounts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Provision for inventory write-downs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Tax benefit from exercise of stock options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 from stock-based compensation</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Shares issued for employee benefit plan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(6,069)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(8,229)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income taxes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10,631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(49,125)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Acquisition of intangible assets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assets from Zilog, Inc.</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(5,800)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(63,757)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purchased</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financing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(953)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(45,139)</w:t>
            </w:r>
          </w:p>
        </w:tc>
        <w:tc>
          <w:tcPr>
            <w:tcW w:w="0" w:type="dxa"/>
            <w:vAlign w:val="bottom"/>
          </w:tcPr>
          <w:p>
            <w:pPr>
              <w:spacing w:after="0"/>
              <w:rPr>
                <w:sz w:val="1"/>
                <w:szCs w:val="1"/>
                <w:color w:val="auto"/>
              </w:rPr>
            </w:pPr>
          </w:p>
        </w:tc>
      </w:tr>
      <w:tr>
        <w:trPr>
          <w:trHeight w:val="432"/>
        </w:trPr>
        <w:tc>
          <w:tcPr>
            <w:tcW w:w="77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29,016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75,238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23,447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Supplemental Cash Flow Information — </w:t>
      </w:r>
      <w:r>
        <w:rPr>
          <w:rFonts w:ascii="Arial" w:cs="Arial" w:eastAsia="Arial" w:hAnsi="Arial"/>
          <w:sz w:val="18"/>
          <w:szCs w:val="18"/>
          <w:i w:val="1"/>
          <w:iCs w:val="1"/>
          <w:color w:val="auto"/>
        </w:rPr>
        <w:t>We had net income tax payments of $8.9 million and $5.3 million during the nine months ended September 30, 2010</w:t>
      </w:r>
      <w:r>
        <w:rPr>
          <w:rFonts w:ascii="Arial" w:cs="Arial" w:eastAsia="Arial" w:hAnsi="Arial"/>
          <w:sz w:val="18"/>
          <w:szCs w:val="18"/>
          <w:color w:val="auto"/>
        </w:rPr>
        <w:t xml:space="preserve"> and </w:t>
      </w:r>
      <w:r>
        <w:rPr>
          <w:rFonts w:ascii="Arial" w:cs="Arial" w:eastAsia="Arial" w:hAnsi="Arial"/>
          <w:sz w:val="18"/>
          <w:szCs w:val="18"/>
          <w:i w:val="1"/>
          <w:iCs w:val="1"/>
          <w:color w:val="auto"/>
        </w:rPr>
        <w:t>2009,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prior-year amounts in order to conform to the current-year presentation.</w:t>
      </w:r>
    </w:p>
    <w:p>
      <w:pPr>
        <w:ind w:right="120"/>
        <w:spacing w:after="0" w:line="254" w:lineRule="auto"/>
        <w:rPr>
          <w:sz w:val="20"/>
          <w:szCs w:val="20"/>
          <w:color w:val="auto"/>
        </w:rPr>
      </w:pPr>
      <w:r>
        <w:rPr>
          <w:rFonts w:ascii="Arial" w:cs="Arial" w:eastAsia="Arial" w:hAnsi="Arial"/>
          <w:sz w:val="18"/>
          <w:szCs w:val="18"/>
          <w:color w:val="auto"/>
        </w:rPr>
        <w:t>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8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results of operations for the three and nine months ended September 30, 2010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“Financial Statements and Supplementary Data” and notes thereto included in Items 1A, 7, 7A, and 8, respectively, of our Annual Report on Form 10-K for the fiscal year ended December 31, 2009.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 for sales returns and doubtful accounts, warranties, inventory valuation, business combination purchase price allocations,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2009 for a summary of our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disclosure on accounting pronouncements includes those that may apply to the historical financial statements.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October 2009, the Financial Accounting Standards Board (“FASB”) issued Accounting Standards Update (“ASU”) No. 2009-14 to address accounting for arrangements that contain tangible products and software. The amendments in this update clarify what guidance should be utilized in allocating and measuring revenue for products that contain software that is “more than incidental” to the product as a whole. Currently, products that contain software that is “more than incidental” to the product as a whole are within the scope of software accounting guidance. Software accounting guidance requires a vendor to use vendor-specific objective evidence (“VSOE”) of selling price to separate the software from the product and account for the two elements as a multiple-element arrangement. A vendor must sell, or intend to sell, a particular element separately to assert VSOE for that element. Third-party evidence for selling price is not allowed under the software accounting model. If a vendor does not have VSOE for the undelivered elements in the arrangement, the revenue associated with both the delivered and undelivered elements is combined into one unit of accounting. Any revenue attributable to the delivered elements is then deferred and recognized at a later date, which in many cases is as the undelivered elements are delivered by the vendor. This ASU addresses concerns that the current accounting model may not appropriately reflect the economics of the underlying transactions because no revenue is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recognized for some products for which the vendor has already completed the related performance. In addition, this ASU addresses the concern that more software enabled products fall within the scope of the current software accounting model than was originally intended because of ongoing technical advancements. The amendments in the update are effective prospectively for revenue arrangements entered into or materially modified in fiscal years beginning on or after June 15, 2010. Early adoption is permitted, however, if early adoption is elected, we would be required to apply the amendments retrospectively from the beginning of the fiscal year of adoption and make specific disclosures. We have not yet adopted this ASU, and we are currently evaluating the impact it may have on our consolidated financial statements.</w:t>
      </w:r>
    </w:p>
    <w:p>
      <w:pPr>
        <w:spacing w:after="0" w:line="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October 2009, the FASB issued ASU No. 2009-13 to address the accounting for multiple-deliverable arrangements to enable vendors to account for products or services (deliverables) separately rather than as a combined accounting unit. Current accounting guidance requires a vendor to use VSOE or third-party evidence (“TPE”) of selling price to separate deliverables in a multiple-deliverable arrangement. VSOE of selling price is the price charged for a deliverable when it is sold separately or, for a deliverable not yet being sold separately, the price established by management with the appropriate authority. If a vendor does not have VSOE for the undelivered elements in the arrangement, the revenue associated with both the delivered and undelivered elements is combined into one unit of accounting. Any revenue attributable to the delivered products is then deferred and recognized at a later date, which in many cases is as the undelivered elements are delivered by the vendor. An exception to this guidance exists if the vendor has VSOE or TPE of selling price for the undelivered elements in the arrangement but not for the delivered elements. In those situations, the vendor uses the residual value method to allocate revenue to the delivered element, which results in the allocation of the entire discount in the arrangement, if any, to the delivered element. This ASU addresses concerns that the current accounting model may not appropriately reflect the economics of the underlying transactions because sometimes no revenue is recognized for products for which the vendor has already completed the related performance. As a result of this amendment, multiple element arrangements will be separated into multiple units of accounting in more circumstances than under the existing accounting model. This amendment establishes a selling price hierarchy for determining the selling price of a deliverable. The selling price utilized for each deliverable will be based on VSOE if available, TPE if VSOE is not available, or estimated selling price if neither VSOE or TPE evidence is available. The residual method is eliminated. The amendments in the update are effective prospectively for revenue arrangements entered into or materially modified in fiscal years beginning on or after June 15, 2010. Early adoption is permitted, however, if early adoption is elected, we would be required to apply the amendments retrospectively from the beginning of the fiscal year of adoption and make specific disclosures. We have not yet adopted this ASU, and we are currently evaluating the impact it may have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January 2010, the FASB issued ASU No. 2010-6 to improve the disclosure and transparency of fair value measurements. These amendments clarify the level of disaggregation required, and the necessary disclosures about the valuation techniques and inputs used to measure fair value for both recurring and nonrecurring fair value measurements. The amendments in the update are effective prospectively for interim and annual periods beginning on or after December 15, 2009, except for the separate disclosures about purchases, sales, issuances, and settlements relating to Level 3 measurements, which are effective for fiscal years beginning on or after December 15, 2010, and for interim periods within those fiscal years. Early adoption is permitted. We adopted this ASU beginning January 1, 2010. This adoption did not have a material effect on our consolidated results of operations and financial condition.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Term Deposit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cash, cash equivalents, and term deposit that were accounted for at fair value on a recurring basis on September 30, 2010 were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2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320" w:type="dxa"/>
            <w:vAlign w:val="bottom"/>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20" w:type="dxa"/>
            <w:vAlign w:val="bottom"/>
          </w:tcPr>
          <w:p>
            <w:pPr>
              <w:spacing w:after="0"/>
              <w:rPr>
                <w:sz w:val="12"/>
                <w:szCs w:val="12"/>
                <w:color w:val="auto"/>
              </w:rPr>
            </w:pPr>
          </w:p>
        </w:tc>
        <w:tc>
          <w:tcPr>
            <w:tcW w:w="12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3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2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8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91"/>
              </w:rPr>
              <w:t>September 30, 2010</w:t>
            </w:r>
          </w:p>
        </w:tc>
        <w:tc>
          <w:tcPr>
            <w:tcW w:w="120" w:type="dxa"/>
            <w:vAlign w:val="bottom"/>
          </w:tcPr>
          <w:p>
            <w:pPr>
              <w:spacing w:after="0"/>
              <w:rPr>
                <w:sz w:val="12"/>
                <w:szCs w:val="12"/>
                <w:color w:val="auto"/>
              </w:rPr>
            </w:pPr>
          </w:p>
        </w:tc>
        <w:tc>
          <w:tcPr>
            <w:tcW w:w="15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Asset</w:t>
            </w:r>
          </w:p>
        </w:tc>
        <w:tc>
          <w:tcPr>
            <w:tcW w:w="120" w:type="dxa"/>
            <w:vAlign w:val="bottom"/>
          </w:tcPr>
          <w:p>
            <w:pPr>
              <w:spacing w:after="0"/>
              <w:rPr>
                <w:sz w:val="12"/>
                <w:szCs w:val="12"/>
                <w:color w:val="auto"/>
              </w:rPr>
            </w:pPr>
          </w:p>
        </w:tc>
        <w:tc>
          <w:tcPr>
            <w:tcW w:w="12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(Level 1)</w:t>
            </w:r>
          </w:p>
        </w:tc>
        <w:tc>
          <w:tcPr>
            <w:tcW w:w="13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Term deposit</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49,536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49,536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September 30, 2010, we had approximately $6.7 million, $10.4 million, $3.2 million, and $3.1 million of cash and cash equivalents in the United States, Europe, Asia and Cayman Islands, respectively. On December 31, 2009, we had approximately $9.3 million, $14.2 million, $2.4 million and $3.1 million of cash and cash equivalents in the United States, Europe, Asia and Cayman Islands, respectively.</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2, 2010, we entered into a six-month term deposit cash account at Wells Fargo Bank denominated in Hong Kong dollars. The deposit amount related to this account was $49.5 million, and was earning interest at an annual rate of 0.5%. The term was set to end on December 30, 2010. On October 28, 2010, we elected to liquidate this term deposit account to assist us with the funding of our acquisition of Enson Assets Limited. See Note 18 for further information regarding this acquisition.</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On December 31, 2009, we had a six-month term deposit cash account at Wells Fargo Bank denominated in Hong Kong dollars. The term began on July 21, 2009 and ended on January 21, 2010. The term deposit earned interest at an annual rate of 0.57%. The deposit amount and interest receivable related to this account as of December 31, 2009 were $49.2 million and $0.1 million, respectively.</w:t>
      </w:r>
    </w:p>
    <w:p>
      <w:pPr>
        <w:spacing w:after="0" w:line="7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Cash, Cash Equivalents, and Term Deposit</w:t>
      </w:r>
      <w:r>
        <w:rPr>
          <w:rFonts w:ascii="Arial" w:cs="Arial" w:eastAsia="Arial" w:hAnsi="Arial"/>
          <w:sz w:val="18"/>
          <w:szCs w:val="18"/>
          <w:color w:val="auto"/>
        </w:rPr>
        <w:t xml:space="preserve"> in our Annual Report on Form 10-K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 Net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on September 30, 2010 and December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Trade receivables, gross </w:t>
            </w:r>
            <w:r>
              <w:rPr>
                <w:rFonts w:ascii="Arial" w:cs="Arial" w:eastAsia="Arial" w:hAnsi="Arial"/>
                <w:sz w:val="15"/>
                <w:szCs w:val="15"/>
                <w:color w:val="auto"/>
              </w:rPr>
              <w:t>(1)</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68,458</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(1,091)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(2,423)</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(1,146)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(1,999)</w:t>
            </w:r>
          </w:p>
        </w:tc>
      </w:tr>
      <w:tr>
        <w:trPr>
          <w:trHeight w:val="223"/>
        </w:trPr>
        <w:tc>
          <w:tcPr>
            <w:tcW w:w="8920" w:type="dxa"/>
            <w:vAlign w:val="bottom"/>
          </w:tcPr>
          <w:p>
            <w:pPr>
              <w:ind w:left="220"/>
              <w:spacing w:after="0"/>
              <w:rPr>
                <w:sz w:val="20"/>
                <w:szCs w:val="20"/>
                <w:color w:val="auto"/>
              </w:rPr>
            </w:pPr>
            <w:r>
              <w:rPr>
                <w:rFonts w:ascii="Arial" w:cs="Arial" w:eastAsia="Arial" w:hAnsi="Arial"/>
                <w:sz w:val="18"/>
                <w:szCs w:val="18"/>
                <w:color w:val="auto"/>
              </w:rPr>
              <w:t>Trade receivables, net</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57,873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64,036</w:t>
            </w:r>
          </w:p>
        </w:tc>
        <w:tc>
          <w:tcPr>
            <w:tcW w:w="100" w:type="dxa"/>
            <w:vAlign w:val="bottom"/>
          </w:tcPr>
          <w:p>
            <w:pPr>
              <w:spacing w:after="0"/>
              <w:rPr>
                <w:sz w:val="19"/>
                <w:szCs w:val="19"/>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23"/>
        </w:trPr>
        <w:tc>
          <w:tcPr>
            <w:tcW w:w="89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57,990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64,392</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6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decrease in gross trade receivables from December 31, 2009 to September 30, 2010 is due primarily to net sales decreasing from $84.9 million for the fourth quarter of 2009 to $79.0 million for the third quarter of 2010. In addition, our days sales outstanding decreased from 68.2 days at December 31, 2009 to 66.1 days at September 30, 2010.</w:t>
      </w:r>
    </w:p>
    <w:p>
      <w:pPr>
        <w:spacing w:after="0" w:line="181" w:lineRule="exact"/>
        <w:rPr>
          <w:rFonts w:ascii="Arial" w:cs="Arial" w:eastAsia="Arial" w:hAnsi="Arial"/>
          <w:sz w:val="15"/>
          <w:szCs w:val="15"/>
          <w:color w:val="auto"/>
        </w:rPr>
      </w:pPr>
    </w:p>
    <w:p>
      <w:pPr>
        <w:ind w:left="460" w:right="40" w:hanging="452"/>
        <w:spacing w:after="0" w:line="26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Our other receivables balance on September 30, 2010 includes $45 thousand of sales tax receivables. Our other receivables balance on December 31, 2009 consisted primarily of a reimbursement due from a vendor for quality issues, sales tax receivables, and interest due from Wells Fargo Bank on our term deposit.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during the three months ended September 30, 2010 and 2009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4"/>
                <w:szCs w:val="14"/>
                <w:color w:val="auto"/>
              </w:rPr>
            </w:pPr>
          </w:p>
        </w:tc>
        <w:tc>
          <w:tcPr>
            <w:tcW w:w="14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Balance at</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Additions</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Write-offs/</w:t>
            </w:r>
          </w:p>
        </w:tc>
        <w:tc>
          <w:tcPr>
            <w:tcW w:w="3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8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 Costs and</w:t>
            </w:r>
          </w:p>
        </w:tc>
        <w:tc>
          <w:tcPr>
            <w:tcW w:w="10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Period</w:t>
            </w:r>
          </w:p>
        </w:tc>
        <w:tc>
          <w:tcPr>
            <w:tcW w:w="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FX Effects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account for trade receivables</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Three months ended September 30, 2010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2,735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(1,691)</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Three months ended September 30, 2009</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2,398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during the nine months ended September 30, 2010 and 2009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4"/>
                <w:szCs w:val="14"/>
                <w:color w:val="auto"/>
              </w:rPr>
            </w:pPr>
          </w:p>
        </w:tc>
        <w:tc>
          <w:tcPr>
            <w:tcW w:w="14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Balance at</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Additions</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Write-offs/</w:t>
            </w:r>
          </w:p>
        </w:tc>
        <w:tc>
          <w:tcPr>
            <w:tcW w:w="3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8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 Costs and</w:t>
            </w:r>
          </w:p>
        </w:tc>
        <w:tc>
          <w:tcPr>
            <w:tcW w:w="10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Period</w:t>
            </w:r>
          </w:p>
        </w:tc>
        <w:tc>
          <w:tcPr>
            <w:tcW w:w="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FX Effects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account for trade receivables</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Nine months ended September 30, 2010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2,423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(2,094)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Nine months ended September 30, 2009</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2,439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additions to the allowance for doubtful accounts during the nine months ended September 30, 2010 were composed primarily of the write-down of nearly the entire balance due from two former customers during the second quarter of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allowance for sales returns balance on September 30, 2010 and December 31, 2009 contained reserves for items returned prior to the end of the period, but that were not completely processed, and therefore not yet removed from the allowance for sales returns balance. We estimate that if these returns had been fully processed the allowance for sales returns balance would have been approximately $0.8 million and $1.4 million on September 30, 2010 and December 31, 2009, respectively. The value of these returned goods was included in our inventory balance on September 30, 2010 and December 31, 2009.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During the three and nine months ended September 30, 2010 and 2009, we had net sales to two significant customers, that when combined with their subcontractors, each totaled to more than 10% of our net sales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7"/>
              </w:rPr>
              <w:t>Three Months Ended September 30,</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2009</w:t>
            </w: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9"/>
              </w:rPr>
              <w:t>$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82"/>
              </w:rPr>
              <w:t>% of Net Sales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 (thousands)</w:t>
            </w:r>
          </w:p>
        </w:tc>
        <w:tc>
          <w:tcPr>
            <w:tcW w:w="5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 of Net Sales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26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16,607</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Customer B</w:t>
            </w:r>
          </w:p>
        </w:tc>
        <w:tc>
          <w:tcPr>
            <w:tcW w:w="2840" w:type="dxa"/>
            <w:vAlign w:val="bottom"/>
            <w:gridSpan w:val="3"/>
          </w:tcPr>
          <w:p>
            <w:pPr>
              <w:ind w:left="2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11,141</w:t>
            </w:r>
          </w:p>
        </w:tc>
        <w:tc>
          <w:tcPr>
            <w:tcW w:w="100" w:type="dxa"/>
            <w:vAlign w:val="bottom"/>
          </w:tcPr>
          <w:p>
            <w:pPr>
              <w:spacing w:after="0"/>
              <w:rPr>
                <w:sz w:val="20"/>
                <w:szCs w:val="20"/>
                <w:color w:val="auto"/>
              </w:rPr>
            </w:pPr>
          </w:p>
        </w:tc>
        <w:tc>
          <w:tcPr>
            <w:tcW w:w="1800" w:type="dxa"/>
            <w:vAlign w:val="bottom"/>
            <w:gridSpan w:val="4"/>
          </w:tcPr>
          <w:p>
            <w:pPr>
              <w:jc w:val="right"/>
              <w:ind w:right="240"/>
              <w:spacing w:after="0"/>
              <w:rPr>
                <w:sz w:val="20"/>
                <w:szCs w:val="20"/>
                <w:color w:val="auto"/>
              </w:rPr>
            </w:pPr>
            <w:r>
              <w:rPr>
                <w:rFonts w:ascii="Arial" w:cs="Arial" w:eastAsia="Arial" w:hAnsi="Arial"/>
                <w:sz w:val="18"/>
                <w:szCs w:val="18"/>
                <w:color w:val="auto"/>
              </w:rPr>
              <w:t>14.1%</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9,136</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350"/>
        </w:trPr>
        <w:tc>
          <w:tcPr>
            <w:tcW w:w="3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98"/>
              </w:rPr>
              <w:t>Nine Months Ended September 30,</w:t>
            </w: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2009</w:t>
            </w: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9"/>
              </w:rPr>
              <w:t>$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82"/>
              </w:rPr>
              <w:t>% of Net Sales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 (thousands)</w:t>
            </w:r>
          </w:p>
        </w:tc>
        <w:tc>
          <w:tcPr>
            <w:tcW w:w="5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 of Net Sales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26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31,123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53,879</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Customer B</w:t>
            </w:r>
          </w:p>
        </w:tc>
        <w:tc>
          <w:tcPr>
            <w:tcW w:w="2840" w:type="dxa"/>
            <w:vAlign w:val="bottom"/>
            <w:gridSpan w:val="3"/>
          </w:tcPr>
          <w:p>
            <w:pPr>
              <w:ind w:left="26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31,057</w:t>
            </w:r>
          </w:p>
        </w:tc>
        <w:tc>
          <w:tcPr>
            <w:tcW w:w="1800" w:type="dxa"/>
            <w:vAlign w:val="bottom"/>
            <w:gridSpan w:val="4"/>
          </w:tcPr>
          <w:p>
            <w:pPr>
              <w:jc w:val="right"/>
              <w:ind w:right="240"/>
              <w:spacing w:after="0"/>
              <w:rPr>
                <w:sz w:val="20"/>
                <w:szCs w:val="20"/>
                <w:color w:val="auto"/>
              </w:rPr>
            </w:pPr>
            <w:r>
              <w:rPr>
                <w:rFonts w:ascii="Arial" w:cs="Arial" w:eastAsia="Arial" w:hAnsi="Arial"/>
                <w:sz w:val="18"/>
                <w:szCs w:val="18"/>
                <w:color w:val="auto"/>
              </w:rPr>
              <w:t>13.5%</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24,495</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10"/>
        </w:trPr>
        <w:tc>
          <w:tcPr>
            <w:tcW w:w="8640" w:type="dxa"/>
            <w:vAlign w:val="bottom"/>
            <w:gridSpan w:val="11"/>
          </w:tcPr>
          <w:p>
            <w:pPr>
              <w:spacing w:after="0"/>
              <w:rPr>
                <w:sz w:val="20"/>
                <w:szCs w:val="20"/>
                <w:color w:val="auto"/>
              </w:rPr>
            </w:pPr>
            <w:r>
              <w:rPr>
                <w:rFonts w:ascii="Arial" w:cs="Arial" w:eastAsia="Arial" w:hAnsi="Arial"/>
                <w:sz w:val="18"/>
                <w:szCs w:val="18"/>
                <w:color w:val="auto"/>
                <w:w w:val="99"/>
              </w:rPr>
              <w:t>Trade receivables with these customers were the following on September 30, 2010 and December 31, 2009: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September 30, 2010</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4"/>
                <w:szCs w:val="14"/>
                <w:b w:val="1"/>
                <w:bCs w:val="1"/>
                <w:color w:val="auto"/>
              </w:rPr>
              <w:t>December 31, 2009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(thousands)</w:t>
            </w:r>
          </w:p>
        </w:tc>
        <w:tc>
          <w:tcPr>
            <w:tcW w:w="400" w:type="dxa"/>
            <w:vAlign w:val="bottom"/>
          </w:tcPr>
          <w:p>
            <w:pPr>
              <w:spacing w:after="0"/>
              <w:rPr>
                <w:sz w:val="10"/>
                <w:szCs w:val="10"/>
                <w:color w:val="auto"/>
              </w:rPr>
            </w:pPr>
          </w:p>
        </w:tc>
        <w:tc>
          <w:tcPr>
            <w:tcW w:w="9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 of Accounts</w:t>
            </w:r>
          </w:p>
        </w:tc>
        <w:tc>
          <w:tcPr>
            <w:tcW w:w="440" w:type="dxa"/>
            <w:vAlign w:val="bottom"/>
          </w:tcPr>
          <w:p>
            <w:pPr>
              <w:spacing w:after="0"/>
              <w:rPr>
                <w:sz w:val="10"/>
                <w:szCs w:val="10"/>
                <w:color w:val="auto"/>
              </w:rPr>
            </w:pPr>
          </w:p>
        </w:tc>
        <w:tc>
          <w:tcPr>
            <w:tcW w:w="120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 (thousands)</w:t>
            </w:r>
          </w:p>
        </w:tc>
        <w:tc>
          <w:tcPr>
            <w:tcW w:w="5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 of Accounts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800" w:type="dxa"/>
            <w:vAlign w:val="bottom"/>
            <w:gridSpan w:val="4"/>
          </w:tcPr>
          <w:p>
            <w:pPr>
              <w:ind w:left="400"/>
              <w:spacing w:after="0"/>
              <w:rPr>
                <w:sz w:val="20"/>
                <w:szCs w:val="20"/>
                <w:color w:val="auto"/>
              </w:rPr>
            </w:pPr>
            <w:r>
              <w:rPr>
                <w:rFonts w:ascii="Arial" w:cs="Arial" w:eastAsia="Arial" w:hAnsi="Arial"/>
                <w:sz w:val="14"/>
                <w:szCs w:val="14"/>
                <w:b w:val="1"/>
                <w:bCs w:val="1"/>
                <w:color w:val="auto"/>
              </w:rPr>
              <w:t>Receivable, Net</w:t>
            </w:r>
          </w:p>
        </w:tc>
        <w:tc>
          <w:tcPr>
            <w:tcW w:w="12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Receivable, Net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140" w:type="dxa"/>
            <w:vAlign w:val="bottom"/>
            <w:tcBorders>
              <w:lef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Customer B</w:t>
            </w:r>
          </w:p>
        </w:tc>
        <w:tc>
          <w:tcPr>
            <w:tcW w:w="2620" w:type="dxa"/>
            <w:vAlign w:val="bottom"/>
            <w:gridSpan w:val="2"/>
          </w:tcPr>
          <w:p>
            <w:pPr>
              <w:ind w:left="252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4"/>
          </w:tcPr>
          <w:p>
            <w:pPr>
              <w:jc w:val="right"/>
              <w:ind w:right="300"/>
              <w:spacing w:after="0"/>
              <w:rPr>
                <w:sz w:val="20"/>
                <w:szCs w:val="20"/>
                <w:color w:val="auto"/>
              </w:rPr>
            </w:pPr>
            <w:r>
              <w:rPr>
                <w:rFonts w:ascii="Arial" w:cs="Arial" w:eastAsia="Arial" w:hAnsi="Arial"/>
                <w:sz w:val="18"/>
                <w:szCs w:val="18"/>
                <w:color w:val="auto"/>
              </w:rPr>
              <w:t>7.9%</w:t>
            </w:r>
          </w:p>
        </w:tc>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6,516</w:t>
            </w:r>
          </w:p>
        </w:tc>
        <w:tc>
          <w:tcPr>
            <w:tcW w:w="140" w:type="dxa"/>
            <w:vAlign w:val="bottom"/>
          </w:tcPr>
          <w:p>
            <w:pPr>
              <w:spacing w:after="0"/>
              <w:rPr>
                <w:sz w:val="20"/>
                <w:szCs w:val="20"/>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91"/>
        </w:trPr>
        <w:tc>
          <w:tcPr>
            <w:tcW w:w="328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2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had a third customer that accounted for greater than 10% of accounts receivable, net on December 31, 2009, but did not account for greater than 10% of net sales for the three and nine months ended September 30, 2010 or 2009. Trade receivables with this customer amounted to $6.9 million, or 10.7%, of our accounts receivable, net on December 31, 2009.</w:t>
      </w:r>
    </w:p>
    <w:p>
      <w:pPr>
        <w:spacing w:after="0" w:line="7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loss of these customers or any other customer, either in the United States or abroad, due to their financial weakness or bankruptcy, or our inability to obtain orders or maintain our order volume with them, may have a material effect on our financial condition, results of operations and cash flows.</w:t>
      </w:r>
    </w:p>
    <w:p>
      <w:pPr>
        <w:spacing w:after="0" w:line="1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See Note 2 under the captions </w:t>
      </w:r>
      <w:r>
        <w:rPr>
          <w:rFonts w:ascii="Arial" w:cs="Arial" w:eastAsia="Arial" w:hAnsi="Arial"/>
          <w:sz w:val="18"/>
          <w:szCs w:val="18"/>
          <w:i w:val="1"/>
          <w:iCs w:val="1"/>
          <w:color w:val="auto"/>
        </w:rPr>
        <w:t>Revenue Recognition and Sales Allowances</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in our Annual Report on Form 10-K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Net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on September 30, 2010 and December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37,892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35,420</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(2,033)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44,615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40,947</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reserve for excess and obsolete inventory during the three months ended September 30, 2010 and 2009 were composed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4"/>
              </w:rPr>
              <w:t>Balance at</w:t>
            </w: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Additions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Charged to</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Sell</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Write-offs/</w:t>
            </w:r>
          </w:p>
        </w:tc>
        <w:tc>
          <w:tcPr>
            <w:tcW w:w="3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Costs and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6"/>
              </w:rPr>
              <w:t>Period</w:t>
            </w: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168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Through</w:t>
            </w:r>
            <w:r>
              <w:rPr>
                <w:rFonts w:ascii="Arial" w:cs="Arial" w:eastAsia="Arial" w:hAnsi="Arial"/>
                <w:sz w:val="12"/>
                <w:szCs w:val="12"/>
                <w:color w:val="auto"/>
              </w:rPr>
              <w:t>(1)</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FX Effects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Three Months Ended September 30, 2010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1,961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622</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Three Months Ended September 30, 2009</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2,107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743</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reserve for excess and obsolete inventory during the nine months ended September 30, 2010 and 2009 were composed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4"/>
              </w:rPr>
              <w:t>Balance at</w:t>
            </w: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Additions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Charged to</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Sell</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Write-offs/</w:t>
            </w:r>
          </w:p>
        </w:tc>
        <w:tc>
          <w:tcPr>
            <w:tcW w:w="3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Costs and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6"/>
              </w:rPr>
              <w:t>Period</w:t>
            </w: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168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Through</w:t>
            </w:r>
            <w:r>
              <w:rPr>
                <w:rFonts w:ascii="Arial" w:cs="Arial" w:eastAsia="Arial" w:hAnsi="Arial"/>
                <w:sz w:val="12"/>
                <w:szCs w:val="12"/>
                <w:color w:val="auto"/>
              </w:rPr>
              <w:t>(1)</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FX Effects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Nine Months Ended September 30, 2010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1,750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2,225</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(1,206)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Nine Months Ended September 30, 2009</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1,535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2,679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(1,549)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60" w:hanging="452"/>
        <w:spacing w:after="0" w:line="26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This column represents the gross book value of inventory items sold during the period that had been previously written down to zero net book value. Sell through is the result of differences between our judgment concerning the salability of inventory items during the excess and obsolete inventory review process and our subsequent experience.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Inventory write-downs for excess and obsolescence are a normal part of our business and result primarily from product life cycle estimation variances.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in our Annual Report on Form 10-K for further information regarding our accounting principles.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purchase integrated circuits, used principally in our wireless control products, from two main suppliers. The total purchased from one of these suppliers was greater than 10% of our total inventory purchases. In addition, our purchases from two component and finished good suppliers each amounted to greater than 10% of our total inventory purchases for the three and nine months ended September 30, 2010. Purchases from three component and finished good suppliers each amounted to greater than 10% of our total inventory purchases for the three and nine months ended September 30,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2010 and 2009, the amounts purchased from these four suppliers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Total</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Total</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520" w:type="dxa"/>
            <w:vAlign w:val="bottom"/>
            <w:vMerge w:val="restart"/>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60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Inventory</w:t>
            </w:r>
          </w:p>
        </w:tc>
        <w:tc>
          <w:tcPr>
            <w:tcW w:w="3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60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Inventory</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Purchases</w:t>
            </w:r>
          </w:p>
        </w:tc>
        <w:tc>
          <w:tcPr>
            <w:tcW w:w="3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Purchases</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Integrated circuit supplier A</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8,536</w:t>
            </w:r>
          </w:p>
        </w:tc>
        <w:tc>
          <w:tcPr>
            <w:tcW w:w="1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7,255</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Component and finished good supplier A</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8,319</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13,012</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Component and finished good supplier B </w:t>
            </w:r>
            <w:r>
              <w:rPr>
                <w:rFonts w:ascii="Arial" w:cs="Arial" w:eastAsia="Arial" w:hAnsi="Arial"/>
                <w:sz w:val="15"/>
                <w:szCs w:val="15"/>
                <w:color w:val="auto"/>
              </w:rPr>
              <w:t>(1)</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10,173</w:t>
            </w:r>
          </w:p>
        </w:tc>
        <w:tc>
          <w:tcPr>
            <w:tcW w:w="1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11,436</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Component and finished good supplier C</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3,926</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6,728</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10"/>
        </w:trPr>
        <w:tc>
          <w:tcPr>
            <w:tcW w:w="9980" w:type="dxa"/>
            <w:vAlign w:val="bottom"/>
            <w:gridSpan w:val="12"/>
          </w:tcPr>
          <w:p>
            <w:pPr>
              <w:spacing w:after="0"/>
              <w:rPr>
                <w:sz w:val="20"/>
                <w:szCs w:val="20"/>
                <w:color w:val="auto"/>
              </w:rPr>
            </w:pPr>
            <w:r>
              <w:rPr>
                <w:rFonts w:ascii="Arial" w:cs="Arial" w:eastAsia="Arial" w:hAnsi="Arial"/>
                <w:sz w:val="18"/>
                <w:szCs w:val="18"/>
                <w:color w:val="auto"/>
                <w:w w:val="95"/>
              </w:rPr>
              <w:t>During the nine months ended September 30, 2010 and 2009, the amounts purchased from these four suppliers were the following:</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Total</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Total</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520" w:type="dxa"/>
            <w:vAlign w:val="bottom"/>
            <w:vMerge w:val="restart"/>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60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Inventory</w:t>
            </w:r>
          </w:p>
        </w:tc>
        <w:tc>
          <w:tcPr>
            <w:tcW w:w="3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60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Inventory</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Purchases</w:t>
            </w:r>
          </w:p>
        </w:tc>
        <w:tc>
          <w:tcPr>
            <w:tcW w:w="3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Purchases</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Integrated circuit supplier A</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23,658</w:t>
            </w:r>
          </w:p>
        </w:tc>
        <w:tc>
          <w:tcPr>
            <w:tcW w:w="1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20,869</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Component and finished good supplier A</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28,473</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36,334</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Component and finished good supplier B</w:t>
            </w:r>
            <w:r>
              <w:rPr>
                <w:rFonts w:ascii="Arial" w:cs="Arial" w:eastAsia="Arial" w:hAnsi="Arial"/>
                <w:sz w:val="15"/>
                <w:szCs w:val="15"/>
                <w:color w:val="auto"/>
              </w:rPr>
              <w:t>(1)</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28,763</w:t>
            </w:r>
          </w:p>
        </w:tc>
        <w:tc>
          <w:tcPr>
            <w:tcW w:w="1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32,926</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Component and finished good supplier C</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13,804</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21,209</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total accounts payable to each of these suppliers on September 30, 2010 and December 31, 2009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September 30, 2010</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4"/>
                <w:szCs w:val="14"/>
                <w:b w:val="1"/>
                <w:bCs w:val="1"/>
                <w:color w:val="auto"/>
              </w:rPr>
              <w:t>December 31, 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1360" w:type="dxa"/>
            <w:vAlign w:val="bottom"/>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(thousands)</w:t>
            </w:r>
          </w:p>
        </w:tc>
        <w:tc>
          <w:tcPr>
            <w:tcW w:w="300" w:type="dxa"/>
            <w:vAlign w:val="bottom"/>
            <w:vMerge w:val="restart"/>
          </w:tcPr>
          <w:p>
            <w:pPr>
              <w:spacing w:after="0"/>
              <w:rPr>
                <w:sz w:val="10"/>
                <w:szCs w:val="10"/>
                <w:color w:val="auto"/>
              </w:rPr>
            </w:pPr>
          </w:p>
        </w:tc>
        <w:tc>
          <w:tcPr>
            <w:tcW w:w="1200" w:type="dxa"/>
            <w:vAlign w:val="bottom"/>
            <w:gridSpan w:val="2"/>
          </w:tcPr>
          <w:p>
            <w:pPr>
              <w:jc w:val="center"/>
              <w:ind w:left="236"/>
              <w:spacing w:after="0" w:line="119" w:lineRule="exact"/>
              <w:rPr>
                <w:sz w:val="20"/>
                <w:szCs w:val="20"/>
                <w:color w:val="auto"/>
              </w:rPr>
            </w:pPr>
            <w:r>
              <w:rPr>
                <w:rFonts w:ascii="Arial" w:cs="Arial" w:eastAsia="Arial" w:hAnsi="Arial"/>
                <w:sz w:val="13"/>
                <w:szCs w:val="13"/>
                <w:b w:val="1"/>
                <w:bCs w:val="1"/>
                <w:color w:val="auto"/>
                <w:w w:val="97"/>
              </w:rPr>
              <w:t>% of Accounts</w:t>
            </w:r>
          </w:p>
        </w:tc>
        <w:tc>
          <w:tcPr>
            <w:tcW w:w="420" w:type="dxa"/>
            <w:vAlign w:val="bottom"/>
          </w:tcPr>
          <w:p>
            <w:pPr>
              <w:spacing w:after="0"/>
              <w:rPr>
                <w:sz w:val="10"/>
                <w:szCs w:val="10"/>
                <w:color w:val="auto"/>
              </w:rPr>
            </w:pPr>
          </w:p>
        </w:tc>
        <w:tc>
          <w:tcPr>
            <w:tcW w:w="260" w:type="dxa"/>
            <w:vAlign w:val="bottom"/>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 of Accounts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Payable</w:t>
            </w:r>
          </w:p>
        </w:tc>
        <w:tc>
          <w:tcPr>
            <w:tcW w:w="4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Payable</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Integrated circuit supplier 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3,613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Component and finished good supplier A</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5,944</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8,290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Component and finished good supplier B</w:t>
            </w:r>
            <w:r>
              <w:rPr>
                <w:rFonts w:ascii="Arial" w:cs="Arial" w:eastAsia="Arial" w:hAnsi="Arial"/>
                <w:sz w:val="15"/>
                <w:szCs w:val="15"/>
                <w:color w:val="auto"/>
              </w:rPr>
              <w:t>(1)</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9,103</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11,887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Component and finished good supplier C</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3,800</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6,760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8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Component and finished good supplier B is Enson Assets Limited and its subsidiaries. See Note 18 for further information regarding our acquisition of Enson Assets Limited.</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Inventory Purchase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2010, we had contractual obligations to purchase $35.0 million of inventory over the subsequent five years.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Goodwill related to the domestic component was the result of our acquisition of a remote control company in 1998 and a software company in 2004. Goodwill related to our international component resulted from the acquisition of remote control distributors in the UK in 1998, Spain in 1999 and France in 2000 and the acquisition of certain assets and intellectual property from Zilog, Inc. during the first quarter of 2009.</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goodwill allocated to our domestic and international components on September 30, 2010 and the changes in the carrying amount of goodwill during the nine months ended September 30, 2010 are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4"/>
                <w:szCs w:val="14"/>
                <w:b w:val="1"/>
                <w:bCs w:val="1"/>
                <w:color w:val="auto"/>
                <w:w w:val="88"/>
              </w:rPr>
              <w:t>Components</w:t>
            </w: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7800" w:type="dxa"/>
            <w:vAlign w:val="bottom"/>
            <w:gridSpan w:val="2"/>
            <w:vMerge w:val="continue"/>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Domestic</w:t>
            </w: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International</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Balance on December 31, 2009</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8,314</w:t>
            </w:r>
          </w:p>
        </w:tc>
        <w:tc>
          <w:tcPr>
            <w:tcW w:w="9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5,410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impairment losses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during the period</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Goodwill impairment losses</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Goodwill written off related to the sale of a business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Balance on September 30, 2010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8,314</w:t>
            </w:r>
          </w:p>
        </w:tc>
        <w:tc>
          <w:tcPr>
            <w:tcW w:w="9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5,295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impairment losses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7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adjustment recorded in international goodwill during the nine months ended September 30, 2010, resulted from fluctuation of the foreign currency exchange rates used to translate the balance into U.S. dollars.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See Note 2 under the captions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in our Annual Report on Form 10-K for further information regarding our accounting principles and the valuation methodology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on September 30, 2010 and December 31, 2009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September 30, 2010</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 2009</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4"/>
          </w:tcPr>
          <w:p>
            <w:pPr>
              <w:ind w:left="64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3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2120" w:type="dxa"/>
            <w:vAlign w:val="bottom"/>
            <w:gridSpan w:val="4"/>
          </w:tcPr>
          <w:p>
            <w:pPr>
              <w:ind w:left="6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Gross</w:t>
            </w:r>
          </w:p>
        </w:tc>
        <w:tc>
          <w:tcPr>
            <w:tcW w:w="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Net</w:t>
            </w: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r>
              <w:rPr>
                <w:rFonts w:ascii="Arial" w:cs="Arial" w:eastAsia="Arial" w:hAnsi="Arial"/>
                <w:sz w:val="15"/>
                <w:szCs w:val="15"/>
                <w:color w:val="auto"/>
              </w:rPr>
              <w:t>(1)</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411</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8,392</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(4,421)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w:t>
            </w: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Trademarks and trade names (10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840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02"/>
        </w:trPr>
        <w:tc>
          <w:tcPr>
            <w:tcW w:w="36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Developed and core technology (5-15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years)</w:t>
            </w:r>
            <w:r>
              <w:rPr>
                <w:rFonts w:ascii="Arial" w:cs="Arial" w:eastAsia="Arial" w:hAnsi="Arial"/>
                <w:sz w:val="15"/>
                <w:szCs w:val="15"/>
                <w:color w:val="auto"/>
              </w:rPr>
              <w:t>(2)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w:t>
            </w: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w:t>
            </w:r>
          </w:p>
        </w:tc>
      </w:tr>
      <w:tr>
        <w:trPr>
          <w:trHeight w:val="202"/>
        </w:trPr>
        <w:tc>
          <w:tcPr>
            <w:tcW w:w="3680" w:type="dxa"/>
            <w:vAlign w:val="bottom"/>
          </w:tcPr>
          <w:p>
            <w:pPr>
              <w:ind w:left="220"/>
              <w:spacing w:after="0" w:line="201" w:lineRule="exact"/>
              <w:rPr>
                <w:sz w:val="20"/>
                <w:szCs w:val="20"/>
                <w:color w:val="auto"/>
              </w:rPr>
            </w:pPr>
            <w:r>
              <w:rPr>
                <w:rFonts w:ascii="Arial" w:cs="Arial" w:eastAsia="Arial" w:hAnsi="Arial"/>
                <w:sz w:val="18"/>
                <w:szCs w:val="18"/>
                <w:color w:val="auto"/>
              </w:rPr>
              <w:t>Capitalized software development costs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80" w:type="dxa"/>
            <w:vAlign w:val="bottom"/>
          </w:tcPr>
          <w:p>
            <w:pPr>
              <w:ind w:left="420"/>
              <w:spacing w:after="0"/>
              <w:rPr>
                <w:sz w:val="20"/>
                <w:szCs w:val="20"/>
                <w:color w:val="auto"/>
              </w:rPr>
            </w:pPr>
            <w:r>
              <w:rPr>
                <w:rFonts w:ascii="Arial" w:cs="Arial" w:eastAsia="Arial" w:hAnsi="Arial"/>
                <w:sz w:val="18"/>
                <w:szCs w:val="18"/>
                <w:color w:val="auto"/>
              </w:rPr>
              <w:t>(1-2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1,824</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 (15 years)</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w:t>
            </w: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18,046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(6,723</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11,323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17,081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(5,509</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11,572</w:t>
            </w:r>
          </w:p>
        </w:tc>
        <w:tc>
          <w:tcPr>
            <w:tcW w:w="10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6"/>
          <w:szCs w:val="16"/>
          <w:color w:val="auto"/>
        </w:rPr>
        <w:t>This table excludes fully amortized intangible assets of $7.6 million and $7.6 million on September 30, 2010 and December 31, 2009, respectively.</w:t>
      </w:r>
    </w:p>
    <w:p>
      <w:pPr>
        <w:spacing w:after="0" w:line="207"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0" w:hanging="452"/>
        <w:spacing w:after="0" w:line="27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During the first quarter of 2009, we purchased core technology from Zilog, Inc. valued at $3.5 million, which is being amortized ratably over fifteen years. Refer to Note 17 for further discussion regarding the purchase.</w:t>
      </w:r>
    </w:p>
    <w:p>
      <w:pPr>
        <w:spacing w:after="0" w:line="21" w:lineRule="exact"/>
        <w:rPr>
          <w:rFonts w:ascii="Arial" w:cs="Arial" w:eastAsia="Arial" w:hAnsi="Arial"/>
          <w:sz w:val="15"/>
          <w:szCs w:val="15"/>
          <w:color w:val="auto"/>
        </w:rPr>
      </w:pPr>
    </w:p>
    <w:p>
      <w:pPr>
        <w:ind w:left="460" w:right="220" w:hanging="452"/>
        <w:spacing w:after="0" w:line="27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During the first quarter of 2009, we purchased customer relationships from Zilog, Inc. valued at $3.1 million, which are being amortized ratably over fifteen years. Refer to Note 17 for further discussion regarding the purchase.</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for the three and nine months ended September 30, 2010 and 2009 is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934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timing of future amortization expense related to our intangible assets on September 30, 2010 is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2010 (remaining 3 months)</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2011</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1,758</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2013</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11,323</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recorded impairment charges related to our intangible assets of $9 thousand during the nine months ended September 30, 2010 and 2009. Impairment charges are recorded in selling, general and administrative expenses as a component of amortization expense, except impairment charges related to capitalized software development costs which are recorded in cost of sales. The fair value adjustments for intangible assets measured at fair value on a nonrecurring basis during the nine months ended September 30, 2010 were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4"/>
                <w:szCs w:val="14"/>
                <w:b w:val="1"/>
                <w:bCs w:val="1"/>
                <w:color w:val="auto"/>
                <w:w w:val="99"/>
              </w:rPr>
              <w:t>Fair Value Measurement Using</w:t>
            </w:r>
          </w:p>
        </w:tc>
        <w:tc>
          <w:tcPr>
            <w:tcW w:w="11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380" w:type="dxa"/>
            <w:vAlign w:val="bottom"/>
          </w:tcPr>
          <w:p>
            <w:pPr>
              <w:spacing w:after="0"/>
              <w:rPr>
                <w:sz w:val="12"/>
                <w:szCs w:val="12"/>
                <w:color w:val="auto"/>
              </w:rPr>
            </w:pPr>
          </w:p>
        </w:tc>
        <w:tc>
          <w:tcPr>
            <w:tcW w:w="16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5"/>
              </w:rPr>
              <w:t>Significant Other</w:t>
            </w:r>
          </w:p>
        </w:tc>
        <w:tc>
          <w:tcPr>
            <w:tcW w:w="200" w:type="dxa"/>
            <w:vAlign w:val="bottom"/>
          </w:tcPr>
          <w:p>
            <w:pPr>
              <w:spacing w:after="0"/>
              <w:rPr>
                <w:sz w:val="12"/>
                <w:szCs w:val="12"/>
                <w:color w:val="auto"/>
              </w:rPr>
            </w:pPr>
          </w:p>
        </w:tc>
        <w:tc>
          <w:tcPr>
            <w:tcW w:w="160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38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Assets</w:t>
            </w:r>
          </w:p>
        </w:tc>
        <w:tc>
          <w:tcPr>
            <w:tcW w:w="20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8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380" w:type="dxa"/>
            <w:vAlign w:val="bottom"/>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September 30, 2010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4"/>
              </w:rPr>
              <w:t>(Level 2)</w:t>
            </w: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4"/>
              </w:rPr>
              <w:t>(Level 3)</w:t>
            </w:r>
          </w:p>
        </w:tc>
        <w:tc>
          <w:tcPr>
            <w:tcW w:w="50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Gains (Losses)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20"/>
                <w:szCs w:val="20"/>
                <w:color w:val="auto"/>
              </w:rPr>
            </w:pPr>
            <w:r>
              <w:rPr>
                <w:rFonts w:ascii="Arial" w:cs="Arial" w:eastAsia="Arial" w:hAnsi="Arial"/>
                <w:sz w:val="18"/>
                <w:szCs w:val="18"/>
                <w:color w:val="auto"/>
              </w:rPr>
              <w:t>Patents and trademarks</w:t>
            </w:r>
          </w:p>
        </w:tc>
        <w:tc>
          <w:tcPr>
            <w:tcW w:w="38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4,307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5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4,307</w:t>
            </w:r>
          </w:p>
        </w:tc>
        <w:tc>
          <w:tcPr>
            <w:tcW w:w="5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disposed of 2 patents and 8 trademarks with an aggregate carrying amount of $9 thousand resulting in impairment charges of $9 thousand during the nine months ended September 30, 2010. We disposed of 9 patents and 10 trademarks with an aggregate carrying amount of $9 thousand during the nine months ended September 30, 2009. These assets no longer held any probable future economic benefits and were written-off.</w:t>
      </w:r>
    </w:p>
    <w:p>
      <w:pPr>
        <w:spacing w:after="0" w:line="5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 xml:space="preserve">See Note 2 under the captions </w:t>
      </w:r>
      <w:r>
        <w:rPr>
          <w:rFonts w:ascii="Arial" w:cs="Arial" w:eastAsia="Arial" w:hAnsi="Arial"/>
          <w:sz w:val="17"/>
          <w:szCs w:val="17"/>
          <w:i w:val="1"/>
          <w:iCs w:val="1"/>
          <w:color w:val="auto"/>
        </w:rPr>
        <w:t>Long-Lived Assets and Intangible Assets Impairment</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Capitalized Software Development Costs</w:t>
      </w:r>
      <w:r>
        <w:rPr>
          <w:rFonts w:ascii="Arial" w:cs="Arial" w:eastAsia="Arial" w:hAnsi="Arial"/>
          <w:sz w:val="17"/>
          <w:szCs w:val="17"/>
          <w:color w:val="auto"/>
        </w:rPr>
        <w:t xml:space="preserve">, and </w:t>
      </w:r>
      <w:r>
        <w:rPr>
          <w:rFonts w:ascii="Arial" w:cs="Arial" w:eastAsia="Arial" w:hAnsi="Arial"/>
          <w:sz w:val="17"/>
          <w:szCs w:val="17"/>
          <w:i w:val="1"/>
          <w:iCs w:val="1"/>
          <w:color w:val="auto"/>
        </w:rPr>
        <w:t>Fair-Value Measurements</w:t>
      </w:r>
      <w:r>
        <w:rPr>
          <w:rFonts w:ascii="Arial" w:cs="Arial" w:eastAsia="Arial" w:hAnsi="Arial"/>
          <w:sz w:val="17"/>
          <w:szCs w:val="17"/>
          <w:color w:val="auto"/>
        </w:rPr>
        <w:t xml:space="preserve"> in our Annual Report on Form 10-K for further information regarding our accounting principles and valuation methodology utilized.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year-to-date pre-tax book income. We recorded income tax expense of $1.9 million and $2.6 million for the three months ended September 30, 2010 and 2009, respectively. Our effective tax rate was 28.8% and 37.7% during the three months ended September 30, 2010 and 2009, respectively. We recorded income tax expense of $5.4 million and $5.2 million for the nine months ended September 30, 2010 and 2009, respectively. Our effective tax rate was 32.4% and 37.3% during the nine months ended September 30, 2010 and 2009, respectively.</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September 30, 2010, we had gross unrecognized tax benefits of approximately $2.7 million, including interest and penalties, of which approximately $2.1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$0.4 million within the next twelve months.</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on September 30, 2010 and December 31, 2009 are included in our unrecognized tax benefits.</w:t>
      </w:r>
    </w:p>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September 30, 2010, the open statutes of limitations in our significant tax jurisdictions are as follows: federal 2007 through 2009, state 2005 through 2009, and non-U.S. 2001 through 2009. On September 30, 2010, our gross unrecognized tax benefits of $2.7 million are classified as long term because we do not anticipate payment of cash related to those unrecognized tax benefits within one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further information regarding our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on September 30, 2010 and December 31, 2009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33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955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Accrued third-party commissions</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Accrued sales taxes and VAT</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Tooling </w:t>
            </w:r>
            <w:r>
              <w:rPr>
                <w:rFonts w:ascii="Arial" w:cs="Arial" w:eastAsia="Arial" w:hAnsi="Arial"/>
                <w:sz w:val="15"/>
                <w:szCs w:val="15"/>
                <w:color w:val="auto"/>
              </w:rPr>
              <w:t>(1)</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Sales tax refundable to customers</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3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other accrued expenses</w:t>
            </w:r>
          </w:p>
        </w:tc>
        <w:tc>
          <w:tcPr>
            <w:tcW w:w="33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6,088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6"/>
          <w:szCs w:val="16"/>
          <w:color w:val="auto"/>
        </w:rPr>
        <w:t>The tooling accrual balance relates to amounts capitalized within equipment, furniture and fixtures, net on September 30, 2010 and December 31, 2009.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Revolving Credit Line</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January 8, 2010, we entered into a new $15 million unsecured revolving credit line with U.S. Bank (“Credit Facility”), expiring on October 31, 2011. Amounts available for borrowing under the Credit Facility are reduced by the balance of any outstanding import letters of credit and are subject to certain quarterly financial covenants related to our cash flow, fixed charges, quick ratio, and net income. We were in compliance with the quarterly financial covenants at September 30, 2010.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Credit Facility, we may elect to pay interest based on the bank’s prime rate or LIBOR plus a fixed margin of 1.8%. The applicable LIBOR (1, 3, 6, or 12-month LIBOR) corresponds with the loan period we select. On September 30, 2010, the 12-month LIBOR plus the fixed margin was 2.6%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8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On November 1, 2010, we amended and restated our existing credit agreement with U.S. Bank. The amendments added a new $35.0 million secured term loan facility (“Term Loan”) for the purpose of financing a portion of our acquisition of Enson Assets Limited. In addition, our existing $15.0 million Credit Facility became a secured facility, was increased to $20.0 million, and the expiration date was extended from October 31, 2011 to November 1, 2012.</w:t>
      </w:r>
    </w:p>
    <w:p>
      <w:pPr>
        <w:spacing w:after="0" w:line="3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new Term Loan may only be utilized to finance the Enson Assets Limited acquisition and to pay related transaction costs, fees, and expenses. The Term Loan is subject to certain quarterly financial covenants related to our cash flow, fixed charges, quick ratio, and net income. The minimum principal payments for the Term Loan are $2.2 million each. Principal and interest payments are payable on January 5, April 5, July 5, and October 5 of 2011. In addition, a final payment equal to the unpaid principal balance plus accrued interest is due on the Term Loan maturity date. The Term Loan maturity date is November 1, 2011. Amounts paid or prepaid on the Term Loan may not be re-borrowed.</w:t>
      </w:r>
    </w:p>
    <w:p>
      <w:pPr>
        <w:spacing w:after="0" w:line="6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security for the payment and performance of all our obligations under the Term Loan and Credit Facility, we have pledged to U.S. Bank 65% of our ownership in Enson Assets Limited as collateral.</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Under the Term Loan, we may elect to pay interest based on the bank’s prime rate or LIBOR plus a fixed margin of 1.5%. The applicable LIBOR (1, 3, 6, or 12-month LIBOR) corresponds with the loan period we select. On November 1, 2010, the 1-month LIBOR plus the fixed margin was approximately 1.8% and the bank’s prime rate was 3.25%. If a LIBOR rate loan is prepaid prior to the completion of the loan period, we must pay the bank the difference between the interest the bank would have earned had prepayment not occurred and the interest the bank actually earned.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Note 18 for further information regarding our acquisition of Enson Assets Limited.</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September 30, 2010 we had no debt under the Credit Facility. If this or any other facility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are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Balance at</w:t>
            </w:r>
          </w:p>
        </w:tc>
        <w:tc>
          <w:tcPr>
            <w:tcW w:w="320" w:type="dxa"/>
            <w:vAlign w:val="bottom"/>
          </w:tcPr>
          <w:p>
            <w:pPr>
              <w:spacing w:after="0"/>
              <w:rPr>
                <w:sz w:val="14"/>
                <w:szCs w:val="14"/>
                <w:color w:val="auto"/>
              </w:rPr>
            </w:pPr>
          </w:p>
        </w:tc>
        <w:tc>
          <w:tcPr>
            <w:tcW w:w="13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Accruals for</w:t>
            </w:r>
          </w:p>
        </w:tc>
        <w:tc>
          <w:tcPr>
            <w:tcW w:w="280" w:type="dxa"/>
            <w:vAlign w:val="bottom"/>
          </w:tcPr>
          <w:p>
            <w:pPr>
              <w:spacing w:after="0"/>
              <w:rPr>
                <w:sz w:val="14"/>
                <w:szCs w:val="14"/>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Settlements</w:t>
            </w:r>
          </w:p>
        </w:tc>
        <w:tc>
          <w:tcPr>
            <w:tcW w:w="30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Warranties</w:t>
            </w:r>
          </w:p>
        </w:tc>
        <w:tc>
          <w:tcPr>
            <w:tcW w:w="146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(in Cash or in</w:t>
            </w:r>
          </w:p>
        </w:tc>
        <w:tc>
          <w:tcPr>
            <w:tcW w:w="3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7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Issued During</w:t>
            </w:r>
          </w:p>
        </w:tc>
        <w:tc>
          <w:tcPr>
            <w:tcW w:w="2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Kind) During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Period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the Period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the Period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r>
              <w:rPr>
                <w:rFonts w:ascii="Arial" w:cs="Arial" w:eastAsia="Arial" w:hAnsi="Arial"/>
                <w:sz w:val="15"/>
                <w:szCs w:val="15"/>
                <w:color w:val="auto"/>
              </w:rPr>
              <w:t>(1)</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Nine Months Ended September 30, 2009</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jc w:val="both"/>
        <w:ind w:left="460" w:right="180" w:hanging="452"/>
        <w:spacing w:after="0" w:line="264"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reduction in the liability for product warranty costs during the nine months ended September 30, 2010 was composed of the reversal of a liability made during the year ended December 31, 2007 related to a specific customer and warranty issue. During the quarter ended June 30, 2010, it became apparent that the customer did not have any further claims and the accrual was reversed.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2002, one of our subsidiaries (One For All France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reached a settlement in June 2010. The settlement documents were fully signed on June 30, 2010. Following the signing, each party dismissed their respective actions against the other and the distributor paid our subsidiary an immaterial settlement amount.</w:t>
      </w:r>
    </w:p>
    <w:p>
      <w:pPr>
        <w:spacing w:after="0" w:line="7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There are no other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Our Compensation Committee awarded a discretionary cash bonus of $1.0 million, to be paid out quarterly during 2009 and 2010. The Compensation Committee made this decision after reviewing the economic environment and our relative financial and operating performance. The Compensation Committee believes this bonus was in alignment with our stockholders’ interests as well as our performance, alignment and retention objectives. Each participant’s earned award vests in eight equal quarterly installments beginning March 31, 2009 and ending December 31, 2010. Approximately $0.4 million and $0.2 million was paid and expensed, respectively, during the nine months ended September 30, 2010 to our executive management team. On September 30, 2010 and December 31, 2009, $0.1 million and $0.3 million, respectively, have been included in accrued compensation for this discretionary bonus. In the event a participant terminates their employment during the remaining service period (October 1, 2010 through December 31, 2010), they will forfeit their right to the remaining installment where the payment date has not yet occurred.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funds into various investment options available under the plan. These investment options are utilized for measurement purposes only, and may not represent the actual investment made by us. In this respect, the participant is an unsecured creditor of ours. On September 30, 2010 and December 31, 2009, the amounts deferred under the plan were immaterial to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India Plan was adequately funded as of September 30, 2010 based on its latest actuarial report. The India Plan has an independent external manager that advises us of the appropriate funding contribution requirements to which we comply. On September 30, 2010, approximately 30 percent of our employees in India had qualified for eligibility. Generally, an employee must be employed by the company for a minimum of five years before becoming eligible. At the time of eligibility we are liable, on termination, resignation or retirement, to pay the employee an amount equal to 15 days salary for each year of service completed. The total amount of liability outstanding on September 30, 2010 and December 31, 2009 for the India Plan was not material. During the three and nine months ended September 30, 2010 and 2009, the net periodic benefit costs were also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Treasury Stock</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the nine months ended September 30, 2010 and 2009, we repurchased 493,257 and 288,452 shares of our common stock at a cost of $9.8 million and $5.2 million, respectively. Repurchased shares are recorded as shares held in treasury at cost. We generally hold these shares for future use as our management and Board of Directors deem appropriate, including compensating our outside directors. During the nine months ended September 30, 2010 and 2009, we issued 22,083 and 18,750 shares, respectively, to outside directors for services performed (see Note 13).</w:t>
      </w:r>
    </w:p>
    <w:p>
      <w:pPr>
        <w:spacing w:after="0" w:line="6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whenever we deem a repurchase is a good use of our cash and the price to be paid is at or below a threshold approved by our Board. As of September 30, 2010, we have repurchased 460,691 shares of our common stock under this authorization, leaving 539,309 shares available for repurchase.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11,315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59"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foreign currency translation loss of $1.6 million for the nine months ended September 30, 2010 was due to the strengthening of the U.S. dollar against the Euro. The foreign currency translation gain of $1.2 million for the nine months ended September 30, 2009 was due to the weakening of the U.S. dollar against the Euro. The U.S. dollar/Euro spot rate was 1.36 and 1.43 on September 30, 2010 and December 31, 2009, respectively, and 1.46 and 1.39 on September 30, 2009 and December 31, 2008, respectively.</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Foreign Currency Translation and Foreign Currency Transactions</w:t>
      </w:r>
      <w:r>
        <w:rPr>
          <w:rFonts w:ascii="Arial" w:cs="Arial" w:eastAsia="Arial" w:hAnsi="Arial"/>
          <w:sz w:val="18"/>
          <w:szCs w:val="18"/>
          <w:color w:val="auto"/>
        </w:rPr>
        <w:t xml:space="preserve"> in our Annual Report on Form 10-K for further information regarding our accounting principles.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U.S. GAAP. We operate in a single operating and reportable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sales by geographic area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7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43,514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49,129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$ 126,593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$ 145,491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Asia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14,768</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18,244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40,040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Kingdom</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6,943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4,505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23,314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Argentina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489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1,930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Australia</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France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1,312</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1,127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2,594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Germany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1,803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5,389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Israel</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660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2,532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Italy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Portugal</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920</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1,077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2,631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South Africa</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1,306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1,246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Spain</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918</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3,402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 other</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4,931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3,579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13,796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2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35,493</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34,053</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102,682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79,007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83,182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$ 229,275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$ 232,611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Specific identification of the customer’s invoicing location was the basis used to attribute revenues to geographic areas. Although we invoice a customer at a specific location, the goods may be sold in a different geography.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for our domestic and international components is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Domestic</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6,749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7,440</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4,921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3,694</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11,134</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Stock-based compensation expense for each employee and director is presented in the same income statement caption as their cash compensation. Stock-based compensation expense by income statement caption for the three and nine months ended September 30, 2010 and 2009 is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1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700" w:type="dxa"/>
            <w:vAlign w:val="bottom"/>
            <w:vMerge w:val="restart"/>
          </w:tcPr>
          <w:p>
            <w:pPr>
              <w:jc w:val="right"/>
              <w:ind w:right="65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Selling, general and administrative expense includes stock-based compensation related to restricted stock awards granted to outside directors of $0.1 million for each of the three months ended September 30, 2010 and 2009. During the nine months ended September 30, 2010 and 2009, stock-based compensation related to restricted stock awards granted to outside directors was $0.4 million each period.</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Selling, general and administrative expense also includes pre-tax stock-based compensation related to stock option awards granted to outside directors of $0.1 million for each of the three months ended September 30, 2010 and 2009. During the nine months ended September 30, 2010 and 2009, pre-tax stock-based compensation related to options granted to directors was $0.2 million each period.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benefit from the recognition of stock-based compensation for the three months ended September 30, 2010 and 2009 was $0.4 million and</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$0.4 million, respectively. The income tax benefit from the recognition of stock-based compensation for the nine months ended September 30, 2010 and 2009 was $1.3 million and $1.1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During the nine months ended September 30, 2010, the Compensation Committee and Board of Directors granted 119,900 stock options to our employees with an aggregate grant date fair value of $1.3 million under various stock incentive plans. The stock options granted to employees during the nine months ended September 30, 2010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4"/>
                <w:szCs w:val="14"/>
                <w:color w:val="auto"/>
              </w:rPr>
            </w:pPr>
          </w:p>
        </w:tc>
        <w:tc>
          <w:tcPr>
            <w:tcW w:w="150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rPr>
              <w:t>Grant Date</w:t>
            </w: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Stock Option</w:t>
            </w:r>
          </w:p>
        </w:tc>
        <w:tc>
          <w:tcPr>
            <w:tcW w:w="5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1580" w:type="dxa"/>
            <w:vAlign w:val="bottom"/>
            <w:gridSpan w:val="3"/>
          </w:tcPr>
          <w:p>
            <w:pPr>
              <w:jc w:val="center"/>
              <w:ind w:left="156"/>
              <w:spacing w:after="0" w:line="149" w:lineRule="exact"/>
              <w:rPr>
                <w:sz w:val="20"/>
                <w:szCs w:val="20"/>
                <w:color w:val="auto"/>
              </w:rPr>
            </w:pPr>
            <w:r>
              <w:rPr>
                <w:rFonts w:ascii="Arial" w:cs="Arial" w:eastAsia="Arial" w:hAnsi="Arial"/>
                <w:sz w:val="14"/>
                <w:szCs w:val="14"/>
                <w:b w:val="1"/>
                <w:bCs w:val="1"/>
                <w:color w:val="auto"/>
                <w:w w:val="95"/>
              </w:rPr>
              <w:t>Underlying</w:t>
            </w:r>
          </w:p>
        </w:tc>
        <w:tc>
          <w:tcPr>
            <w:tcW w:w="340" w:type="dxa"/>
            <w:vAlign w:val="bottom"/>
            <w:vMerge w:val="restart"/>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2"/>
              </w:rPr>
              <w:t>Fair Value</w:t>
            </w:r>
          </w:p>
        </w:tc>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5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(thousands)</w:t>
            </w:r>
          </w:p>
        </w:tc>
        <w:tc>
          <w:tcPr>
            <w:tcW w:w="4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January 25, 2010</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40"/>
              <w:spacing w:after="0" w:line="195" w:lineRule="exact"/>
              <w:rPr>
                <w:sz w:val="20"/>
                <w:szCs w:val="20"/>
                <w:color w:val="auto"/>
              </w:rPr>
            </w:pPr>
            <w:r>
              <w:rPr>
                <w:rFonts w:ascii="Arial" w:cs="Arial" w:eastAsia="Arial" w:hAnsi="Arial"/>
                <w:sz w:val="18"/>
                <w:szCs w:val="18"/>
                <w:color w:val="auto"/>
              </w:rPr>
              <w:t>99,900</w:t>
            </w:r>
          </w:p>
        </w:tc>
        <w:tc>
          <w:tcPr>
            <w:tcW w:w="440" w:type="dxa"/>
            <w:vAlign w:val="bottom"/>
            <w:gridSpan w:val="2"/>
            <w:shd w:val="clear" w:color="auto" w:fill="CCEEFF"/>
          </w:tcPr>
          <w:p>
            <w:pPr>
              <w:ind w:left="340"/>
              <w:spacing w:after="0" w:line="195"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80"/>
              <w:spacing w:after="0" w:line="195" w:lineRule="exact"/>
              <w:rPr>
                <w:sz w:val="20"/>
                <w:szCs w:val="20"/>
                <w:color w:val="auto"/>
              </w:rPr>
            </w:pPr>
            <w:r>
              <w:rPr>
                <w:rFonts w:ascii="Arial" w:cs="Arial" w:eastAsia="Arial" w:hAnsi="Arial"/>
                <w:sz w:val="18"/>
                <w:szCs w:val="18"/>
                <w:color w:val="auto"/>
              </w:rPr>
              <w:t>1,134</w:t>
            </w:r>
          </w:p>
        </w:tc>
        <w:tc>
          <w:tcPr>
            <w:tcW w:w="46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4 -Year Vesting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(0% each quarter during year 1 and 8.33% each quarter during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years 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line="201" w:lineRule="exact"/>
              <w:rPr>
                <w:sz w:val="20"/>
                <w:szCs w:val="20"/>
                <w:color w:val="auto"/>
              </w:rPr>
            </w:pPr>
            <w:r>
              <w:rPr>
                <w:rFonts w:ascii="Arial" w:cs="Arial" w:eastAsia="Arial" w:hAnsi="Arial"/>
                <w:sz w:val="18"/>
                <w:szCs w:val="18"/>
                <w:color w:val="auto"/>
              </w:rPr>
              <w:t>July 14, 2010</w:t>
            </w:r>
          </w:p>
        </w:tc>
        <w:tc>
          <w:tcPr>
            <w:tcW w:w="1580" w:type="dxa"/>
            <w:vAlign w:val="bottom"/>
            <w:gridSpan w:val="3"/>
          </w:tcPr>
          <w:p>
            <w:pPr>
              <w:jc w:val="right"/>
              <w:ind w:right="340"/>
              <w:spacing w:after="0" w:line="201" w:lineRule="exact"/>
              <w:rPr>
                <w:sz w:val="20"/>
                <w:szCs w:val="20"/>
                <w:color w:val="auto"/>
              </w:rPr>
            </w:pPr>
            <w:r>
              <w:rPr>
                <w:rFonts w:ascii="Arial" w:cs="Arial" w:eastAsia="Arial" w:hAnsi="Arial"/>
                <w:sz w:val="18"/>
                <w:szCs w:val="18"/>
                <w:color w:val="auto"/>
              </w:rPr>
              <w:t>20,000</w:t>
            </w:r>
          </w:p>
        </w:tc>
        <w:tc>
          <w:tcPr>
            <w:tcW w:w="4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164</w:t>
            </w:r>
          </w:p>
        </w:tc>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4 -Year Vesting Period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(25%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119,900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1,298</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values of stock option grants were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0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00" w:type="dxa"/>
            <w:vAlign w:val="bottom"/>
            <w:tcBorders>
              <w:bottom w:val="single" w:sz="8" w:color="auto"/>
            </w:tcBorders>
            <w:gridSpan w:val="3"/>
          </w:tcPr>
          <w:p>
            <w:pPr>
              <w:jc w:val="center"/>
              <w:ind w:left="108"/>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tcBorders>
              <w:bottom w:val="single" w:sz="8" w:color="auto"/>
            </w:tcBorders>
            <w:gridSpan w:val="4"/>
          </w:tcPr>
          <w:p>
            <w:pPr>
              <w:jc w:val="center"/>
              <w:ind w:left="468"/>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r>
              <w:rPr>
                <w:rFonts w:ascii="Arial" w:cs="Arial" w:eastAsia="Arial" w:hAnsi="Arial"/>
                <w:sz w:val="15"/>
                <w:szCs w:val="15"/>
                <w:color w:val="auto"/>
              </w:rPr>
              <w:t>(1)</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8.22</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88"/>
              </w:rPr>
              <w:t>—</w:t>
            </w:r>
          </w:p>
        </w:tc>
        <w:tc>
          <w:tcPr>
            <w:tcW w:w="1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10.83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160" w:type="dxa"/>
            <w:vAlign w:val="bottom"/>
            <w:gridSpan w:val="3"/>
          </w:tcPr>
          <w:p>
            <w:pPr>
              <w:jc w:val="right"/>
              <w:ind w:right="580"/>
              <w:spacing w:after="0"/>
              <w:rPr>
                <w:sz w:val="20"/>
                <w:szCs w:val="20"/>
                <w:color w:val="auto"/>
              </w:rPr>
            </w:pPr>
            <w:r>
              <w:rPr>
                <w:rFonts w:ascii="Arial" w:cs="Arial" w:eastAsia="Arial" w:hAnsi="Arial"/>
                <w:sz w:val="18"/>
                <w:szCs w:val="18"/>
                <w:color w:val="auto"/>
              </w:rPr>
              <w:t>1.80%</w:t>
            </w:r>
          </w:p>
        </w:tc>
        <w:tc>
          <w:tcPr>
            <w:tcW w:w="5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1800" w:type="dxa"/>
            <w:vAlign w:val="bottom"/>
            <w:gridSpan w:val="3"/>
          </w:tcPr>
          <w:p>
            <w:pPr>
              <w:jc w:val="right"/>
              <w:ind w:right="300"/>
              <w:spacing w:after="0"/>
              <w:rPr>
                <w:sz w:val="20"/>
                <w:szCs w:val="20"/>
                <w:color w:val="auto"/>
              </w:rPr>
            </w:pPr>
            <w:r>
              <w:rPr>
                <w:rFonts w:ascii="Arial" w:cs="Arial" w:eastAsia="Arial" w:hAnsi="Arial"/>
                <w:sz w:val="18"/>
                <w:szCs w:val="18"/>
                <w:color w:val="auto"/>
              </w:rPr>
              <w:t>2.27%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50.37%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88"/>
              </w:rPr>
              <w:t>—</w:t>
            </w:r>
          </w:p>
        </w:tc>
        <w:tc>
          <w:tcPr>
            <w:tcW w:w="1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50.07%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49.48%</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4.95</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1800" w:type="dxa"/>
            <w:vAlign w:val="bottom"/>
            <w:gridSpan w:val="3"/>
          </w:tcPr>
          <w:p>
            <w:pPr>
              <w:jc w:val="right"/>
              <w:ind w:right="440"/>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5620" w:right="4300" w:hanging="5612"/>
        <w:spacing w:after="0" w:line="523" w:lineRule="auto"/>
        <w:tabs>
          <w:tab w:leader="none" w:pos="463" w:val="left"/>
        </w:tabs>
        <w:numPr>
          <w:ilvl w:val="0"/>
          <w:numId w:val="12"/>
        </w:numPr>
        <w:rPr>
          <w:rFonts w:ascii="Arial" w:cs="Arial" w:eastAsia="Arial" w:hAnsi="Arial"/>
          <w:sz w:val="14"/>
          <w:szCs w:val="14"/>
          <w:color w:val="auto"/>
        </w:rPr>
      </w:pPr>
      <w:r>
        <w:rPr>
          <w:rFonts w:ascii="Arial" w:cs="Arial" w:eastAsia="Arial" w:hAnsi="Arial"/>
          <w:sz w:val="17"/>
          <w:szCs w:val="17"/>
          <w:color w:val="auto"/>
        </w:rPr>
        <w:t>The fair value calculation was based on stock options granted during each respective period.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nine months ended September 30, 2010 was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7"/>
              </w:rPr>
              <w:t>Number of</w:t>
            </w:r>
          </w:p>
        </w:tc>
        <w:tc>
          <w:tcPr>
            <w:tcW w:w="1340" w:type="dxa"/>
            <w:vAlign w:val="bottom"/>
            <w:gridSpan w:val="3"/>
            <w:vMerge w:val="continue"/>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Options</w:t>
            </w: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Term</w:t>
            </w:r>
          </w:p>
        </w:tc>
        <w:tc>
          <w:tcPr>
            <w:tcW w:w="1340" w:type="dxa"/>
            <w:vAlign w:val="bottom"/>
            <w:gridSpan w:val="4"/>
          </w:tcPr>
          <w:p>
            <w:pPr>
              <w:jc w:val="center"/>
              <w:ind w:left="134"/>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(thousands)</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December 31, 2009</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18.37</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23.80</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16.62</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Forfeited/cancelled/expired</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20.12</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September 30, 2010</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18.61</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on September 30, 2010</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18.55</w:t>
            </w: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5.42</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6,339</w:t>
            </w: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1,609</w:t>
            </w:r>
          </w:p>
        </w:tc>
        <w:tc>
          <w:tcPr>
            <w:tcW w:w="6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Exercisable on September 30, 2010</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17.72</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aggregate intrinsic value in the table above represents the total pre-tax value that option holders would have received had all option holders exercised their options on September 30, 2010. The aggregate intrinsic value is the difference between the closing price of Universal Electronics Inc.’s common stock on the last trading day of the third quarter of 2010 and the option exercise price, multiplied by the number of in-the-money options. This amount will change based on the fair market value of our stock. The total intrinsic value of options exercised for the three months ended September 30, 2010 and 2009, was $0 and $0.6 million, respectively. The total intrinsic value of options exercised for the nine months ended September 30, 2010 and 2009, was $0.1 million and $1.9 million, respectively.</w:t>
      </w:r>
    </w:p>
    <w:p>
      <w:pPr>
        <w:spacing w:after="0" w:line="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September 30, 2010, there was $2.7 million of unrecognized pre-tax stock-based compensation expense related to non-vested stock options which we expect to recognize over a weighted-average period of 2.4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nine months ended September 30, 2010, the Compensation Committee and Board of Directors granted 45,500 restricted stock awards to our employees with an aggregate grant date fair value of $1.1 million under the 2006 Stock Incentive Plan. There were no restricted stock grants to employees during the three months ended September 30, 2010. The restricted stock awards granted to employees during the nine months ended September 30, 2010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5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Restricted Stock</w:t>
            </w:r>
          </w:p>
        </w:tc>
        <w:tc>
          <w:tcPr>
            <w:tcW w:w="5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5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520" w:type="dxa"/>
            <w:vAlign w:val="bottom"/>
            <w:vMerge w:val="restart"/>
          </w:tcPr>
          <w:p>
            <w:pPr>
              <w:spacing w:after="0"/>
              <w:rPr>
                <w:sz w:val="12"/>
                <w:szCs w:val="12"/>
                <w:color w:val="auto"/>
              </w:rPr>
            </w:pPr>
          </w:p>
        </w:tc>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5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(thousands)</w:t>
            </w:r>
          </w:p>
        </w:tc>
        <w:tc>
          <w:tcPr>
            <w:tcW w:w="520" w:type="dxa"/>
            <w:vAlign w:val="bottom"/>
            <w:vMerge w:val="continue"/>
          </w:tcPr>
          <w:p>
            <w:pPr>
              <w:spacing w:after="0"/>
              <w:rPr>
                <w:sz w:val="14"/>
                <w:szCs w:val="14"/>
                <w:color w:val="auto"/>
              </w:rPr>
            </w:pPr>
          </w:p>
        </w:tc>
        <w:tc>
          <w:tcPr>
            <w:tcW w:w="4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January 25, 2010</w:t>
            </w:r>
          </w:p>
        </w:tc>
        <w:tc>
          <w:tcPr>
            <w:tcW w:w="1680" w:type="dxa"/>
            <w:vAlign w:val="bottom"/>
            <w:gridSpan w:val="2"/>
            <w:shd w:val="clear" w:color="auto" w:fill="CCEEFF"/>
          </w:tcPr>
          <w:p>
            <w:pPr>
              <w:jc w:val="center"/>
              <w:ind w:left="450"/>
              <w:spacing w:after="0" w:line="195" w:lineRule="exact"/>
              <w:rPr>
                <w:sz w:val="20"/>
                <w:szCs w:val="20"/>
                <w:color w:val="auto"/>
              </w:rPr>
            </w:pPr>
            <w:r>
              <w:rPr>
                <w:rFonts w:ascii="Arial" w:cs="Arial" w:eastAsia="Arial" w:hAnsi="Arial"/>
                <w:sz w:val="18"/>
                <w:szCs w:val="18"/>
                <w:color w:val="auto"/>
                <w:w w:val="90"/>
              </w:rPr>
              <w:t>45,500</w:t>
            </w:r>
          </w:p>
        </w:tc>
        <w:tc>
          <w:tcPr>
            <w:tcW w:w="1640" w:type="dxa"/>
            <w:vAlign w:val="bottom"/>
            <w:gridSpan w:val="2"/>
            <w:shd w:val="clear" w:color="auto" w:fill="CCEEFF"/>
          </w:tcPr>
          <w:p>
            <w:pPr>
              <w:jc w:val="right"/>
              <w:ind w:right="288"/>
              <w:spacing w:after="0" w:line="195" w:lineRule="exact"/>
              <w:rPr>
                <w:sz w:val="20"/>
                <w:szCs w:val="20"/>
                <w:color w:val="auto"/>
              </w:rPr>
            </w:pPr>
            <w:r>
              <w:rPr>
                <w:rFonts w:ascii="Arial" w:cs="Arial" w:eastAsia="Arial" w:hAnsi="Arial"/>
                <w:sz w:val="18"/>
                <w:szCs w:val="18"/>
                <w:color w:val="auto"/>
              </w:rPr>
              <w:t>$1,133</w:t>
            </w:r>
          </w:p>
        </w:tc>
        <w:tc>
          <w:tcPr>
            <w:tcW w:w="4900" w:type="dxa"/>
            <w:vAlign w:val="bottom"/>
            <w:gridSpan w:val="2"/>
            <w:shd w:val="clear" w:color="auto" w:fill="CCEEFF"/>
          </w:tcPr>
          <w:p>
            <w:pPr>
              <w:ind w:left="520"/>
              <w:spacing w:after="0" w:line="195" w:lineRule="exact"/>
              <w:rPr>
                <w:sz w:val="20"/>
                <w:szCs w:val="20"/>
                <w:color w:val="auto"/>
              </w:rPr>
            </w:pPr>
            <w:r>
              <w:rPr>
                <w:rFonts w:ascii="Arial" w:cs="Arial" w:eastAsia="Arial" w:hAnsi="Arial"/>
                <w:sz w:val="18"/>
                <w:szCs w:val="18"/>
                <w:color w:val="auto"/>
              </w:rPr>
              <w:t>4-Year Vesting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7"/>
              </w:rPr>
              <w:t>(0% each quarter during year 1 and 8.33% each quarter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during years 2-4)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 addition to the grants to employees, on July 1, 2010, 30,000 shares of restricted stock, with a grant date fair value of $0.5 million, were granted to our outside directors as a part of their annual compensation package. These shares are subject to a one-year vesting period (25% each quarter).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Non-vested restricted stock award activity during the nine months ended September 30, 2010 (including restricted stock issued to directors as described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10) was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5"/>
              </w:rPr>
              <w:t>Shares</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Granted</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(thousands)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Non-vested on December 31, 2009</w:t>
            </w:r>
          </w:p>
        </w:tc>
        <w:tc>
          <w:tcPr>
            <w:tcW w:w="5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6540" w:type="dxa"/>
            <w:vAlign w:val="bottom"/>
            <w:gridSpan w:val="3"/>
          </w:tcPr>
          <w:p>
            <w:pPr>
              <w:jc w:val="right"/>
              <w:ind w:right="6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5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Forfeited</w:t>
            </w:r>
          </w:p>
        </w:tc>
        <w:tc>
          <w:tcPr>
            <w:tcW w:w="514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Non-vested on September 30, 2010</w:t>
            </w:r>
          </w:p>
        </w:tc>
        <w:tc>
          <w:tcPr>
            <w:tcW w:w="5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140" w:type="dxa"/>
            <w:vAlign w:val="bottom"/>
            <w:vMerge w:val="restart"/>
          </w:tcPr>
          <w:p>
            <w:pPr>
              <w:jc w:val="right"/>
              <w:ind w:right="3330"/>
              <w:spacing w:after="0"/>
              <w:rPr>
                <w:sz w:val="20"/>
                <w:szCs w:val="20"/>
                <w:color w:val="auto"/>
              </w:rPr>
            </w:pPr>
            <w:r>
              <w:rPr>
                <w:rFonts w:ascii="Arial" w:cs="Arial" w:eastAsia="Arial" w:hAnsi="Arial"/>
                <w:sz w:val="18"/>
                <w:szCs w:val="18"/>
                <w:color w:val="auto"/>
              </w:rPr>
              <w:t>20</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September 30, 2010, we expect to recognize $3.7 million of unrecognized pre-tax stock-based compensation expense related to non-vested restricted stock awards over a weighted-average period of 1.8 years.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 under the caption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in our Annual Report on Form 10-K for further information regarding our accounting principles.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Income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for the three and nine months ended September 30, 2010 and 2009 are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foreign currency exchange contracts</w:t>
            </w:r>
            <w:r>
              <w:rPr>
                <w:rFonts w:ascii="Arial" w:cs="Arial" w:eastAsia="Arial" w:hAnsi="Arial"/>
                <w:sz w:val="15"/>
                <w:szCs w:val="15"/>
                <w:color w:val="auto"/>
              </w:rPr>
              <w:t>(1)</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(loss) gain on foreign currency exchange transactions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This represents the gains and losses recognized on foreign currency hedging derivatives (see Note 16 for further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w:t>
      </w:r>
    </w:p>
    <w:p>
      <w:pPr>
        <w:spacing w:after="0" w:line="7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the computation of diluted earnings per common share for the three months ended September 30, 2010 and 2009, we have excluded 735,126 and 749,025 stock options, respectively, with exercise prices greater than the average market price of the underlying common stock, because their inclusion would have been anti-dilutive. Furthermore, for the three months ended September 30, 2010 and 2009, we have excluded 196,305 and 264,666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6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the computation of diluted earnings per common share for the nine months ended September 30, 2010 and 2009, we have excluded 560,574 and 906,387 stock options, respectively, with exercise prices greater than the average market price of the underlying common stock, because their inclusion would have been anti-dilutive. Furthermore, for the nine months ended September 30, 2010 and 2009, we have excluded 197,435 and 238,238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and nine months ended September 30, 2010 and 2009,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w w:val="99"/>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4,702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4,223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11,315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13,417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13,687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13,572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13,656</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jc w:val="center"/>
              <w:ind w:right="530"/>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4,702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4,223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11,315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13,417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13,687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13,572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13,671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14,008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13,897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13,940</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exposed to market risks from foreign currency exchange rates, which may adversely affect our operating results and financial position. Our foreign currency exposures are primarily concentrated in the Euro, British Pound, and Hong Kong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5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gains and losses on foreign currency hedging derivatives are recorded as foreign currency exchange contract gains or losses in other income (expense), net (see Note 14). Derivatives are recorded on the balance sheet at fair value. The estimated fair value of our derivative financial instruments represent the amount required to enter into offsetting contracts with similar remaining maturities based on quoted market prices.</w:t>
      </w:r>
    </w:p>
    <w:p>
      <w:pPr>
        <w:spacing w:after="0" w:line="5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The fair value of our derivatives are determined utilizing level 2 inputs in the fair value hierarchy. See Note 2 under the captions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and </w:t>
      </w:r>
      <w:r>
        <w:rPr>
          <w:rFonts w:ascii="Arial" w:cs="Arial" w:eastAsia="Arial" w:hAnsi="Arial"/>
          <w:sz w:val="16"/>
          <w:szCs w:val="16"/>
          <w:i w:val="1"/>
          <w:iCs w:val="1"/>
          <w:color w:val="auto"/>
        </w:rPr>
        <w:t>Fair-Value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in our Annual Report on Form 10-K for further information concerning the accounting principles and valuation methodology utilized.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11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We held one USD/Euro futures contract with a notional value of $1.5 million and a forward rate of $1.4386 USD/Euro on December 31, 2009. We held the Euro position on this contract, which settled on January 15, 2010. The loss on this contract as of December 31, 2009 was $5 thousand and was included in other accrued expenses. This contract was settled at a gain of $11 thousand resulting in a gain of $16 thousand in January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Options</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July 2009, we entered into a USD/GBP put option with a notional value of $4.3 million. That contract expired on December 31, 2009 and settled on January 5, 2010. The fair value of this put option was approximately $2 thousand on December 31, 2009 and was included in accounts receivable, net (see Note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Business Acquisition</w:t>
      </w:r>
    </w:p>
    <w:p>
      <w:pPr>
        <w:spacing w:after="0" w:line="121"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On February 18, 2009, we acquired certain patents, intellectual property and other assets related to the universal remote control business from Zilog, Inc. (NASDAQ: ZILG) for approximately $9.5 million in cash. The purchase included Zilog’s full library and database of infrared codes, software tools and certain fixed assets. We also hired 116 of Zilog’s sales and engineering personnel, including all 107 of Zilog’s personnel located in India. In a related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transaction, Maxim Integrated Products (NASDAQ: MXIM) acquired two of Zilog’s product lines, namely, the hardware portion of Zilog’s remote control business and Zilog’s secured transaction product line.</w:t>
      </w:r>
    </w:p>
    <w:p>
      <w:pPr>
        <w:spacing w:after="0" w:line="6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cross-licensed the remote control technology and intellectual property with Maxim Integrated Products for the purpose of conducting our respective businesses. The arrangement involves an agreement to source silicon chips from Maxim. In addition, during 2009 we agreed to be Maxim’s exclusive sales agent, selling the Zilog designs to Zilog’s former customers, in return for a sales agency fee. The sales agency fee during the three months ended September 30, 2010 and 2009 was $0.9 million and $1.3 million, respectively. The sales agency fee during the nine months ended September 30, 2010 and 2009 was $3.4 million and $3.1 million, respectively. This arrangement was mildly accretive to our earnings in 2009, excluding acquisition costs. During 2010, as the transition from the Zilog chip platform to the Maxim chip platform progresses, we will begin to take over full sales and distribution rights, procuring and selling the chips directly to Zilog’s former customers. We anticipate this position will lead to growth in revenue and earnings going forward. Our consolidated financial statements include the operating results of the acquired assets, employees hired, and the related agreement with Maxim from February 18, 2009.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price of approximately $9.5 million was allocated to the net assets acquired based on their estimated fair values as follows: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Database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2,902</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Purchase price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Of the total purchase price, approximately $6.6 million was allocated to the database and customer relationships intangible assets and are subject to amortization.</w:t>
      </w:r>
    </w:p>
    <w:p>
      <w:pPr>
        <w:spacing w:after="0" w:line="6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database intangible is composed of the estimated fair value of patents, intellectual property and other assets related to Zilog’s database of infrared codes, and software tools. When determining the fair value of the database, we utilized the cost approach. In our valuation, we estimated the total costs to recreate the database, including the associated opportunity costs (or revenue lost while recreating). We discounted the after-tax cash flows to present value to arrive at our estimate of the fair value of the database. We are amortizing the database on a straight-line basis over an estimated useful life of fifteen years.</w:t>
      </w:r>
    </w:p>
    <w:p>
      <w:pPr>
        <w:spacing w:after="0" w:line="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customer relationship intangible is composed of the fair value of customer relationships acquired as a result of the Zilog purchase. We utilized the income approach to estimate the fair value of the customer relationships intangible. We developed after-tax cash flows based on forecasted revenue from these customers assuming a customer attrition rate based on our analysis of customer data for UEI and Zilog. We discounted the after-tax cash flows to present value to arrive at our estimate of the fair value of the customer relationships intangible. We are amortizing the customer relationships intangible on a straight-line basis over an estimated useful life of fifteen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Goodwill represents the excess of the purchase price over the estimated fair value of the identifiable tangible and intangible assets acquired. Goodwill from this transaction of $2.9 million will not be amortized, but will be analyzed for impairment on at least an annual basis in accordance with U.S. GAAP. We review our goodwill for impairment annually as of December 31st and whenever events or changes in circumstances indicate that an impairment loss may have occurred. We have not recorded any impairment related to the goodwill recognized as a result of the Zilog acquisition. Of the total goodwill recorded, none is expected to be deductible for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is attributable to the following value we received from this acquisition:</w:t>
      </w:r>
    </w:p>
    <w:p>
      <w:pPr>
        <w:spacing w:after="0" w:line="117" w:lineRule="exact"/>
        <w:rPr>
          <w:sz w:val="20"/>
          <w:szCs w:val="20"/>
          <w:color w:val="auto"/>
        </w:rPr>
      </w:pPr>
    </w:p>
    <w:p>
      <w:pPr>
        <w:ind w:left="660" w:right="26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This acquisition will expand the breadth and depth of our customer base in both subscription broadcasting and original equipment manufacturing, particularly in Asia.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We believe integrating Zilog’s technologies with and into our own technology will reduce design cycle times, lower costs, and lead to improvements in our integrated circuit design, product quality and overall functional performance.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acquisition of former Zilog employees will allow us to leverage their experience to our advantage in the wireless control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recognized $1.1 million of total acquisition costs related to the Zilog transaction in selling, general and administrative expenses during the three months ended March 31, 2009 and the year ended December 31, 2009. The acquisition costs consisted of primarily legal and investment banking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the acquisition from Zilog as if the acquisition had occurred at January 1, 2009. Adjustments netting $0 and $0.04 million for the three and nine months ended September 30, 2009, respectively, have been made to the combined results of operations, primarily reflecting net sales, salary costs and the amortization of purchased intangible assets. The adjustments are net of any related tax effects.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three and nine months ended September 30,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7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September 30, 2009</w:t>
            </w:r>
          </w:p>
        </w:tc>
        <w:tc>
          <w:tcPr>
            <w:tcW w:w="480" w:type="dxa"/>
            <w:vAlign w:val="bottom"/>
          </w:tcPr>
          <w:p>
            <w:pPr>
              <w:spacing w:after="0"/>
              <w:rPr>
                <w:sz w:val="14"/>
                <w:szCs w:val="14"/>
                <w:color w:val="auto"/>
              </w:rPr>
            </w:pPr>
          </w:p>
        </w:tc>
        <w:tc>
          <w:tcPr>
            <w:tcW w:w="16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September 30, 2009</w:t>
            </w: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7"/>
              </w:rPr>
              <w:t>83,182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6"/>
              </w:rPr>
              <w:t>233,098</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4,223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8,796</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0.31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0.64</w:t>
            </w: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0.63</w:t>
            </w: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 presented, and should not be taken as a projection of the future consolidated results of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November 3, 2010, our subsidiary, UEI Hong Kong Private Limited, entered into an agreement to acquire all of the issued shares in the capital of Enson Assets Limited, a limited liability company organized under the Laws of the British Virgin Islands, for total consideration of approximately $125.4 million consisting of $95 million in cash and 1,460,000 of newly issued shares of common stock valued at approximately $30.4 million. This acquisition was consummated pursuant to a Stock Purchase Agreement, dated as of November 3, 2010, among Universal Electronics Inc., UEI Hong Kong Private Limited and CG International Holdings Limited (“CGI”), a closely-held exempted company incorporated in the Cayman Islands. We have not yet estimated the fair value of the contingent payments, which may change the total purchase price of $125.4 million. A total of $5.0 million of the purchase price was held back at the closing and will be applied to any CGI payments required as a result of the failure to meet both a net asset target or an earnings target for Enson Assets Limited and its subsidiaries (“Enson”).</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November 1, 2010, we amended and restated our existing credit agreement with U.S. Bank to add a new $35.0 million secured term loan facility for the purpose of financing a portion of our acquisition of Enson. In addition, our existing $15.0 million unsecured revolving credit line became a secured facility, was increased to $20.0 million, and the expiration date was extended from October 31, 2011 to November 1, 2012. See Note 8 for further information related to the U.S. Bank credit agreement.</w:t>
      </w:r>
    </w:p>
    <w:p>
      <w:pPr>
        <w:spacing w:after="0" w:line="7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Proforma financial statements are not included as we have not had adequate time to complete our fair value analysis which we believe may result in a material amount of annual amortization expense related to intangible assets. Our fair value analysis is expected to be completed in the fourth quarter 2010.</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Enson Description</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Enson is a leading designer, marketer, and manufacturer of remote controls. It is one of our significant suppliers. The Enson corporate office, located in Hong Kong, is approximately 6,000 square feet and employs 53 people. Enson controls two factories located in the Peoples Republic of China.</w:t>
      </w:r>
    </w:p>
    <w:p>
      <w:pPr>
        <w:spacing w:after="0" w:line="38" w:lineRule="exact"/>
        <w:rPr>
          <w:sz w:val="20"/>
          <w:szCs w:val="20"/>
          <w:color w:val="auto"/>
        </w:rPr>
      </w:pPr>
    </w:p>
    <w:p>
      <w:pPr>
        <w:jc w:val="both"/>
        <w:ind w:right="1020"/>
        <w:spacing w:after="0" w:line="342" w:lineRule="auto"/>
        <w:rPr>
          <w:sz w:val="20"/>
          <w:szCs w:val="20"/>
          <w:color w:val="auto"/>
        </w:rPr>
      </w:pPr>
      <w:r>
        <w:rPr>
          <w:rFonts w:ascii="Arial" w:cs="Arial" w:eastAsia="Arial" w:hAnsi="Arial"/>
          <w:sz w:val="16"/>
          <w:szCs w:val="16"/>
          <w:color w:val="auto"/>
        </w:rPr>
        <w:t>The southern factory is located in Guang Dong Province, Peoples Republic of China within the city of Guang Zhou. The Guang Zhou factory is approximately 710,203 square feet and employs 796 people, with an additional 4,916 factory workers contracted through an agency agreement.</w:t>
      </w:r>
    </w:p>
    <w:p>
      <w:pPr>
        <w:spacing w:after="0" w:line="1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northern factory is located in Jiang Su Province, Peoples Republic of China within the city of Yang Zhou. The Yang Zhou factory is approximately 768,543 square feet and employs 384 people, with an additional 4,415 factory workers contracted through an agency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Reasons for the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value we anticipate from this acquisition relates primarily to the following:</w:t>
      </w:r>
    </w:p>
    <w:p>
      <w:pPr>
        <w:spacing w:after="0" w:line="117" w:lineRule="exact"/>
        <w:rPr>
          <w:sz w:val="20"/>
          <w:szCs w:val="20"/>
          <w:color w:val="auto"/>
        </w:rPr>
      </w:pPr>
    </w:p>
    <w:p>
      <w:pPr>
        <w:ind w:left="66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Enson should increase our market position in the strategically important consumer electronics market with its historic strength with leading Japanese customers. We have not historically been well positioned in this market.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4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Enson currently produces approximately one-third of our volume, therefore, we may decrease third party supplier purchases. In addition, Enson has available manufacturing capacity, which may provide us the ability to increase utilization of its existing factories.</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We may utilize Enson’s in-place management and personnel to assist in implementing our plan to place more operations, logistics, quality, program management, engineering, sales, and marketing personnel in the Asia region.</w:t>
      </w:r>
    </w:p>
    <w:p>
      <w:pPr>
        <w:spacing w:after="0" w:line="75"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Enson’s full line of remotes, from dedicated to higher-end universal, should assist us to further penetrate the growing Asian and Latin American subscription broadcasting markets. The lower subscriber revenue in these markets can cause them to begin with lower-cost dedicated remotes and to later transition to universal remote controls.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Acquiring Enson should allow us to gain purchasing economies.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developed a broad line of pre-programmed universal wireless control products and audio-video accessories that are marketed to enhance home entertainment systems. Our customers operate in the consumer electronics market and include OEMs, MSOs (cable and satellite service providers), international retailers, CEDIA (Custom Electronic Design and Installation Association), North American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IR controlled TVs, DVD players, media players, cable converters, audio components and satellite receivers, as well as most other infrared remote controlled devices worldwide.</w:t>
      </w:r>
    </w:p>
    <w:p>
      <w:pPr>
        <w:spacing w:after="0" w:line="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Beginning in 1986 and continuing today, we have compiled an extensive IR code library that covers over 486,000 individual device functions and over 4,100 individual consumer electronic equipment brand names. Our library is regularly updated with IR codes used in newly introduced video and audio devices. All such IR codes are captured from the original manufacturer’s remote control devices or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operate as one business segment. We have fifteen subsidiaries located in Argentina, Brazil, Cayman Islands, China, France, Germany (2), Hong Kong (2), India, Italy, the Netherlands, Singapore, Spain and the United Kingdom.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nine months ended September 30, 2010:</w:t>
      </w:r>
    </w:p>
    <w:p>
      <w:pPr>
        <w:spacing w:after="0" w:line="117" w:lineRule="exact"/>
        <w:rPr>
          <w:sz w:val="20"/>
          <w:szCs w:val="20"/>
          <w:color w:val="auto"/>
        </w:rPr>
      </w:pPr>
    </w:p>
    <w:p>
      <w:pPr>
        <w:ind w:left="660" w:right="20" w:hanging="436"/>
        <w:spacing w:after="0" w:line="259"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revenue decreased 1.4% from $232.6 million for the nine months ended September 30, 2009 to $229.3 million for the nine months ended September 30, 2010. We acquired new domestic and international customers in our business category which offset the loss of sales from a significant customer who returned to a more traditional dual source arrangement beginning in the first quarter of 2010. This significant customer purchased the majority of its remotes from us in 2009.</w:t>
      </w:r>
    </w:p>
    <w:p>
      <w:pPr>
        <w:spacing w:after="0" w:line="92" w:lineRule="exact"/>
        <w:rPr>
          <w:rFonts w:ascii="Arial" w:cs="Arial" w:eastAsia="Arial" w:hAnsi="Arial"/>
          <w:sz w:val="18"/>
          <w:szCs w:val="18"/>
          <w:b w:val="1"/>
          <w:bCs w:val="1"/>
          <w:color w:val="auto"/>
        </w:rPr>
      </w:pPr>
    </w:p>
    <w:p>
      <w:pPr>
        <w:ind w:left="660" w:right="60" w:hanging="436"/>
        <w:spacing w:after="0" w:line="293" w:lineRule="auto"/>
        <w:tabs>
          <w:tab w:leader="none" w:pos="66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Our operating income for the first nine months of 2010 increased 19.5% to $16.6 million from operating income of $13.9 million in the first nine months of 2009. Our operating margin percentage increased from 5.9% in the first nine months of 2009 to 7.2% in the first nine months of 2010 due to the increase in our gross margin percentage, which was partially offset by an increase in operating expenses as a percentage of revenue. Our gross margin percentage increased from 31.4% in the first nine months of 2009 to 32.8% in the first nine months of 2010 due primarily to sales mix, as a higher percentage of sales in our business category was comprised of higher-margin products. Operating expenses increased from 25.5% of revenue for the nine months ended September 30, 2009 to 25.6% for the nine months ended September 30, 2010.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2010 include the following:</w:t>
      </w:r>
    </w:p>
    <w:p>
      <w:pPr>
        <w:spacing w:after="0" w:line="117"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continue our expansion into new regions, Asia and Latin America in particular;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continue to evaluate potential acquisition and joint venture opportunities that may enhance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intend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and nine months ended September 30, 2010 to the items that we disclosed as our critical accounting policies and estimates in Item 7, “Management’s Discussion and Analysis of Financial Condition and Results of Operations” contained in our Annual Report on Form 10-K for our fiscal year ended December 31,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See Note 1 contained in the “Notes to the Consolidated Financial Statements” for a discussion of new and recently adopted accounting pronouncements.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as a percentage of net sales for the three and nine months ended September 30, 2010 and 2009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9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3"/>
              </w:rPr>
              <w:t>Three Months Ended September 30,</w:t>
            </w:r>
          </w:p>
        </w:tc>
        <w:tc>
          <w:tcPr>
            <w:tcW w:w="23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17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7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7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7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32.6</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31.3</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240" w:type="dxa"/>
            <w:vAlign w:val="bottom"/>
            <w:gridSpan w:val="3"/>
          </w:tcPr>
          <w:p>
            <w:pPr>
              <w:jc w:val="right"/>
              <w:ind w:right="760"/>
              <w:spacing w:after="0"/>
              <w:rPr>
                <w:sz w:val="20"/>
                <w:szCs w:val="20"/>
                <w:color w:val="auto"/>
              </w:rPr>
            </w:pPr>
            <w:r>
              <w:rPr>
                <w:rFonts w:ascii="Arial" w:cs="Arial" w:eastAsia="Arial" w:hAnsi="Arial"/>
                <w:sz w:val="18"/>
                <w:szCs w:val="18"/>
                <w:color w:val="auto"/>
              </w:rPr>
              <w:t>3.4</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2.7</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3.5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20.9</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20.6</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7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7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7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8.3</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240" w:type="dxa"/>
            <w:vAlign w:val="bottom"/>
            <w:gridSpan w:val="3"/>
          </w:tcPr>
          <w:p>
            <w:pPr>
              <w:jc w:val="right"/>
              <w:ind w:right="70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0.1</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2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0.1</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7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7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7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7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6.0%</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4.8%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740" w:type="dxa"/>
            <w:vAlign w:val="bottom"/>
            <w:vMerge w:val="restart"/>
          </w:tcPr>
          <w:p>
            <w:pPr>
              <w:jc w:val="right"/>
              <w:ind w:right="270"/>
              <w:spacing w:after="0"/>
              <w:rPr>
                <w:sz w:val="20"/>
                <w:szCs w:val="20"/>
                <w:color w:val="auto"/>
              </w:rPr>
            </w:pPr>
            <w:r>
              <w:rPr>
                <w:rFonts w:ascii="Arial" w:cs="Arial" w:eastAsia="Arial" w:hAnsi="Arial"/>
                <w:sz w:val="18"/>
                <w:szCs w:val="18"/>
                <w:color w:val="auto"/>
              </w:rPr>
              <w:t>28</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2010 versus Three Months Ended September 30,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three months ended September 30, 2010 and 2009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5"/>
              </w:rPr>
              <w:t>Three Months Ended September 30,</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14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w w:val="93"/>
              </w:rPr>
              <w:t>(millions)</w:t>
            </w:r>
          </w:p>
        </w:tc>
        <w:tc>
          <w:tcPr>
            <w:tcW w:w="140" w:type="dxa"/>
            <w:vAlign w:val="bottom"/>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52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83.8%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67.0</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16.2</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w:t>
            </w:r>
            <w:r>
              <w:rPr>
                <w:rFonts w:ascii="Arial" w:cs="Arial" w:eastAsia="Arial" w:hAnsi="Arial"/>
                <w:sz w:val="18"/>
                <w:szCs w:val="18"/>
                <w:u w:val="single" w:color="auto"/>
                <w:color w:val="auto"/>
              </w:rPr>
              <w:t>0</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83.</w:t>
            </w:r>
            <w:r>
              <w:rPr>
                <w:rFonts w:ascii="Arial" w:cs="Arial" w:eastAsia="Arial" w:hAnsi="Arial"/>
                <w:sz w:val="18"/>
                <w:szCs w:val="18"/>
                <w:u w:val="single" w:color="auto"/>
                <w:color w:val="auto"/>
                <w:w w:val="79"/>
              </w:rPr>
              <w:t>2</w:t>
            </w:r>
          </w:p>
        </w:tc>
        <w:tc>
          <w:tcPr>
            <w:tcW w:w="14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Net sales for the third quarter of 2010 were $79.0 million, a decrease of 5.0% compared to $83.2 million for the third quarter of 2009. Net income for the third quarter of 2010 was $4.7 million or $0.34 per diluted share compared to $4.2 million or $0.30 per diluted share for the third quarter of 2009.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84% of net sales in the third quarter of 2010 compared to approximately 81% in the third quarter of 2009. Net sales in our Business lines for the third quarter of 2010 decreased by 1% to $66.2 million from $67.0 million in the third quarter of 2009. This was the result of a significant customer returning to a more traditional dual source arrangement during the first quarter of 2010, impacting the first, second, and third quarters of 2010. This significant customer purchased the majority of its remotes from us during the first nine months of 2009. We were able to offset this loss by acquiring new domestic and international customers.</w:t>
      </w:r>
    </w:p>
    <w:p>
      <w:pPr>
        <w:spacing w:after="0" w:line="6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Net sales in our Consumer lines (One For All</w:t>
      </w:r>
      <w:r>
        <w:rPr>
          <w:rFonts w:ascii="Arial" w:cs="Arial" w:eastAsia="Arial" w:hAnsi="Arial"/>
          <w:sz w:val="15"/>
          <w:szCs w:val="15"/>
          <w:color w:val="auto"/>
        </w:rPr>
        <w:t>®</w:t>
      </w:r>
      <w:r>
        <w:rPr>
          <w:rFonts w:ascii="Arial" w:cs="Arial" w:eastAsia="Arial" w:hAnsi="Arial"/>
          <w:sz w:val="18"/>
          <w:szCs w:val="18"/>
          <w:color w:val="auto"/>
        </w:rPr>
        <w:t xml:space="preserve"> retail, private label and custom installers) were approximately 16% of net sales during the third quarter of 2010 compared to approximately 19% during the third quarter of 2009. Net sales in our Consumer lines decreased by 21% to $12.8 million during the third quarter of 2010 from $16.2 million during the third quarter of 2009. North American retail sales declined by $3.6 million from $4.9 million in the third quarter of 2009 to $1.3 million in the third quarter of 2010 due to a significant product launch which occurred in the third quarter of 2009. No such launch occurred in the third quarter of 2010. Additionally, CEDIA sales decreased by $0.7 million compared to the third quarter of 2009. Partially offsetting these decreases was an increase in international retail sales, which increased by $0.8 million from $9.9 million during the third quarter of 2009 to $10.7 million during the third quarter of 2010 primarily as a result of the analog-to-digital transition that took place in some European countries. The weakening of both the Euro and the British Pound compared to the U.S. dollar resulted in a decrease in net sales of approximately $0.8 million. Net of this currency effect, international retail sales increased $1.6 million.</w:t>
      </w:r>
    </w:p>
    <w:p>
      <w:pPr>
        <w:spacing w:after="0" w:line="8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Gross profit for the third quarter of 2010 was $25.7 million compared to $26.1 million for the third quarter of 2009. Gross profit as a percentage of sales for the third quarter of 2010 increased to 32.6% from 31.3% during the same period in the prior year, due to the following reasons:</w:t>
      </w:r>
    </w:p>
    <w:p>
      <w:pPr>
        <w:spacing w:after="0" w:line="38" w:lineRule="exact"/>
        <w:rPr>
          <w:sz w:val="20"/>
          <w:szCs w:val="20"/>
          <w:color w:val="auto"/>
        </w:rPr>
      </w:pPr>
    </w:p>
    <w:p>
      <w:pPr>
        <w:ind w:left="660" w:right="2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Sales of higher-margin products in both the Business and Consumer categories represented a larger percentage of the overall sales in both categories, which resulted in an increase of 1.7% in the gross margin rate;</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decrease in sub-contract labor of $0.4 million due to a decline in the number of units that required in-market configuration and handling caused an increase in the gross margin rate of 0.5%;</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 decrease of 0.5% in the gross margin rate;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 increase in freight expense of $0.2 million resulted in a decrease of 0.3% in the gross margin rate.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Research and development expenses increased 19.4% from $2.3 million during the third quarter of 2009 to $2.7 million during the third quarter of 2010 due to additional investments in product development.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Selling, general and administrative expenses decreased 4.1% from $17.2 million during the third quarter of 2009 to $16.5 million during the third quarter of 2010. The weakening of the Euro compared to the U.S. dollar resulted in a decrease of $0.6 million. Net of this favorable currency effect, expenses decreased by $0.1 million, primarily due to decreased sales commission expense of $0.4 million and decreased freight and handling expense of $0.3 million. Offsetting these decreases were an increase in travel costs, which increased $0.3 million. Additionally, outside professional service fees increased by $0.2 million during the third quarter of 2010 compared to the third quarter of 2009.</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During the third quarter of 2010 and 2009, we recorded $1 thousand of net interest expense and $0.1 million of net interest income, respectively.</w:t>
      </w:r>
    </w:p>
    <w:p>
      <w:pPr>
        <w:spacing w:after="0" w:line="1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third quarter of 2010, net other income was $40 thousand as compared to $25 thousand during the same period in the prior year. Approximately $72 thousand of net other income during the three months ended September 30, 2010 was the result of a foreign exchange gain, compared to a foreign exchange gain of $29 thousand during the three months ended September 30, 2009.</w:t>
      </w:r>
    </w:p>
    <w:p>
      <w:pPr>
        <w:spacing w:after="0" w:line="7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recorded income tax expense of $1.9 million during the third quarter of 2010 compared to $2.6 million during the third quarter of 2009. Our effective tax rate was 28.8% for the third quarter of 2010 compared to 37.7% for the third quarter of 2009. The decrease in our effective tax rate was due primarily to the statute of limitations expiring on certain tax positions recorded in the United States.</w:t>
      </w:r>
    </w:p>
    <w:p>
      <w:pPr>
        <w:spacing w:after="0" w:line="7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November 3, 2010, our subsidiary, UEI Hong Kong Private Limited, entered into an agreement to acquire all of the issued shares in the capital of Enson Assets Limited, a limited liability company organized under the Laws of the British Virgin Islands, for total consideration of approximately $125.4 million consisting of $95 million in cash and 1,460,000 of newly issued shares of common stock valued at approximately $30.4 million. This acquisition was consummated pursuant to a Stock Purchase Agreement, dated as of November 3, 2010, among Universal Electronics Inc., UEI Hong Kong Private Limited and CG International Holdings Limited (“CGI”), a closely-held exempted company incorporated in the Cayman Islands. We have not yet estimated the fair value of the contingent payments, which may change the total purchase price of $125.4 million. A total of $5.0 million of the purchase price was held back at the closing and will be applied to any CGI payments required as a result of the failure to meet both a net asset target or an earnings target for Enson Assets Limited and its subsidiaries.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See Note 18 contained in the “Notes to the Consolidated Financial Statements” for further information regarding the Enson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2010 versus Nine Months Ended September 30,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nine months ended September 30, 2010 and 2009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5"/>
              </w:rPr>
              <w:t>Nine Months Ended September 30,</w:t>
            </w: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3"/>
              </w:rPr>
              <w:t>(millions)</w:t>
            </w:r>
          </w:p>
        </w:tc>
        <w:tc>
          <w:tcPr>
            <w:tcW w:w="120" w:type="dxa"/>
            <w:vAlign w:val="bottom"/>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(millions)</w:t>
            </w:r>
          </w:p>
        </w:tc>
        <w:tc>
          <w:tcPr>
            <w:tcW w:w="56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193.8</w:t>
            </w:r>
          </w:p>
        </w:tc>
        <w:tc>
          <w:tcPr>
            <w:tcW w:w="56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84.5%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196.0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229.3</w:t>
            </w:r>
          </w:p>
        </w:tc>
        <w:tc>
          <w:tcPr>
            <w:tcW w:w="5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232.6</w:t>
            </w:r>
          </w:p>
        </w:tc>
        <w:tc>
          <w:tcPr>
            <w:tcW w:w="1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sales during the nine months ended September 30, 2010 were $229.3 million, a decrease of 1.4% compared to $232.6 million during the nine month ended September 30, 2009. Net income for the nine months ended September 30, 2010 was $11.3 million or $0.81 per diluted share compared to $8.8 million or $0.63 per diluted share for the nine months ended September 30,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Net sales in our Business lines (subscription broadcasting, OEM and computing companies) were approximately 85% of net sales during the nine months ended September 30, 2010 compared to approximately 84% during the nine months ended September 30, 2009. Net sales in our Business lines during the nine months ended September 30, 2010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decreased by 1% to $193.8 million from $196.0 million during the nine months ended September 30, 2009. This was the result of a significant customer returning to a more traditional dual source arrangement during the first quarter of 2010, impacting the first, second, and third quarters of 2010. This significant customer purchased the majority of its remotes from us during the first nine months of 2009. We were able to offset this loss by acquiring new domestic and international customers.</w:t>
      </w:r>
    </w:p>
    <w:p>
      <w:pPr>
        <w:spacing w:after="0" w:line="7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Net sales in our Consumer lines (One For All</w:t>
      </w:r>
      <w:r>
        <w:rPr>
          <w:rFonts w:ascii="Arial" w:cs="Arial" w:eastAsia="Arial" w:hAnsi="Arial"/>
          <w:sz w:val="14"/>
          <w:szCs w:val="14"/>
          <w:color w:val="auto"/>
        </w:rPr>
        <w:t>®</w:t>
      </w:r>
      <w:r>
        <w:rPr>
          <w:rFonts w:ascii="Arial" w:cs="Arial" w:eastAsia="Arial" w:hAnsi="Arial"/>
          <w:sz w:val="17"/>
          <w:szCs w:val="17"/>
          <w:color w:val="auto"/>
        </w:rPr>
        <w:t xml:space="preserve"> retail, private label and custom installers) were approximately 15% of net sales during the nine months ended September 30, 2010 compared to approximately 16% during the nine months ended September 30, 2009. Net sales in our Consumer lines decreased by 3% to $35.5 million during the nine months ended September 30, 2010 from $36.6 million during the same period in the prior year. International retail sales increased by $3.1 million from $25.8 million during the first nine months of 2009 to $28.9 million during the first nine months of 2010. The weakening of both the Euro and British Pound compared to the U.S. dollar resulted in a decrease in net sales of approximately $0.7 million. Net of this currency effect, international retail sales increased $3.8 million. North American retail sales decreased by $2.6 million compared to the first nine months of 2009, due to a significant product launch which occurred in the third quarter of 2009. No such launch occurred in the first nine months of 2010. CEDIA sales decreased by $1.6 million compared to the first nine months of 2009.</w:t>
      </w:r>
    </w:p>
    <w:p>
      <w:pPr>
        <w:spacing w:after="0" w:line="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Gross profit for the nine months ended September 30, 2010 was $75.2 million compared to $73.0 million for the nine months ended September 30, 2009. Gross profit as a percentage of sales for the nine months ended September 30, 2010 increased to 32.8% from 31.4% during the same period in the prior year, due to the following reasons:</w:t>
      </w:r>
    </w:p>
    <w:p>
      <w:pPr>
        <w:spacing w:after="0" w:line="73" w:lineRule="exact"/>
        <w:rPr>
          <w:sz w:val="20"/>
          <w:szCs w:val="20"/>
          <w:color w:val="auto"/>
        </w:rPr>
      </w:pPr>
    </w:p>
    <w:p>
      <w:pPr>
        <w:ind w:left="660" w:right="2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Sales of higher-margin products in both the Business and Consumer categories represented a larger percentage of the overall sales in both categories, which resulted in an increase of 1.4% in the gross margin rate;</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decrease in inventory scrap expense, primarily as a result of a lower return rate in our European retail business, resulted in an increase of 0.4% in the gross margin rate;</w:t>
      </w:r>
    </w:p>
    <w:p>
      <w:pPr>
        <w:spacing w:after="0" w:line="75" w:lineRule="exact"/>
        <w:rPr>
          <w:rFonts w:ascii="Arial" w:cs="Arial" w:eastAsia="Arial" w:hAnsi="Arial"/>
          <w:sz w:val="18"/>
          <w:szCs w:val="18"/>
          <w:b w:val="1"/>
          <w:bCs w:val="1"/>
          <w:color w:val="auto"/>
        </w:rPr>
      </w:pPr>
    </w:p>
    <w:p>
      <w:pPr>
        <w:ind w:left="660" w:right="120" w:hanging="436"/>
        <w:spacing w:after="0" w:line="312" w:lineRule="auto"/>
        <w:tabs>
          <w:tab w:leader="none" w:pos="66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A decrease in environmental fees increased the gross profit rate by 0.3%. We received governmental correspondence in the United Kingdom during the second quarter of 2010 indicating that the actual environmental fee assessment for the period 2007 through 2009 was less than what we had accrued and expensed during that period; therefore, we adjusted our environmental fee accrual accordingly during the second quarter of 2010;</w:t>
      </w:r>
    </w:p>
    <w:p>
      <w:pPr>
        <w:spacing w:after="0" w:line="52" w:lineRule="exact"/>
        <w:rPr>
          <w:rFonts w:ascii="Arial" w:cs="Arial" w:eastAsia="Arial" w:hAnsi="Arial"/>
          <w:sz w:val="16"/>
          <w:szCs w:val="16"/>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 increase in freight expense of $1.1 million due to more air shipments resulted in a decrease of 0.5% in the gross margin rate;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 decrease of 0.2% in the gross margin rate.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Research and development expenses increased 23.9% from $6.4 million during the nine months ended September 30, 2009 to $7.9 million during the nine months ended September 30, 2010 due to additional investments in product development.</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Selling, general and administrative expenses decreased 3.9% from $52.7 million during the nine months ended September 30, 2009 to $50.7 million during the nine months ended September 30, 2010. The weakening of the Euro compared to the U.S. dollar resulted in a decrease of $0.7 million. Net of this favorable currency effect, expenses decreased by $1.3 million. Professional service expenses decreased by $1.2 million, due primarily to the non-recurring professional service expenses of approximately $1.1 million related to the acquisition of certain assets and operations from Zilog, Inc. that occurred during the first quarter of 2009. Additionally, personnel costs decreased by $0.9 million, sales commissions decreased by $0.5 million, and freight and handling decreased by $0.4 million. Partially offsetting these cost decreases were bonus expense, which increased by $0.9 million, and bad debt expense, which increased by $0.5 million during the first nine months of 2010 compared to the first nine months of 2009. The additional bonus expense is related to company performance, and bad debt expense was related to two specific customers.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2010 and 2009, we recorded $0.1 million and $0.4 million of net interest income, respectively.</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nine months ended September 30, 2010, net other income was $62 thousand as compared to net other expense of $0.2 million during the same period in the prior year. Approximately $86 thousand of net other income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nine months ended September 30, 2010 was the result of a foreign exchange gain compared to a foreign exchange loss of $0.2 million during the nine months ended September 30, 2009.</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recorded income tax expense of $5.4 million during the nine months ended September 30, 2010 compared to $5.2 million during the nine months ended September 30, 2009. Our effective tax rate was 32.4% for the nine months ended September 30, 2010 compared to 37.3% for the same period in the prior year. The decrease in our effective tax rate was due primarily to the statute of limitations expiring during 2010 on certain tax positions recorded in the United States as well as lower interest expense resulting from fewer uncertain tax positions.</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Earnings per share for the year ending December 31, 2010 is expected to be between $1.24 and $1.30 as compared to the $1.05 per diluted share earned in the year ended December 31, 2009.</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November 3, 2010, our subsidiary, UEI Hong Kong Private Limited, entered into an agreement to acquire all of the issued shares in the capital of Enson Assets Limited, a limited liability company organized under the Laws of the British Virgin Islands, for total consideration of approximately $125.4 million consisting of $95 million in cash and 1,460,000 of newly issued shares of common stock valued at approximately $30.4 million. This acquisition was consummated pursuant to a Stock Purchase Agreement, dated as of November 3, 2010, among Universal Electronics Inc., UEI Hong Kong Private Limited and CG International Holdings Limited (“CGI”), a closely-held exempted company incorporated in the Cayman Islands. We have not yet estimated the fair value of the contingent payments, which may change the total purchase price of $125.4 million. A total of $5.0 million of the purchase price was held back at the closing and will be applied to any CGI payments required as a result of the failure to meet both a net asset target or an earnings target for Enson Assets Limited and its subsidiaries.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See Note 18 contained in the “Notes to the Consolidated Financial Statements” for further information regarding the Enson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Nine months ended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Increase/(Decrease)</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ind w:left="20"/>
              <w:spacing w:after="0"/>
              <w:rPr>
                <w:sz w:val="20"/>
                <w:szCs w:val="20"/>
                <w:color w:val="auto"/>
              </w:rPr>
            </w:pPr>
            <w:r>
              <w:rPr>
                <w:rFonts w:ascii="Arial" w:cs="Arial" w:eastAsia="Arial" w:hAnsi="Arial"/>
                <w:sz w:val="14"/>
                <w:szCs w:val="14"/>
                <w:b w:val="1"/>
                <w:bCs w:val="1"/>
                <w:color w:val="auto"/>
                <w:w w:val="92"/>
              </w:rPr>
              <w:t>Nine months ended</w:t>
            </w:r>
          </w:p>
        </w:tc>
      </w:tr>
      <w:tr>
        <w:trPr>
          <w:trHeight w:val="17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2010</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 cash</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September 30, 2009</w:t>
            </w:r>
          </w:p>
        </w:tc>
      </w:tr>
      <w:tr>
        <w:trPr>
          <w:trHeight w:val="21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$ 10,631</w:t>
            </w:r>
          </w:p>
        </w:tc>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$(10,245)</w:t>
            </w:r>
          </w:p>
        </w:tc>
        <w:tc>
          <w:tcPr>
            <w:tcW w:w="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$ 20,876</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240" w:type="dxa"/>
            <w:vAlign w:val="bottom"/>
          </w:tcPr>
          <w:p>
            <w:pPr>
              <w:jc w:val="right"/>
              <w:ind w:right="176"/>
              <w:spacing w:after="0"/>
              <w:rPr>
                <w:sz w:val="20"/>
                <w:szCs w:val="20"/>
                <w:color w:val="auto"/>
              </w:rPr>
            </w:pPr>
            <w:r>
              <w:rPr>
                <w:rFonts w:ascii="Arial" w:cs="Arial" w:eastAsia="Arial" w:hAnsi="Arial"/>
                <w:sz w:val="18"/>
                <w:szCs w:val="18"/>
                <w:color w:val="auto"/>
              </w:rPr>
              <w:t>(5,800)</w:t>
            </w:r>
          </w:p>
        </w:tc>
        <w:tc>
          <w:tcPr>
            <w:tcW w:w="20" w:type="dxa"/>
            <w:vAlign w:val="bottom"/>
          </w:tcPr>
          <w:p>
            <w:pPr>
              <w:spacing w:after="0"/>
              <w:rPr>
                <w:sz w:val="18"/>
                <w:szCs w:val="18"/>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8"/>
                <w:szCs w:val="18"/>
                <w:color w:val="auto"/>
              </w:rPr>
              <w:t>57,957</w:t>
            </w:r>
          </w:p>
        </w:tc>
        <w:tc>
          <w:tcPr>
            <w:tcW w:w="40" w:type="dxa"/>
            <w:vAlign w:val="bottom"/>
          </w:tcPr>
          <w:p>
            <w:pPr>
              <w:spacing w:after="0"/>
              <w:rPr>
                <w:sz w:val="18"/>
                <w:szCs w:val="18"/>
                <w:color w:val="auto"/>
              </w:rPr>
            </w:pPr>
          </w:p>
        </w:tc>
        <w:tc>
          <w:tcPr>
            <w:tcW w:w="1800" w:type="dxa"/>
            <w:vAlign w:val="bottom"/>
            <w:gridSpan w:val="3"/>
          </w:tcPr>
          <w:p>
            <w:pPr>
              <w:jc w:val="right"/>
              <w:ind w:right="208"/>
              <w:spacing w:after="0"/>
              <w:rPr>
                <w:sz w:val="20"/>
                <w:szCs w:val="20"/>
                <w:color w:val="auto"/>
              </w:rPr>
            </w:pPr>
            <w:r>
              <w:rPr>
                <w:rFonts w:ascii="Arial" w:cs="Arial" w:eastAsia="Arial" w:hAnsi="Arial"/>
                <w:sz w:val="18"/>
                <w:szCs w:val="18"/>
                <w:color w:val="auto"/>
              </w:rPr>
              <w:t>(63,757)</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2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(9,447)</w:t>
            </w:r>
          </w:p>
        </w:tc>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(6,815)</w:t>
            </w:r>
          </w:p>
        </w:tc>
        <w:tc>
          <w:tcPr>
            <w:tcW w:w="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(2,632)</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240" w:type="dxa"/>
            <w:vAlign w:val="bottom"/>
          </w:tcPr>
          <w:p>
            <w:pPr>
              <w:jc w:val="right"/>
              <w:ind w:right="176"/>
              <w:spacing w:after="0"/>
              <w:rPr>
                <w:sz w:val="20"/>
                <w:szCs w:val="20"/>
                <w:color w:val="auto"/>
              </w:rPr>
            </w:pPr>
            <w:r>
              <w:rPr>
                <w:rFonts w:ascii="Arial" w:cs="Arial" w:eastAsia="Arial" w:hAnsi="Arial"/>
                <w:sz w:val="18"/>
                <w:szCs w:val="18"/>
                <w:color w:val="auto"/>
              </w:rPr>
              <w:t>(953)</w:t>
            </w:r>
          </w:p>
        </w:tc>
        <w:tc>
          <w:tcPr>
            <w:tcW w:w="20" w:type="dxa"/>
            <w:vAlign w:val="bottom"/>
          </w:tcPr>
          <w:p>
            <w:pPr>
              <w:spacing w:after="0"/>
              <w:rPr>
                <w:sz w:val="20"/>
                <w:szCs w:val="20"/>
                <w:color w:val="auto"/>
              </w:rPr>
            </w:pPr>
          </w:p>
        </w:tc>
        <w:tc>
          <w:tcPr>
            <w:tcW w:w="1780" w:type="dxa"/>
            <w:vAlign w:val="bottom"/>
            <w:gridSpan w:val="3"/>
          </w:tcPr>
          <w:p>
            <w:pPr>
              <w:jc w:val="right"/>
              <w:ind w:right="168"/>
              <w:spacing w:after="0"/>
              <w:rPr>
                <w:sz w:val="20"/>
                <w:szCs w:val="20"/>
                <w:color w:val="auto"/>
              </w:rPr>
            </w:pPr>
            <w:r>
              <w:rPr>
                <w:rFonts w:ascii="Arial" w:cs="Arial" w:eastAsia="Arial" w:hAnsi="Arial"/>
                <w:sz w:val="18"/>
                <w:szCs w:val="18"/>
                <w:color w:val="auto"/>
              </w:rPr>
              <w:t>(1,327)</w:t>
            </w:r>
          </w:p>
        </w:tc>
        <w:tc>
          <w:tcPr>
            <w:tcW w:w="40" w:type="dxa"/>
            <w:vAlign w:val="bottom"/>
          </w:tcPr>
          <w:p>
            <w:pPr>
              <w:spacing w:after="0"/>
              <w:rPr>
                <w:sz w:val="20"/>
                <w:szCs w:val="20"/>
                <w:color w:val="auto"/>
              </w:rPr>
            </w:pPr>
          </w:p>
        </w:tc>
        <w:tc>
          <w:tcPr>
            <w:tcW w:w="1800" w:type="dxa"/>
            <w:vAlign w:val="bottom"/>
            <w:gridSpan w:val="3"/>
          </w:tcPr>
          <w:p>
            <w:pPr>
              <w:jc w:val="right"/>
              <w:ind w:right="268"/>
              <w:spacing w:after="0"/>
              <w:rPr>
                <w:sz w:val="20"/>
                <w:szCs w:val="20"/>
                <w:color w:val="auto"/>
              </w:rPr>
            </w:pPr>
            <w:r>
              <w:rPr>
                <w:rFonts w:ascii="Arial" w:cs="Arial" w:eastAsia="Arial" w:hAnsi="Arial"/>
                <w:sz w:val="18"/>
                <w:szCs w:val="18"/>
                <w:color w:val="auto"/>
              </w:rPr>
              <w:t>374</w:t>
            </w:r>
          </w:p>
        </w:tc>
      </w:tr>
      <w:tr>
        <w:trPr>
          <w:trHeight w:val="350"/>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4"/>
              </w:rPr>
              <w:t>September 30, 2010</w:t>
            </w:r>
          </w:p>
        </w:tc>
        <w:tc>
          <w:tcPr>
            <w:tcW w:w="54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Increase/(Decrease)</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4"/>
                <w:szCs w:val="14"/>
                <w:b w:val="1"/>
                <w:bCs w:val="1"/>
                <w:color w:val="auto"/>
                <w:w w:val="95"/>
              </w:rPr>
              <w:t>December 31, 2009</w:t>
            </w:r>
          </w:p>
        </w:tc>
      </w:tr>
      <w:tr>
        <w:trPr>
          <w:trHeight w:val="195"/>
        </w:trPr>
        <w:tc>
          <w:tcPr>
            <w:tcW w:w="6500" w:type="dxa"/>
            <w:vAlign w:val="bottom"/>
          </w:tcPr>
          <w:p>
            <w:pPr>
              <w:spacing w:after="0" w:line="195" w:lineRule="exact"/>
              <w:rPr>
                <w:sz w:val="20"/>
                <w:szCs w:val="20"/>
                <w:color w:val="auto"/>
              </w:rPr>
            </w:pPr>
            <w:r>
              <w:rPr>
                <w:rFonts w:ascii="Arial" w:cs="Arial" w:eastAsia="Arial" w:hAnsi="Arial"/>
                <w:sz w:val="18"/>
                <w:szCs w:val="18"/>
                <w:color w:val="auto"/>
              </w:rPr>
              <w:t>Cash and cash equivalents</w:t>
            </w:r>
          </w:p>
        </w:tc>
        <w:tc>
          <w:tcPr>
            <w:tcW w:w="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56"/>
              <w:spacing w:after="0" w:line="195" w:lineRule="exact"/>
              <w:rPr>
                <w:sz w:val="20"/>
                <w:szCs w:val="20"/>
                <w:color w:val="auto"/>
              </w:rPr>
            </w:pPr>
            <w:r>
              <w:rPr>
                <w:rFonts w:ascii="Arial" w:cs="Arial" w:eastAsia="Arial" w:hAnsi="Arial"/>
                <w:sz w:val="18"/>
                <w:szCs w:val="18"/>
                <w:color w:val="auto"/>
              </w:rPr>
              <w:t>$ 23,447</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208"/>
              <w:spacing w:after="0" w:line="195" w:lineRule="exact"/>
              <w:rPr>
                <w:sz w:val="20"/>
                <w:szCs w:val="20"/>
                <w:color w:val="auto"/>
              </w:rPr>
            </w:pPr>
            <w:r>
              <w:rPr>
                <w:rFonts w:ascii="Arial" w:cs="Arial" w:eastAsia="Arial" w:hAnsi="Arial"/>
                <w:sz w:val="18"/>
                <w:szCs w:val="18"/>
                <w:color w:val="auto"/>
              </w:rPr>
              <w:t>$ (5,569)</w:t>
            </w: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Borders>
              <w:top w:val="single" w:sz="8" w:color="auto"/>
            </w:tcBorders>
            <w:gridSpan w:val="2"/>
          </w:tcPr>
          <w:p>
            <w:pPr>
              <w:jc w:val="right"/>
              <w:ind w:right="268"/>
              <w:spacing w:after="0" w:line="195" w:lineRule="exact"/>
              <w:rPr>
                <w:sz w:val="20"/>
                <w:szCs w:val="20"/>
                <w:color w:val="auto"/>
              </w:rPr>
            </w:pPr>
            <w:r>
              <w:rPr>
                <w:rFonts w:ascii="Arial" w:cs="Arial" w:eastAsia="Arial" w:hAnsi="Arial"/>
                <w:sz w:val="18"/>
                <w:szCs w:val="18"/>
                <w:color w:val="auto"/>
              </w:rPr>
              <w:t>$ 29,016</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240" w:type="dxa"/>
            <w:vAlign w:val="bottom"/>
          </w:tcPr>
          <w:p>
            <w:pPr>
              <w:jc w:val="right"/>
              <w:ind w:right="256"/>
              <w:spacing w:after="0"/>
              <w:rPr>
                <w:sz w:val="20"/>
                <w:szCs w:val="20"/>
                <w:color w:val="auto"/>
              </w:rPr>
            </w:pPr>
            <w:r>
              <w:rPr>
                <w:rFonts w:ascii="Arial" w:cs="Arial" w:eastAsia="Arial" w:hAnsi="Arial"/>
                <w:sz w:val="18"/>
                <w:szCs w:val="18"/>
                <w:color w:val="auto"/>
              </w:rPr>
              <w:t>131,201</w:t>
            </w:r>
          </w:p>
        </w:tc>
        <w:tc>
          <w:tcPr>
            <w:tcW w:w="20" w:type="dxa"/>
            <w:vAlign w:val="bottom"/>
          </w:tcPr>
          <w:p>
            <w:pPr>
              <w:spacing w:after="0"/>
              <w:rPr>
                <w:sz w:val="20"/>
                <w:szCs w:val="20"/>
                <w:color w:val="auto"/>
              </w:rPr>
            </w:pPr>
          </w:p>
        </w:tc>
        <w:tc>
          <w:tcPr>
            <w:tcW w:w="1780" w:type="dxa"/>
            <w:vAlign w:val="bottom"/>
            <w:gridSpan w:val="3"/>
          </w:tcPr>
          <w:p>
            <w:pPr>
              <w:jc w:val="right"/>
              <w:ind w:right="268"/>
              <w:spacing w:after="0"/>
              <w:rPr>
                <w:sz w:val="20"/>
                <w:szCs w:val="20"/>
                <w:color w:val="auto"/>
              </w:rPr>
            </w:pPr>
            <w:r>
              <w:rPr>
                <w:rFonts w:ascii="Arial" w:cs="Arial" w:eastAsia="Arial" w:hAnsi="Arial"/>
                <w:sz w:val="18"/>
                <w:szCs w:val="18"/>
                <w:color w:val="auto"/>
              </w:rPr>
              <w:t>4,115</w:t>
            </w:r>
          </w:p>
        </w:tc>
        <w:tc>
          <w:tcPr>
            <w:tcW w:w="40" w:type="dxa"/>
            <w:vAlign w:val="bottom"/>
          </w:tcPr>
          <w:p>
            <w:pPr>
              <w:spacing w:after="0"/>
              <w:rPr>
                <w:sz w:val="20"/>
                <w:szCs w:val="20"/>
                <w:color w:val="auto"/>
              </w:rPr>
            </w:pPr>
          </w:p>
        </w:tc>
        <w:tc>
          <w:tcPr>
            <w:tcW w:w="1800" w:type="dxa"/>
            <w:vAlign w:val="bottom"/>
            <w:gridSpan w:val="3"/>
          </w:tcPr>
          <w:p>
            <w:pPr>
              <w:jc w:val="right"/>
              <w:ind w:right="268"/>
              <w:spacing w:after="0"/>
              <w:rPr>
                <w:sz w:val="20"/>
                <w:szCs w:val="20"/>
                <w:color w:val="auto"/>
              </w:rPr>
            </w:pPr>
            <w:r>
              <w:rPr>
                <w:rFonts w:ascii="Arial" w:cs="Arial" w:eastAsia="Arial" w:hAnsi="Arial"/>
                <w:sz w:val="18"/>
                <w:szCs w:val="18"/>
                <w:color w:val="auto"/>
              </w:rPr>
              <w:t>127,086</w:t>
            </w:r>
          </w:p>
        </w:tc>
      </w:tr>
    </w:tbl>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decreased by $10.2 million from $20.9 million during the first nine months of 2009 to $10.6 million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of 2010. The decrease in net cash provided by operating activities is due primarily to us intentionally paying our vendors sooner than we historically have as a result of us going-live with our new ERP system on October 1, 2010 in our foreign jurisdictions. In addition, consistent with prior years, we increased our inventory levels during the third quarter of 2010 in anticipation of the fourth quarter holiday selling season. The increase in our inventory level was greater for the nine months ended September 30, 2010 compared to the nine months ended September 30, 2009 due to the December 31, 2008 inventory balance being higher than usual.</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Net cash used for investing activities </w:t>
      </w:r>
      <w:r>
        <w:rPr>
          <w:rFonts w:ascii="Arial" w:cs="Arial" w:eastAsia="Arial" w:hAnsi="Arial"/>
          <w:sz w:val="16"/>
          <w:szCs w:val="16"/>
          <w:color w:val="auto"/>
        </w:rPr>
        <w:t>decreased by $58.0 million from cash outflows of $63.8 million during the first nine months of 2009 to cash outflows of</w:t>
      </w:r>
      <w:r>
        <w:rPr>
          <w:rFonts w:ascii="Arial" w:cs="Arial" w:eastAsia="Arial" w:hAnsi="Arial"/>
          <w:sz w:val="16"/>
          <w:szCs w:val="16"/>
          <w:i w:val="1"/>
          <w:iCs w:val="1"/>
          <w:color w:val="auto"/>
        </w:rPr>
        <w:t xml:space="preserve"> </w:t>
      </w:r>
      <w:r>
        <w:rPr>
          <w:rFonts w:ascii="Arial" w:cs="Arial" w:eastAsia="Arial" w:hAnsi="Arial"/>
          <w:sz w:val="16"/>
          <w:szCs w:val="16"/>
          <w:color w:val="auto"/>
        </w:rPr>
        <w:t>$5.8 million during the first nine months of 2010. The decrease in cash used for investing activities was primarily due to cash outflows to purchase a term deposit of $49.2 million during the first nine months of 2009 compared to cash outflows of $0.3 million during the first nine months of 2010. In addition, the acquisition of intangible assets and goodwill from Zilog, Inc. during the first nine months of 2009 resulted in cash outflows of $9.5 million compared to $0 during the first nine months of 2010. Refer to Note 17 for further discussion about our purchase of assets from Zilog, Inc. These relative increases in cash inflows from investing activities were partially offset by an increase in cash utilized to purchase equipment, furniture and fixtures, which resulted in cash outflows of $4.4 million during the first nine months of 2010, greater than the cash outflows of $4.1 million recorded during the first nine months of 2009.</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increased by $6.8 million from cash outflows of $2.6 million during the first nine months of 2009 to cash outflows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$9.4 million during the first nine months of 2010. We repurchased a greater number of shares of our common stock during the first nine months of 2010 compared to the first nine months of 2009.</w:t>
      </w:r>
    </w:p>
    <w:p>
      <w:pPr>
        <w:spacing w:after="0" w:line="7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first nine months of 2010 we repurchased 493,257 shares of our common stock for $9.8 million compared to our repurchase of 288,452 shares of our common stock for $5.2 million during the first nine months of 2009.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6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September 30, 2010, we have purchased 460,691 shares of our common stock, leaving 539,309 shares available for purchase under this authorization.</w:t>
      </w:r>
    </w:p>
    <w:p>
      <w:pPr>
        <w:spacing w:after="0" w:line="6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January 8, 2010, we entered into a new $15 million unsecured revolving credit line with U.S. Bank (“Credit Facility”), expiring on October 31, 2011. Amounts available for borrowing under the Credit Facility are reduced by the balance of any outstanding import letters of credit and are subject to certain quarterly financial covenants related to our cash flow, fixed charges, quick ratio, and net income. We were in compliance with the quarterly financial covenants at September 30, 2010.</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Credit Facility, we may elect to pay interest based on the bank’s prime rate or LIBOR plus a fixed margin of 1.8%. The applicable LIBOR (1, 3, 6, or 12-month LIBOR) corresponds with the loan period we select. On September 30, 2010, the 12-month LIBOR plus the fixed margin was 2.6%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8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 xml:space="preserve">On September 30, 2010, we had no debt under the Credit Facility. In addition, we had not drawn any amounts from the Credit Facility since its inception; however, we cannot make any assurances that we will not need to borrow amounts in the future. If this or any other facility is not available to us at a time when we need to borrow, we would have to use our cash reserves, including potentially repatriating cash from foreign jurisdictions, which may have a material adverse effect on our operating results, financial position and cash flows. See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below for further information regarding our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September 30, 2010, our contractual obligations were $38.8 million compared to $44.2 million reported in our Annual Report on Form 10-K as of December 31, 2009. The following table summarizes our contractual obligations on September 30, 2010 and the effect these obligations are expected to have on our liquidity and cash flow in future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1-3</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4-5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Operating lease obligations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3,345</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1,791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1,535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35,474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16,000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11,000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38,819</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10,265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17,535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11,019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Purchase obligations include contractual payments to purchase minimum quantities of inventory under vendor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utilized cash provided from operations as our primary source of liquidity, since internally generated cash flows have been sufficient to support our business operations, capital expenditures and discretionary share repurchases. We are able to supplement this near term liquidity, if necessary, with our Credit Facility. For information regarding our Credit Facility, see “</w:t>
      </w:r>
      <w:r>
        <w:rPr>
          <w:rFonts w:ascii="Arial" w:cs="Arial" w:eastAsia="Arial" w:hAnsi="Arial"/>
          <w:sz w:val="18"/>
          <w:szCs w:val="18"/>
          <w:i w:val="1"/>
          <w:iCs w:val="1"/>
          <w:color w:val="auto"/>
        </w:rPr>
        <w:t>Sources and Uses of Cash</w:t>
      </w:r>
      <w:r>
        <w:rPr>
          <w:rFonts w:ascii="Arial" w:cs="Arial" w:eastAsia="Arial" w:hAnsi="Arial"/>
          <w:sz w:val="18"/>
          <w:szCs w:val="18"/>
          <w:color w:val="auto"/>
        </w:rPr>
        <w:t>” above.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working capital needs have typically been greatest during the third and fourth quarters when accounts receivable and inventories increase in connection with the fourth quarter holiday selling season. On September 30, 2010, we had $131.2 million of working capital compared to $127.1 million on December 31, 2009.</w:t>
      </w:r>
    </w:p>
    <w:p>
      <w:pPr>
        <w:spacing w:after="0" w:line="7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Most of our cash balances are held outside of the United States. Substantially all of the amounts held outside of the United States may be repatriated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September 30, 2010, we had approximately $6.7 million, $10.4 million, $3.2 million and $3.1 million of cash and cash equivalents in the United States, Europe, Asia and Cayman Islands, respectively. In addition, we had a term deposit of $49.5 million in Asia. On October 28, 2010, we elected to liquidate this term deposit account to assist us with the funding of our acquisition of Enson Assets Limited. See Note 18 contained in the “Notes to the Consolidated Financial Statements” for further information on this acquisition.</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attempt to mitigate our exposure to interest rate, liquidity, credit and other relevant risks by placing our cash, cash equivalents, and term deposit with financial institutions we believe are high quality.</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the cash generated from our operations and funds from our Credit Facility will be sufficient to support our current business operations as well as anticipated growth at least over the next twelve months; however, there can be no assurance that such funds will be adequate for that purpose.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November 3, 2010, our subsidiary, UEI Hong Kong Private Limited, entered into an agreement to acquire all of the issued shares in the capital of Enson Assets Limited, a limited liability company organized under the Laws of the British Virgin Islands, for total consideration of approximately $125.4 million consisting of $95 million in cash and 1,460,000 of newly issued shares of common stock valued at approximately $30.4 million. This acquisition was consummated pursuant to a Stock Purchase Agreement, dated as of November 3, 2010, among Universal Electronics Inc., UEI Hong Kong Private Limited and CG International Holdings Limited (“CGI”), a closely-held exempted company incorporated in the Cayman Islands. We have not yet estimated the fair value of the contingent payments, which may change the total purchase price of $125.4 million. A total of $5.0 million of the purchase price was held back at the closing and will be applied to any CGI payments required as a result of the failure to meet both a net asset target or an earnings target for Enson Assets Limited and its subsidiaries.</w:t>
      </w:r>
    </w:p>
    <w:p>
      <w:pPr>
        <w:spacing w:after="0" w:line="8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November 1, 2010, we amended and restated our existing credit agreement with U.S. Bank. The amendments added a new $35.0 million secured term loan facility (“Term Loan”) for the purpose of financing a portion of our acquisition of Enson Assets Limited. In addition, our existing $15.0 million unsecured revolving credit line with U.S. Bank (“Credit Facility”) became a secured facility, was increased to $20.0 million, and the expiration date was extended from October 31, 2011 to November 1, 2012.</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new Term Loan may only be utilized to finance the Enson acquisition and to pay related transaction costs, fees, and expenses. The Term Loan is subject to certain quarterly financial covenants related to our cash flow, fixed charges, quick ratio, and net income. The minimum principal payments for the Term Loan are $2.2 million each. Principal and interest payments are payable on January 5, April 5, July 5, and October 5 of 2011. In addition, a final payment equal to the unpaid principal balance plus accrued interest is due on the Term Loan maturity date. The Term Loan maturity date is November 1, 2011. Amounts paid or prepaid on the Term Loan may not be re-borrowed.</w:t>
      </w:r>
    </w:p>
    <w:p>
      <w:pPr>
        <w:spacing w:after="0" w:line="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security for the payment and performance of all our obligations under the Term Loan and Credit Facility, we have pledged to U.S. Bank 65% of our ownership in Enson Assets Limited as collateral.</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Term Loan, we may elect to pay interest based on the bank’s prime rate or LIBOR plus a fixed margin of 1.5%. The applicable LIBOR (1, 3, 6, or 12-month LIBOR) corresponds with the loan period we select. On November 1, 2010, the 1-month LIBOR plus the fixed margin was approximately 1.8% and the bank’s prime rate was 3.25%. If a LIBOR rate loan is prepaid prior to the completion of the loan period, we must pay the bank the difference between the interest the bank would have earned had prepayment not occurred and the interest the bank actually earned.</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expect the cash flow generated from Enson Assets Limited to be in excess of the amount required to fund its operations as well as pay down the newly acquired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 18 contained in the “Notes to the Consolidated Financial Statements” for further information regarding the Enson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contractual obligations disclosed above, we do not participate in any off balance sheet arrangements.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2009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5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While we believe that the forward-looking statements made in this report are based on reasonable assumptions, the actual outcome of such statements is subject to a number of risks and uncertainties, including the following:</w:t>
      </w:r>
    </w:p>
    <w:p>
      <w:pPr>
        <w:spacing w:after="0" w:line="62" w:lineRule="exact"/>
        <w:rPr>
          <w:sz w:val="20"/>
          <w:szCs w:val="20"/>
          <w:color w:val="auto"/>
        </w:rPr>
      </w:pPr>
    </w:p>
    <w:p>
      <w:pPr>
        <w:ind w:left="660" w:hanging="31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failure of our markets or customers to continue growing and expanding in the manner we anticipated;</w:t>
      </w:r>
    </w:p>
    <w:p>
      <w:pPr>
        <w:spacing w:after="0" w:line="130" w:lineRule="exact"/>
        <w:rPr>
          <w:rFonts w:ascii="Arial" w:cs="Arial" w:eastAsia="Arial" w:hAnsi="Arial"/>
          <w:sz w:val="18"/>
          <w:szCs w:val="18"/>
          <w:b w:val="1"/>
          <w:bCs w:val="1"/>
          <w:color w:val="auto"/>
        </w:rPr>
      </w:pPr>
    </w:p>
    <w:p>
      <w:pPr>
        <w:ind w:left="660" w:right="480" w:hanging="314"/>
        <w:spacing w:after="0" w:line="27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effects of natural or other events beyond our control, including the effects a war or terrorist activities may have on us, the economy or our customers;</w:t>
      </w:r>
    </w:p>
    <w:p>
      <w:pPr>
        <w:spacing w:after="0" w:line="75" w:lineRule="exact"/>
        <w:rPr>
          <w:rFonts w:ascii="Arial" w:cs="Arial" w:eastAsia="Arial" w:hAnsi="Arial"/>
          <w:sz w:val="18"/>
          <w:szCs w:val="18"/>
          <w:b w:val="1"/>
          <w:bCs w:val="1"/>
          <w:color w:val="auto"/>
        </w:rPr>
      </w:pPr>
    </w:p>
    <w:p>
      <w:pPr>
        <w:ind w:left="660" w:right="160" w:hanging="314"/>
        <w:spacing w:after="0" w:line="264"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growth of, acceptance of and the demand for our products and technologies in various markets and geographical regions, including cable, satellite, consumer electronics, retail, digital media/technology, CEDIA, interactive TV, and cellular industries not materializing or growing as we believed;</w:t>
      </w:r>
    </w:p>
    <w:p>
      <w:pPr>
        <w:spacing w:after="0" w:line="86" w:lineRule="exact"/>
        <w:rPr>
          <w:rFonts w:ascii="Arial" w:cs="Arial" w:eastAsia="Arial" w:hAnsi="Arial"/>
          <w:sz w:val="18"/>
          <w:szCs w:val="18"/>
          <w:b w:val="1"/>
          <w:bCs w:val="1"/>
          <w:color w:val="auto"/>
        </w:rPr>
      </w:pPr>
    </w:p>
    <w:p>
      <w:pPr>
        <w:ind w:left="660" w:hanging="314"/>
        <w:spacing w:after="0"/>
        <w:tabs>
          <w:tab w:leader="none" w:pos="66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the failure to successfully integrate the operations of Enson Assets Limited and its subsidiaries (“Enson”), into our pre-existing operations;</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failure of Enson to perform in accordance with our expectations;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our inability to obtain orders or maintain our order volume with new and existing customers;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our inability to add profitable complementary products which are accepted by the marketplace;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our inability to continue selling our products or licensing our technologies at higher or profitable margins;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our inability to continue to maintain our operating costs at acceptable levels through our cost containment efforts;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possible dilutive effect our stock incentive programs may have on our earnings per share and stock price;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our inability to continue to obtain adequate quantities of component parts or secure adequate factory production capacity on a timely basis;</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our inability to successfully integrate any strategic business transaction;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other factors listed from time to time in our press releases and filings with the Securities and Exchange Commission.</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January 8, 2010, we entered into a new $15 million unsecured revolving credit line with U.S. Bank (“Credit Facility”), expiring on October 31, 2011. Amounts available for borrowing under the Credit Facility are reduced by the balance of any outstanding import letters of credit and are subject to certain quarterly financial covenants related to our cash flow, fixed charges, quick ratio, and net income. We were in compliance with the quarterly financial covenants at September 30, 2010.</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Credit Facility, we may elect to pay interest based on the bank’s prime rate or LIBOR plus a fixed margin of 1.8%. The applicable LIBOR (1, 3, 6, or 12-month LIBOR) corresponds with the loan period we select. On September 30, 2010, the 12-month LIBOR plus the fixed margin was 2.6%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November 1, 2010, we amended and restated our existing credit agreement with U.S. Bank. The amendments added a new $35.0 million secured term loan facility (“Term Loan”) for the purpose of financing a portion of our acquisition of Enson Assets Limited. In addition, our existing $15.0 million Credit Facility became a secured facility, was increased to $20.0 million, and the expiration date was extended from October 31, 2011 to November 1, 2012. This additional indebtedness will increase our exposure to interest rate fluctuations and which may limit our ability to borrow amounts under the Credit Facility or another facility. See Note 18 contained in the “Notes to the Consolidated Financial Statements” for further information regarding our acquisition of Enson Assets Limited.</w:t>
      </w:r>
    </w:p>
    <w:p>
      <w:pPr>
        <w:spacing w:after="0" w:line="85"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On September 30, 2010, we had no debt under the Credit Facility. In addition, we had not drawn any amounts from the Credit Facility since its inception; however, if this or any other facility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30, 2010, we had wholly-owned subsidiaries in Argentina, Brazil, Cayman Islands, China, France, Germany, Hong Kong, India, Italy, the Netherlands,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for the three and nine months ended September 30, 2010 were the Euro and the British Pound. For most currencies, we are a net receiver of the foreign currency (we receive more foreign currency than we pay out). Accordingly, changes in exchange rates, and in particular a strengthening of the U.S. dollar, will negatively affect our net sales and gross margins as expressed in U.S. dollars. Even where we are a net receiver, a weaker U.S. dollar may adversely affect certain expense figures taken alone.</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analyses cover all of our foreign currency contracts offset by the underlying exposures. Based on our overall foreign currency rate exposure on September 30, 2010, we believe that movements in foreign currency rates may have a material affect on our financial position. We estimate that if the exchange rates for the Euro and the British Pound relative to the U.S. dollar fluctuate 10% from September 30, 2010, net income and cash flows in the fourth quarter of 2010 would fluctuate by approximately $0.5 million and $6.5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 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information set forth above under Note 9 — Commitments and Contingencies — Litigation contained in the “Notes to the Consolidated Financial Statements”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on pages 11 through 19 of the Company’s 2009 Annual Report on Form 10-K incorporated herein by reference. These factors may cause our actual results to differ materially from those stated in forward-looking statements contained in this document and elsewhere. In addition, the reader should consider risk factors arising from the acquisition of Enson Assets Limited, including the following: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Possible Adverse Affect on the Market Price of our Common Stock</w:t>
      </w:r>
    </w:p>
    <w:p>
      <w:pPr>
        <w:spacing w:after="0" w:line="117"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The market price of our common stock may decline following the acquisition of Enson Assets Limited for a number of reasons, including if the integration of the business of Enson Assets Limited and its subsidiaries (“Enson”) is delayed or unsuccessful, if we do not achieve the financial and strategic benefits of the Enson transaction, if stock market analysts or our stockholders do not believe that the Enson transaction will provide financial or strategic benefits justifying the net price which we paid for Enson, if we do not achieve the anticipated financial and strategic benefits of the Enson transaction as rapidly or to the extent anticipated by stock market analysts or our stockholders, general market conditions and changes in business prospects.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Possible Adverse Affect on the Market Price of our Common Stock Resulting from Future Sales of our Common Stock Issued in the Enson Transaction</w:t>
      </w:r>
    </w:p>
    <w:p>
      <w:pPr>
        <w:spacing w:after="0" w:line="1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market price of our common stock may decline as a result of the sale of shares of our common stock which were issued as a portion of the purchase price in the Enson transaction, following the six-month transfer restriction period under Regulation S under the Securities Act of 1933. After the six-month transfer restriction period under Regulation S, the holders of these shares, which represent just under 10% of the total number of shares of our common stock outstanding, may decide to sell their shares to, among other reasons, take advantage of the public trading market for our common stock that did not exist for the capital stock we purchased. Shares of our common stock issued in the Enson transaction will not be subject to any restrictions on transfer arising under the Securities Act after the six-month restriction period under Regulation S, or under the Exchange Act, except for shares of our common stock held by any person who may be deemed to be our ‘affiliate’ after the completion of the Enson transaction.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Possible Adverse Affect on the Market Price of our Common Stock Resulting from Failure to Achieve the Benefits of the Enson Transaction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not fully realize the anticipated benefits of the Enson transaction or do so within the anticipated time frame. Until the acquisition, our businesses and Enson’s businesses operated as two independent companies. Achieving the anticipated benefits of the Enson transaction will depend in large part upon how successfully we are able to integrate the Enson businesses in an efficient and effective manner. The Enson transaction may result in additional and unforeseen expenses, and the anticipated benefits of the Enson transaction may not be realized in whole or in part. We may not be able to accomplish the integration of Enson’s business into our business smoothly, successfully, or on a timely basis. If we are able to integrate Enson’s business operations successfully, there can be no assurance that will result in the realization of the full benefits of the Enson transaction anticipated by us</w:t>
      </w:r>
      <w:r>
        <w:rPr>
          <w:rFonts w:ascii="Arial" w:cs="Arial" w:eastAsia="Arial" w:hAnsi="Arial"/>
          <w:sz w:val="18"/>
          <w:szCs w:val="18"/>
          <w:b w:val="1"/>
          <w:bCs w:val="1"/>
          <w:color w:val="auto"/>
        </w:rPr>
        <w:t>,</w:t>
      </w:r>
      <w:r>
        <w:rPr>
          <w:rFonts w:ascii="Arial" w:cs="Arial" w:eastAsia="Arial" w:hAnsi="Arial"/>
          <w:sz w:val="18"/>
          <w:szCs w:val="18"/>
          <w:color w:val="auto"/>
        </w:rPr>
        <w:t xml:space="preserve"> or that these benefits will be achieved within a reasonable period of time.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Possible Adverse Affect of the Enson Transaction on our Liquidity and Access to Capital</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payment of the purchase price in the Enson transaction required us to borrow $35 million under a new term loan facility, to borrow $6 million under our amended revolving credit facility, and to use approximately $54 million of cash, cash equivalents and term deposit, which may reduce the availability of cash resources which we could use for revenue-generating investments in the future. We may require additional capital in the future, which may not be available to us on satisfactory terms, if at all. We will require liquidity to fund our operating expenses and principal and interest on our debt. Our new term loan facility is required to be paid in full by November 1, 2011. If the total of Enson’s cash and cash equivalents, our cash and cash equivalents immediately after the transaction and cash generated by our operations following the Enson transaction are not sufficient to repay the term loan on a timely manner, we may require additional or replacement financing, which may not be available to us on satisfactory terms, if at all. To the extent that the funds generated by ongoing operations are insufficient to cover liquidity requirements, we may need to raise additional funds through financings. If we cannot obtain adequate capital or sources of credit on favorable terms, or at all, our business, operating results and financial condition could be adversely affected. Markets in the United States and elsewhere have recently experienced extreme volatility and disruption due in part to financial stresses affecting the liquidity of the banking system and the financial markets generally. These circumstances have reduced access to the public and private equity and debt markets. Any future equity or debt financing may not be available on terms that are favorable to us, if at all.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Possible Adverse Affects of Failure to Maintain Internal Controls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If we fail to maintain proper and effective internal controls, our ability to produce accurate financial statements could be impaired, which could adversely affect our operating results, our ability to operate our business and investors’ views of us. Ensuring that we have adequate internal financial and accounting controls and procedures in place to produce accurate financial statements on a timely basis is a costly and time-consuming effort that needs to be re-evaluated frequently. Implementing appropriate changes to the internal controls of the Enson business may take a significant period of time to complete, may distract our directors, officers and employees, and may entail substantial costs in order to modify existing accounting systems. Further, we may encounter difficulties assimilating or integrating the internal controls, disclosure controls and information technology infrastructure of the two companies. These efforts to assimilate and integrate the internal controls may not be effective in maintaining the adequacy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internal controls, and any failure to maintain that adequacy, or consequent inability to produce accurate financial statements on a timely basis, could increase operating costs and could materially impair our ability to operate our business. In addition, investors’ perceptions that our internal controls are inadequate or that we are unable to produce accurate financial statements may adversely affect our stock price.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2010, we did not sell any equity securities that were not registered under the Securities Act of 1933.</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September 30, 2010, we have purchased 460,691 shares of our common stock, leaving 539,309 shares available for purchase under this authorization. Repurchase information for the third quarter of 2010 is set forth by month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Number of</w:t>
            </w:r>
          </w:p>
        </w:tc>
        <w:tc>
          <w:tcPr>
            <w:tcW w:w="1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1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9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680" w:type="dxa"/>
            <w:vAlign w:val="bottom"/>
            <w:gridSpan w:val="2"/>
            <w:vMerge w:val="continue"/>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2010 — July 31, 2010</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5,857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17.17</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August 1, 2010 — August 31, 2010</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94,816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17.93</w:t>
            </w:r>
          </w:p>
        </w:tc>
        <w:tc>
          <w:tcPr>
            <w:tcW w:w="280" w:type="dxa"/>
            <w:vAlign w:val="bottom"/>
          </w:tcPr>
          <w:p>
            <w:pPr>
              <w:spacing w:after="0"/>
              <w:rPr>
                <w:sz w:val="18"/>
                <w:szCs w:val="18"/>
                <w:color w:val="auto"/>
              </w:rPr>
            </w:pPr>
          </w:p>
        </w:tc>
        <w:tc>
          <w:tcPr>
            <w:tcW w:w="156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2010 — September 30, 2010</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37,330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19.45</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960" w:type="dxa"/>
            <w:vAlign w:val="bottom"/>
            <w:gridSpan w:val="3"/>
          </w:tcPr>
          <w:p>
            <w:pPr>
              <w:spacing w:after="0"/>
              <w:rPr>
                <w:sz w:val="20"/>
                <w:szCs w:val="20"/>
                <w:color w:val="auto"/>
              </w:rPr>
            </w:pPr>
            <w:r>
              <w:rPr>
                <w:rFonts w:ascii="Arial" w:cs="Arial" w:eastAsia="Arial" w:hAnsi="Arial"/>
                <w:sz w:val="18"/>
                <w:szCs w:val="18"/>
                <w:color w:val="auto"/>
              </w:rPr>
              <w:t>Total Third Quarter 2010</w:t>
            </w: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138,003</w:t>
            </w:r>
          </w:p>
        </w:tc>
        <w:tc>
          <w:tcPr>
            <w:tcW w:w="30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18.31</w:t>
            </w:r>
          </w:p>
        </w:tc>
        <w:tc>
          <w:tcPr>
            <w:tcW w:w="28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N/A</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6. EXHIBITS</w:t>
            </w: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gridSpan w:val="2"/>
          </w:tcPr>
          <w:p>
            <w:pPr>
              <w:spacing w:after="0"/>
              <w:rPr>
                <w:sz w:val="20"/>
                <w:szCs w:val="20"/>
                <w:color w:val="auto"/>
              </w:rPr>
            </w:pPr>
            <w:r>
              <w:rPr>
                <w:rFonts w:ascii="Arial" w:cs="Arial" w:eastAsia="Arial" w:hAnsi="Arial"/>
                <w:sz w:val="18"/>
                <w:szCs w:val="18"/>
                <w:color w:val="auto"/>
              </w:rPr>
              <w:t>31.1</w:t>
            </w:r>
          </w:p>
        </w:tc>
        <w:tc>
          <w:tcPr>
            <w:tcW w:w="10740" w:type="dxa"/>
            <w:vAlign w:val="bottom"/>
            <w:gridSpan w:val="14"/>
          </w:tcPr>
          <w:p>
            <w:pPr>
              <w:ind w:left="240"/>
              <w:spacing w:after="0"/>
              <w:rPr>
                <w:sz w:val="20"/>
                <w:szCs w:val="20"/>
                <w:color w:val="auto"/>
              </w:rPr>
            </w:pPr>
            <w:r>
              <w:rPr>
                <w:rFonts w:ascii="Arial" w:cs="Arial" w:eastAsia="Arial" w:hAnsi="Arial"/>
                <w:sz w:val="18"/>
                <w:szCs w:val="18"/>
                <w:color w:val="auto"/>
              </w:rPr>
              <w:t>Rule 13a-14(a) Certifications of Paul D. Arling, Chief Executive Officer (principal executive officer) of Universal Electronics Inc.</w:t>
            </w:r>
          </w:p>
        </w:tc>
        <w:tc>
          <w:tcPr>
            <w:tcW w:w="0" w:type="dxa"/>
            <w:vAlign w:val="bottom"/>
          </w:tcPr>
          <w:p>
            <w:pPr>
              <w:spacing w:after="0"/>
              <w:rPr>
                <w:sz w:val="1"/>
                <w:szCs w:val="1"/>
                <w:color w:val="auto"/>
              </w:rPr>
            </w:pPr>
          </w:p>
        </w:tc>
      </w:tr>
      <w:tr>
        <w:trPr>
          <w:trHeight w:val="418"/>
        </w:trPr>
        <w:tc>
          <w:tcPr>
            <w:tcW w:w="680" w:type="dxa"/>
            <w:vAlign w:val="bottom"/>
            <w:gridSpan w:val="2"/>
          </w:tcPr>
          <w:p>
            <w:pPr>
              <w:spacing w:after="0"/>
              <w:rPr>
                <w:sz w:val="20"/>
                <w:szCs w:val="20"/>
                <w:color w:val="auto"/>
              </w:rPr>
            </w:pPr>
            <w:r>
              <w:rPr>
                <w:rFonts w:ascii="Arial" w:cs="Arial" w:eastAsia="Arial" w:hAnsi="Arial"/>
                <w:sz w:val="18"/>
                <w:szCs w:val="18"/>
                <w:color w:val="auto"/>
              </w:rPr>
              <w:t>31.2</w:t>
            </w:r>
          </w:p>
        </w:tc>
        <w:tc>
          <w:tcPr>
            <w:tcW w:w="10740" w:type="dxa"/>
            <w:vAlign w:val="bottom"/>
            <w:gridSpan w:val="14"/>
          </w:tcPr>
          <w:p>
            <w:pPr>
              <w:ind w:left="240"/>
              <w:spacing w:after="0"/>
              <w:rPr>
                <w:sz w:val="20"/>
                <w:szCs w:val="20"/>
                <w:color w:val="auto"/>
              </w:rPr>
            </w:pPr>
            <w:r>
              <w:rPr>
                <w:rFonts w:ascii="Arial" w:cs="Arial" w:eastAsia="Arial" w:hAnsi="Arial"/>
                <w:sz w:val="18"/>
                <w:szCs w:val="18"/>
                <w:color w:val="auto"/>
                <w:w w:val="96"/>
              </w:rPr>
              <w:t>Rule 13a-14(a) Certifications of Bryan M. Hackworth, Chief Financial Officer (principal financial officer and principal accounting officer)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Universal Electronics Inc.</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right="160" w:hanging="912"/>
        <w:spacing w:after="0" w:line="264"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9, 2010</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(principal financial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10380" w:type="dxa"/>
            <w:vAlign w:val="bottom"/>
            <w:tcBorders>
              <w:bottom w:val="single" w:sz="8" w:color="auto"/>
            </w:tcBorders>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Rule 13a-14(a) Certifications of Paul D. Arling, Chief Executive Officer (principal executive officer) of Universal Electronics Inc.</w:t>
            </w:r>
          </w:p>
        </w:tc>
      </w:tr>
      <w:tr>
        <w:trPr>
          <w:trHeight w:val="40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Rule 13a-14(a) Certifications of Bryan M. Hackworth, Chief Financial Officer (principal financial officer and principal accounting officer) of</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Universal Electronics Inc.</w:t>
            </w:r>
          </w:p>
        </w:tc>
      </w:tr>
    </w:tbl>
    <w:p>
      <w:pPr>
        <w:spacing w:after="0" w:line="202" w:lineRule="exact"/>
        <w:rPr>
          <w:sz w:val="20"/>
          <w:szCs w:val="20"/>
          <w:color w:val="auto"/>
        </w:rPr>
      </w:pPr>
    </w:p>
    <w:p>
      <w:pPr>
        <w:ind w:left="1040" w:right="40" w:hanging="1032"/>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1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340" w:firstLine="215"/>
        <w:spacing w:after="0" w:line="264" w:lineRule="auto"/>
        <w:tabs>
          <w:tab w:leader="none" w:pos="77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540" w:firstLine="215"/>
        <w:spacing w:after="0" w:line="264"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firstLine="215"/>
        <w:spacing w:after="0" w:line="308" w:lineRule="auto"/>
        <w:tabs>
          <w:tab w:leader="none" w:pos="77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360" w:right="40" w:firstLine="215"/>
        <w:spacing w:after="0" w:line="308" w:lineRule="auto"/>
        <w:tabs>
          <w:tab w:leader="none" w:pos="7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340" w:right="50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360" w:right="400" w:firstLine="215"/>
        <w:spacing w:after="0" w:line="277" w:lineRule="auto"/>
        <w:tabs>
          <w:tab w:leader="none" w:pos="77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340" w:firstLine="215"/>
        <w:spacing w:after="0" w:line="277"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Paul D. Arling</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3370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340" w:firstLine="215"/>
        <w:spacing w:after="0" w:line="264" w:lineRule="auto"/>
        <w:tabs>
          <w:tab w:leader="none" w:pos="77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540" w:firstLine="215"/>
        <w:spacing w:after="0" w:line="264"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firstLine="215"/>
        <w:spacing w:after="0" w:line="308" w:lineRule="auto"/>
        <w:tabs>
          <w:tab w:leader="none" w:pos="77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360" w:right="40" w:firstLine="215"/>
        <w:spacing w:after="0" w:line="308" w:lineRule="auto"/>
        <w:tabs>
          <w:tab w:leader="none" w:pos="7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80" w:hanging="252"/>
        <w:spacing w:after="0" w:line="277"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360" w:right="400" w:firstLine="215"/>
        <w:spacing w:after="0" w:line="277" w:lineRule="auto"/>
        <w:tabs>
          <w:tab w:leader="none" w:pos="77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340" w:firstLine="215"/>
        <w:spacing w:after="0" w:line="277"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 Bryan M. Hackworth</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-130810</wp:posOffset>
            </wp:positionV>
            <wp:extent cx="34905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2010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Dated: November 9, 2010</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Paul D. Arling</w:t>
            </w:r>
          </w:p>
        </w:tc>
      </w:tr>
      <w:tr>
        <w:trPr>
          <w:trHeight w:val="224"/>
        </w:trPr>
        <w:tc>
          <w:tcPr>
            <w:tcW w:w="36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418"/>
        </w:trPr>
        <w:tc>
          <w:tcPr>
            <w:tcW w:w="3620" w:type="dxa"/>
            <w:vAlign w:val="bottom"/>
          </w:tcPr>
          <w:p>
            <w:pPr>
              <w:spacing w:after="0"/>
              <w:rPr>
                <w:sz w:val="24"/>
                <w:szCs w:val="24"/>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Bryan M. Hackworth</w:t>
            </w:r>
          </w:p>
        </w:tc>
      </w:tr>
      <w:tr>
        <w:trPr>
          <w:trHeight w:val="224"/>
        </w:trPr>
        <w:tc>
          <w:tcPr>
            <w:tcW w:w="36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3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32"/>
    </w:lvl>
  </w:abstractNum>
  <w:abstractNum w:abstractNumId="24">
    <w:nsid w:val="B03E0C6"/>
    <w:multiLevelType w:val="hybridMultilevel"/>
    <w:lvl w:ilvl="0">
      <w:lvlJc w:val="left"/>
      <w:lvlText w:val="%1"/>
      <w:numFmt w:val="decimal"/>
      <w:start w:val="32"/>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2019-12-10T02:29:34Z</dcterms:created>
  <dcterms:modified xsi:type="dcterms:W3CDTF">2019-12-10T02:29:34Z</dcterms:modified>
</cp:coreProperties>
</file>