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8" w:lineRule="auto"/>
        <w:rPr>
          <w:sz w:val="20"/>
          <w:szCs w:val="20"/>
          <w:color w:val="auto"/>
        </w:rPr>
      </w:pPr>
      <w:r>
        <w:rPr>
          <w:rFonts w:ascii="Arial" w:cs="Arial" w:eastAsia="Arial" w:hAnsi="Arial"/>
          <w:sz w:val="22"/>
          <w:szCs w:val="22"/>
          <w:b w:val="1"/>
          <w:bCs w:val="1"/>
          <w:color w:val="auto"/>
        </w:rPr>
        <w:t>WASHINGTON, D.C. 20549</w:t>
      </w:r>
    </w:p>
    <w:p>
      <w:pPr>
        <w:ind w:left="4300"/>
        <w:spacing w:after="0"/>
        <w:rPr>
          <w:sz w:val="20"/>
          <w:szCs w:val="20"/>
          <w:color w:val="auto"/>
        </w:rPr>
      </w:pPr>
      <w:r>
        <w:rPr>
          <w:rFonts w:ascii="Arial" w:cs="Arial" w:eastAsia="Arial" w:hAnsi="Arial"/>
          <w:sz w:val="14"/>
          <w:szCs w:val="14"/>
          <w:color w:val="auto"/>
        </w:rPr>
        <w:t>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ind w:left="43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2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For the quarterly period ended June 30, 2019</w:t>
      </w:r>
    </w:p>
    <w:p>
      <w:pPr>
        <w:spacing w:after="0" w:line="58"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2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p>
      <w:pPr>
        <w:ind w:left="238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33-0204817</w:t>
      </w:r>
    </w:p>
    <w:p>
      <w:pPr>
        <w:spacing w:after="0" w:line="59" w:lineRule="exact"/>
        <w:rPr>
          <w:sz w:val="24"/>
          <w:szCs w:val="24"/>
          <w:color w:val="auto"/>
        </w:rPr>
      </w:pPr>
    </w:p>
    <w:p>
      <w:pPr>
        <w:ind w:left="1820"/>
        <w:spacing w:after="0"/>
        <w:tabs>
          <w:tab w:leader="none" w:pos="81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780"/>
        <w:spacing w:after="0"/>
        <w:tabs>
          <w:tab w:leader="none" w:pos="81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5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15147 N. Scottsdale Road, Suite H300</w:t>
      </w:r>
    </w:p>
    <w:p>
      <w:pPr>
        <w:spacing w:after="0" w:line="27" w:lineRule="exact"/>
        <w:rPr>
          <w:sz w:val="24"/>
          <w:szCs w:val="24"/>
          <w:color w:val="auto"/>
        </w:rPr>
      </w:pPr>
    </w:p>
    <w:p>
      <w:pPr>
        <w:ind w:left="2000"/>
        <w:spacing w:after="0"/>
        <w:tabs>
          <w:tab w:leader="none" w:pos="8240" w:val="left"/>
        </w:tabs>
        <w:rPr>
          <w:sz w:val="20"/>
          <w:szCs w:val="20"/>
          <w:color w:val="auto"/>
        </w:rPr>
      </w:pPr>
      <w:r>
        <w:rPr>
          <w:rFonts w:ascii="Arial" w:cs="Arial" w:eastAsia="Arial" w:hAnsi="Arial"/>
          <w:sz w:val="18"/>
          <w:szCs w:val="18"/>
          <w:b w:val="1"/>
          <w:bCs w:val="1"/>
          <w:color w:val="auto"/>
        </w:rPr>
        <w:t>Scottsdale, Arizona</w:t>
      </w:r>
      <w:r>
        <w:rPr>
          <w:sz w:val="20"/>
          <w:szCs w:val="20"/>
          <w:color w:val="auto"/>
        </w:rPr>
        <w:tab/>
      </w:r>
      <w:r>
        <w:rPr>
          <w:rFonts w:ascii="Arial" w:cs="Arial" w:eastAsia="Arial" w:hAnsi="Arial"/>
          <w:sz w:val="16"/>
          <w:szCs w:val="16"/>
          <w:b w:val="1"/>
          <w:bCs w:val="1"/>
          <w:color w:val="auto"/>
        </w:rPr>
        <w:t>85254-2494</w:t>
      </w:r>
    </w:p>
    <w:p>
      <w:pPr>
        <w:spacing w:after="0" w:line="40" w:lineRule="exact"/>
        <w:rPr>
          <w:sz w:val="24"/>
          <w:szCs w:val="24"/>
          <w:color w:val="auto"/>
        </w:rPr>
      </w:pPr>
    </w:p>
    <w:p>
      <w:pPr>
        <w:ind w:left="1520"/>
        <w:spacing w:after="0"/>
        <w:tabs>
          <w:tab w:leader="none" w:pos="834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(480) 530-3000</w:t>
      </w:r>
    </w:p>
    <w:p>
      <w:pPr>
        <w:spacing w:after="0" w:line="36" w:lineRule="exact"/>
        <w:rPr>
          <w:sz w:val="24"/>
          <w:szCs w:val="24"/>
          <w:color w:val="auto"/>
        </w:rPr>
      </w:pPr>
    </w:p>
    <w:p>
      <w:pPr>
        <w:ind w:left="4480"/>
        <w:spacing w:after="0"/>
        <w:rPr>
          <w:sz w:val="20"/>
          <w:szCs w:val="20"/>
          <w:color w:val="auto"/>
        </w:rPr>
      </w:pPr>
      <w:r>
        <w:rPr>
          <w:rFonts w:ascii="Arial" w:cs="Arial" w:eastAsia="Arial" w:hAnsi="Arial"/>
          <w:sz w:val="14"/>
          <w:szCs w:val="14"/>
          <w:color w:val="auto"/>
        </w:rPr>
        <w:t>__________________________________</w:t>
      </w:r>
    </w:p>
    <w:p>
      <w:pPr>
        <w:spacing w:after="0" w:line="3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3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 w:lineRule="exact"/>
        <w:rPr>
          <w:sz w:val="24"/>
          <w:szCs w:val="24"/>
          <w:color w:val="auto"/>
        </w:rPr>
      </w:pPr>
    </w:p>
    <w:p>
      <w:pPr>
        <w:ind w:left="40"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sectPr>
          <w:pgSz w:w="11900" w:h="16838" w:orient="portrait"/>
          <w:cols w:equalWidth="0" w:num="1">
            <w:col w:w="11440"/>
          </w:cols>
          <w:pgMar w:left="240" w:top="287" w:right="219" w:bottom="1440" w:gutter="0" w:footer="0" w:header="0"/>
        </w:sectPr>
      </w:pPr>
    </w:p>
    <w:p>
      <w:pPr>
        <w:ind w:right="36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13,879,232 shares of Common Stock, par value $0.01 per share, of the registrant were outstanding on August 6, 2019.</w:t>
      </w:r>
    </w:p>
    <w:p>
      <w:pPr>
        <w:sectPr>
          <w:pgSz w:w="11900" w:h="16838" w:orient="portrait"/>
          <w:cols w:equalWidth="0" w:num="1">
            <w:col w:w="11440"/>
          </w:cols>
          <w:pgMar w:left="240" w:top="287"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rPr>
              <w:t>UNIVERSAL ELECTRONICS INC.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20" w:type="dxa"/>
            <w:vAlign w:val="bottom"/>
            <w:gridSpan w:val="2"/>
          </w:tcPr>
          <w:p>
            <w:pPr>
              <w:jc w:val="center"/>
              <w:ind w:right="3980"/>
              <w:spacing w:after="0"/>
              <w:rPr>
                <w:sz w:val="20"/>
                <w:szCs w:val="20"/>
                <w:color w:val="auto"/>
              </w:rPr>
            </w:pPr>
            <w:r>
              <w:rPr>
                <w:rFonts w:ascii="Arial" w:cs="Arial" w:eastAsia="Arial" w:hAnsi="Arial"/>
                <w:sz w:val="18"/>
                <w:szCs w:val="18"/>
                <w:b w:val="1"/>
                <w:bCs w:val="1"/>
                <w:color w:val="auto"/>
              </w:rPr>
              <w:t>INDEX</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40" w:type="dxa"/>
            <w:vAlign w:val="bottom"/>
            <w:gridSpan w:val="8"/>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04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5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6460" w:type="dxa"/>
            <w:vAlign w:val="bottom"/>
            <w:gridSpan w:val="4"/>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28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w:t>
              </w:r>
            </w:hyperlink>
          </w:p>
        </w:tc>
        <w:tc>
          <w:tcPr>
            <w:tcW w:w="7360" w:type="dxa"/>
            <w:vAlign w:val="bottom"/>
            <w:gridSpan w:val="9"/>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240" w:type="dxa"/>
            <w:vAlign w:val="bottom"/>
          </w:tcPr>
          <w:p>
            <w:pPr>
              <w:spacing w:after="0"/>
              <w:rPr>
                <w:sz w:val="21"/>
                <w:szCs w:val="21"/>
                <w:color w:val="auto"/>
              </w:rPr>
            </w:pPr>
          </w:p>
        </w:tc>
        <w:tc>
          <w:tcPr>
            <w:tcW w:w="101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(Loss)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404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w:t>
              </w:r>
            </w:hyperlink>
          </w:p>
        </w:tc>
        <w:tc>
          <w:tcPr>
            <w:tcW w:w="6140" w:type="dxa"/>
            <w:vAlign w:val="bottom"/>
            <w:gridSpan w:val="3"/>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352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6660" w:type="dxa"/>
            <w:vAlign w:val="bottom"/>
            <w:gridSpan w:val="5"/>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1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 Management's Discussion and Analysis of Financial Condition and Results of Operations</w:t>
              </w:r>
            </w:hyperlink>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552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6"/>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4. Controls and Procedures</w:t>
              </w:r>
            </w:hyperlink>
          </w:p>
        </w:tc>
        <w:tc>
          <w:tcPr>
            <w:tcW w:w="2580" w:type="dxa"/>
            <w:vAlign w:val="bottom"/>
            <w:gridSpan w:val="10"/>
          </w:tcPr>
          <w:p>
            <w:pPr>
              <w:spacing w:after="0"/>
              <w:rPr>
                <w:sz w:val="21"/>
                <w:szCs w:val="21"/>
                <w:color w:val="auto"/>
              </w:rPr>
            </w:pPr>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20" w:type="dxa"/>
            <w:vAlign w:val="bottom"/>
            <w:gridSpan w:val="1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7660" w:type="dxa"/>
            <w:vAlign w:val="bottom"/>
            <w:gridSpan w:val="10"/>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8540" w:type="dxa"/>
            <w:vAlign w:val="bottom"/>
            <w:gridSpan w:val="13"/>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60" w:type="dxa"/>
            <w:vAlign w:val="bottom"/>
            <w:gridSpan w:val="13"/>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2"/>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380" w:type="dxa"/>
            <w:vAlign w:val="bottom"/>
          </w:tcPr>
          <w:p>
            <w:pPr>
              <w:spacing w:after="0"/>
              <w:rPr>
                <w:sz w:val="21"/>
                <w:szCs w:val="21"/>
                <w:color w:val="auto"/>
              </w:rPr>
            </w:pPr>
          </w:p>
        </w:tc>
        <w:tc>
          <w:tcPr>
            <w:tcW w:w="9280" w:type="dxa"/>
            <w:vAlign w:val="bottom"/>
            <w:gridSpan w:val="15"/>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40"/>
          </w:cols>
          <w:pgMar w:left="280" w:top="364" w:right="6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53,207</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154,633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144,689</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148,909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144,350</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11,638</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997</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388,942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380,453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93,867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95,840</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22,046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24,370</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1,833</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4,615</w:t>
            </w:r>
          </w:p>
        </w:tc>
      </w:tr>
      <w:tr>
        <w:trPr>
          <w:trHeight w:val="284"/>
        </w:trPr>
        <w:tc>
          <w:tcPr>
            <w:tcW w:w="76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578,293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555,596</w:t>
            </w:r>
          </w:p>
        </w:tc>
      </w:tr>
      <w:tr>
        <w:trPr>
          <w:trHeight w:val="237"/>
        </w:trPr>
        <w:tc>
          <w:tcPr>
            <w:tcW w:w="766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107,282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101,500</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33,965</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8,676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9,574</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3,524</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36,087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24,011</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290,444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279,856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8,435</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1,647</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w:t>
            </w: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317,422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292,636</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Common stock, $0.01 par value, 50,000,000 shares authorized; 24,042,791 and 23,932,703 shares issued on</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June 30, 2019 and December 31, 2018, respectively</w:t>
            </w:r>
          </w:p>
        </w:tc>
        <w:tc>
          <w:tcPr>
            <w:tcW w:w="28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276,103</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9"/>
              </w:rPr>
              <w:t>Treasury stock, at cost, 10,163,559 and 10,116,459 shares on June 30, 2019 and December 31, 2018,</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(277,293)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(275,889)</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276,722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282,788</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262,960</w:t>
            </w:r>
          </w:p>
        </w:tc>
      </w:tr>
      <w:tr>
        <w:trPr>
          <w:trHeight w:val="231"/>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578,293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12700</wp:posOffset>
            </wp:positionV>
            <wp:extent cx="238379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33"/>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162,523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327,221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159,903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135,764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304,192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263,260</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12,110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60,817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on sale of Guangzhou factory</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36,978</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23,994</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22,659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22,072</w:t>
            </w:r>
          </w:p>
        </w:tc>
      </w:tr>
      <w:tr>
        <w:trPr>
          <w:trHeight w:val="311"/>
        </w:trPr>
        <w:tc>
          <w:tcPr>
            <w:tcW w:w="4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14,070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13,845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14,078</w:t>
            </w:r>
          </w:p>
        </w:tc>
      </w:tr>
      <w:tr>
        <w:trPr>
          <w:trHeight w:val="251"/>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14,195</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(5,061)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(6,894)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20,660</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total equity for the three and six months ended June 30,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Currency translation adjustment</w:t>
      </w:r>
    </w:p>
    <w:p>
      <w:pPr>
        <w:spacing w:after="0" w:line="86" w:lineRule="exact"/>
        <w:rPr>
          <w:sz w:val="20"/>
          <w:szCs w:val="20"/>
          <w:color w:val="auto"/>
        </w:rPr>
      </w:pPr>
    </w:p>
    <w:p>
      <w:pPr>
        <w:ind w:left="40" w:right="60"/>
        <w:spacing w:after="0" w:line="293" w:lineRule="auto"/>
        <w:rPr>
          <w:sz w:val="20"/>
          <w:szCs w:val="20"/>
          <w:color w:val="auto"/>
        </w:rPr>
      </w:pPr>
      <w:r>
        <w:rPr>
          <w:rFonts w:ascii="Arial" w:cs="Arial" w:eastAsia="Arial" w:hAnsi="Arial"/>
          <w:sz w:val="16"/>
          <w:szCs w:val="16"/>
          <w:color w:val="auto"/>
        </w:rPr>
        <w:t>Shares issued for employee benefit plan and compensation</w:t>
      </w:r>
    </w:p>
    <w:p>
      <w:pPr>
        <w:spacing w:after="0" w:line="10" w:lineRule="exact"/>
        <w:rPr>
          <w:sz w:val="20"/>
          <w:szCs w:val="20"/>
          <w:color w:val="auto"/>
        </w:rPr>
      </w:pPr>
    </w:p>
    <w:p>
      <w:pPr>
        <w:ind w:left="40" w:right="1160"/>
        <w:spacing w:after="0" w:line="402" w:lineRule="auto"/>
        <w:rPr>
          <w:sz w:val="20"/>
          <w:szCs w:val="20"/>
          <w:color w:val="auto"/>
        </w:rPr>
      </w:pPr>
      <w:r>
        <w:rPr>
          <w:rFonts w:ascii="Arial" w:cs="Arial" w:eastAsia="Arial" w:hAnsi="Arial"/>
          <w:sz w:val="14"/>
          <w:szCs w:val="14"/>
          <w:color w:val="auto"/>
        </w:rPr>
        <w:t>Purchase of treasury shares Shares issued to directors</w:t>
      </w:r>
    </w:p>
    <w:p>
      <w:pPr>
        <w:spacing w:after="0" w:line="1" w:lineRule="exact"/>
        <w:rPr>
          <w:sz w:val="20"/>
          <w:szCs w:val="20"/>
          <w:color w:val="auto"/>
        </w:rPr>
      </w:pPr>
    </w:p>
    <w:p>
      <w:pPr>
        <w:ind w:left="40" w:right="640"/>
        <w:spacing w:after="0" w:line="293" w:lineRule="auto"/>
        <w:rPr>
          <w:sz w:val="20"/>
          <w:szCs w:val="20"/>
          <w:color w:val="auto"/>
        </w:rPr>
      </w:pPr>
      <w:r>
        <w:rPr>
          <w:rFonts w:ascii="Arial" w:cs="Arial" w:eastAsia="Arial" w:hAnsi="Arial"/>
          <w:sz w:val="16"/>
          <w:szCs w:val="16"/>
          <w:color w:val="auto"/>
        </w:rPr>
        <w:t>Employee and director stock-based compensation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Performance - based common stock warrants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March 31,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Currency translation adjustment</w:t>
      </w:r>
    </w:p>
    <w:p>
      <w:pPr>
        <w:spacing w:after="0" w:line="86" w:lineRule="exact"/>
        <w:rPr>
          <w:sz w:val="20"/>
          <w:szCs w:val="20"/>
          <w:color w:val="auto"/>
        </w:rPr>
      </w:pPr>
    </w:p>
    <w:p>
      <w:pPr>
        <w:ind w:left="40" w:right="60"/>
        <w:spacing w:after="0" w:line="293" w:lineRule="auto"/>
        <w:rPr>
          <w:sz w:val="20"/>
          <w:szCs w:val="20"/>
          <w:color w:val="auto"/>
        </w:rPr>
      </w:pPr>
      <w:r>
        <w:rPr>
          <w:rFonts w:ascii="Arial" w:cs="Arial" w:eastAsia="Arial" w:hAnsi="Arial"/>
          <w:sz w:val="16"/>
          <w:szCs w:val="16"/>
          <w:color w:val="auto"/>
        </w:rPr>
        <w:t>Shares issued for employee benefit plan and compensation</w:t>
      </w:r>
    </w:p>
    <w:p>
      <w:pPr>
        <w:spacing w:after="0" w:line="10" w:lineRule="exact"/>
        <w:rPr>
          <w:sz w:val="20"/>
          <w:szCs w:val="20"/>
          <w:color w:val="auto"/>
        </w:rPr>
      </w:pPr>
    </w:p>
    <w:p>
      <w:pPr>
        <w:ind w:left="40" w:right="1160"/>
        <w:spacing w:after="0" w:line="402" w:lineRule="auto"/>
        <w:rPr>
          <w:sz w:val="20"/>
          <w:szCs w:val="20"/>
          <w:color w:val="auto"/>
        </w:rPr>
      </w:pPr>
      <w:r>
        <w:rPr>
          <w:rFonts w:ascii="Arial" w:cs="Arial" w:eastAsia="Arial" w:hAnsi="Arial"/>
          <w:sz w:val="14"/>
          <w:szCs w:val="14"/>
          <w:color w:val="auto"/>
        </w:rPr>
        <w:t>Purchase of treasury shares Shares issued to directors</w:t>
      </w:r>
    </w:p>
    <w:p>
      <w:pPr>
        <w:spacing w:after="0" w:line="1" w:lineRule="exact"/>
        <w:rPr>
          <w:sz w:val="20"/>
          <w:szCs w:val="20"/>
          <w:color w:val="auto"/>
        </w:rPr>
      </w:pPr>
    </w:p>
    <w:p>
      <w:pPr>
        <w:ind w:left="40" w:right="640"/>
        <w:spacing w:after="0" w:line="293" w:lineRule="auto"/>
        <w:rPr>
          <w:sz w:val="20"/>
          <w:szCs w:val="20"/>
          <w:color w:val="auto"/>
        </w:rPr>
      </w:pPr>
      <w:r>
        <w:rPr>
          <w:rFonts w:ascii="Arial" w:cs="Arial" w:eastAsia="Arial" w:hAnsi="Arial"/>
          <w:sz w:val="16"/>
          <w:szCs w:val="16"/>
          <w:color w:val="auto"/>
        </w:rPr>
        <w:t>Employee and director stock-based compensation</w:t>
      </w:r>
    </w:p>
    <w:p>
      <w:pPr>
        <w:spacing w:after="0" w:line="10" w:lineRule="exact"/>
        <w:rPr>
          <w:sz w:val="20"/>
          <w:szCs w:val="20"/>
          <w:color w:val="auto"/>
        </w:rPr>
      </w:pPr>
    </w:p>
    <w:p>
      <w:pPr>
        <w:ind w:left="40" w:right="80"/>
        <w:spacing w:after="0" w:line="381" w:lineRule="auto"/>
        <w:rPr>
          <w:sz w:val="20"/>
          <w:szCs w:val="20"/>
          <w:color w:val="auto"/>
        </w:rPr>
      </w:pPr>
      <w:r>
        <w:rPr>
          <w:rFonts w:ascii="Arial" w:cs="Arial" w:eastAsia="Arial" w:hAnsi="Arial"/>
          <w:sz w:val="16"/>
          <w:szCs w:val="16"/>
          <w:color w:val="auto"/>
        </w:rPr>
        <w:t>Performance-based common stock warrants Balance at June 30, 2019</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6"/>
          </w:tcPr>
          <w:p>
            <w:pPr>
              <w:ind w:left="540"/>
              <w:spacing w:after="0"/>
              <w:rPr>
                <w:sz w:val="20"/>
                <w:szCs w:val="20"/>
                <w:color w:val="auto"/>
              </w:rPr>
            </w:pPr>
            <w:r>
              <w:rPr>
                <w:rFonts w:ascii="Arial" w:cs="Arial" w:eastAsia="Arial" w:hAnsi="Arial"/>
                <w:sz w:val="14"/>
                <w:szCs w:val="14"/>
                <w:b w:val="1"/>
                <w:bCs w:val="1"/>
                <w:color w:val="auto"/>
              </w:rPr>
              <w:t>Common Stock</w:t>
            </w:r>
          </w:p>
        </w:tc>
        <w:tc>
          <w:tcPr>
            <w:tcW w:w="20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Issued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Treasury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8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0" w:type="dxa"/>
            <w:vAlign w:val="bottom"/>
          </w:tcPr>
          <w:p>
            <w:pPr>
              <w:jc w:val="right"/>
              <w:spacing w:after="0"/>
              <w:rPr>
                <w:sz w:val="20"/>
                <w:szCs w:val="20"/>
                <w:color w:val="auto"/>
              </w:rPr>
            </w:pPr>
            <w:r>
              <w:rPr>
                <w:rFonts w:ascii="Arial" w:cs="Arial" w:eastAsia="Arial" w:hAnsi="Arial"/>
                <w:sz w:val="16"/>
                <w:szCs w:val="16"/>
                <w:color w:val="auto"/>
              </w:rPr>
              <w:t>23,933</w:t>
            </w: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9"/>
              </w:rPr>
              <w:t>(275,889)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276,103</w:t>
            </w:r>
          </w:p>
        </w:tc>
        <w:tc>
          <w:tcPr>
            <w:tcW w:w="100" w:type="dxa"/>
            <w:vAlign w:val="bottom"/>
          </w:tcPr>
          <w:p>
            <w:pPr>
              <w:spacing w:after="0"/>
              <w:rPr>
                <w:sz w:val="19"/>
                <w:szCs w:val="19"/>
                <w:color w:val="auto"/>
              </w:rPr>
            </w:pPr>
          </w:p>
        </w:tc>
        <w:tc>
          <w:tcPr>
            <w:tcW w:w="2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(20,281)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282,788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262,960</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459"/>
        </w:trPr>
        <w:tc>
          <w:tcPr>
            <w:tcW w:w="8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right"/>
              <w:spacing w:after="0"/>
              <w:rPr>
                <w:sz w:val="20"/>
                <w:szCs w:val="20"/>
                <w:color w:val="auto"/>
              </w:rPr>
            </w:pPr>
            <w:r>
              <w:rPr>
                <w:rFonts w:ascii="Arial" w:cs="Arial" w:eastAsia="Arial" w:hAnsi="Arial"/>
                <w:sz w:val="16"/>
                <w:szCs w:val="16"/>
                <w:color w:val="auto"/>
              </w:rPr>
              <w:t>24,019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(277,104)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278,801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281,783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265,172</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(5,061)</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459"/>
        </w:trPr>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right"/>
              <w:spacing w:after="0"/>
              <w:rPr>
                <w:sz w:val="20"/>
                <w:szCs w:val="20"/>
                <w:color w:val="auto"/>
              </w:rPr>
            </w:pPr>
            <w:r>
              <w:rPr>
                <w:rFonts w:ascii="Arial" w:cs="Arial" w:eastAsia="Arial" w:hAnsi="Arial"/>
                <w:sz w:val="16"/>
                <w:szCs w:val="16"/>
                <w:color w:val="auto"/>
              </w:rPr>
              <w:t>24,043</w:t>
            </w: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(10,164)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9"/>
              </w:rPr>
              <w:t>(277,293)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281,583</w:t>
            </w:r>
          </w:p>
        </w:tc>
        <w:tc>
          <w:tcPr>
            <w:tcW w:w="100" w:type="dxa"/>
            <w:vAlign w:val="bottom"/>
          </w:tcPr>
          <w:p>
            <w:pPr>
              <w:spacing w:after="0"/>
              <w:rPr>
                <w:sz w:val="18"/>
                <w:szCs w:val="18"/>
                <w:color w:val="auto"/>
              </w:rPr>
            </w:pPr>
          </w:p>
        </w:tc>
        <w:tc>
          <w:tcPr>
            <w:tcW w:w="2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(20,381)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276,722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260,871</w:t>
            </w:r>
          </w:p>
        </w:tc>
        <w:tc>
          <w:tcPr>
            <w:tcW w:w="0" w:type="dxa"/>
            <w:vAlign w:val="bottom"/>
          </w:tcPr>
          <w:p>
            <w:pPr>
              <w:spacing w:after="0"/>
              <w:rPr>
                <w:sz w:val="1"/>
                <w:szCs w:val="1"/>
                <w:color w:val="auto"/>
              </w:rPr>
            </w:pP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-3421380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-3077845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-2614930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-2272030</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-1809115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-1465580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-1002665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-659765</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-196850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2960" w:space="240"/>
            <w:col w:w="8220"/>
          </w:cols>
          <w:pgMar w:left="240" w:top="118" w:right="239" w:bottom="1440" w:gutter="0" w:footer="0" w:header="0"/>
          <w:type w:val="continuous"/>
        </w:sect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17"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total equity for the three and six months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120" w:type="dxa"/>
            <w:vAlign w:val="bottom"/>
            <w:gridSpan w:val="6"/>
          </w:tcPr>
          <w:p>
            <w:pPr>
              <w:ind w:left="540"/>
              <w:spacing w:after="0"/>
              <w:rPr>
                <w:sz w:val="20"/>
                <w:szCs w:val="20"/>
                <w:color w:val="auto"/>
              </w:rPr>
            </w:pPr>
            <w:r>
              <w:rPr>
                <w:rFonts w:ascii="Arial" w:cs="Arial" w:eastAsia="Arial" w:hAnsi="Arial"/>
                <w:sz w:val="14"/>
                <w:szCs w:val="14"/>
                <w:b w:val="1"/>
                <w:bCs w:val="1"/>
                <w:color w:val="auto"/>
              </w:rPr>
              <w:t>Common Stock</w:t>
            </w:r>
          </w:p>
        </w:tc>
        <w:tc>
          <w:tcPr>
            <w:tcW w:w="20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Issued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Treasury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200" w:type="dxa"/>
            <w:vAlign w:val="bottom"/>
          </w:tcPr>
          <w:p>
            <w:pPr>
              <w:spacing w:after="0"/>
              <w:rPr>
                <w:sz w:val="6"/>
                <w:szCs w:val="6"/>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(262,065)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265,195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266,780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253,549</w:t>
            </w:r>
          </w:p>
        </w:tc>
        <w:tc>
          <w:tcPr>
            <w:tcW w:w="0" w:type="dxa"/>
            <w:vAlign w:val="bottom"/>
          </w:tcPr>
          <w:p>
            <w:pPr>
              <w:spacing w:after="0"/>
              <w:rPr>
                <w:sz w:val="1"/>
                <w:szCs w:val="1"/>
                <w:color w:val="auto"/>
              </w:rPr>
            </w:pPr>
          </w:p>
        </w:tc>
      </w:tr>
      <w:tr>
        <w:trPr>
          <w:trHeight w:val="220"/>
        </w:trPr>
        <w:tc>
          <w:tcPr>
            <w:tcW w:w="3200" w:type="dxa"/>
            <w:vAlign w:val="bottom"/>
          </w:tcPr>
          <w:p>
            <w:pPr>
              <w:ind w:left="40"/>
              <w:spacing w:after="0"/>
              <w:rPr>
                <w:sz w:val="20"/>
                <w:szCs w:val="20"/>
                <w:color w:val="auto"/>
              </w:rPr>
            </w:pPr>
            <w:r>
              <w:rPr>
                <w:rFonts w:ascii="Arial" w:cs="Arial" w:eastAsia="Arial" w:hAnsi="Arial"/>
                <w:sz w:val="16"/>
                <w:szCs w:val="16"/>
                <w:color w:val="auto"/>
              </w:rPr>
              <w:t>Impact to retained earnings from adoption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40"/>
              <w:spacing w:after="0"/>
              <w:rPr>
                <w:sz w:val="20"/>
                <w:szCs w:val="20"/>
                <w:color w:val="auto"/>
              </w:rPr>
            </w:pPr>
            <w:r>
              <w:rPr>
                <w:rFonts w:ascii="Arial" w:cs="Arial" w:eastAsia="Arial" w:hAnsi="Arial"/>
                <w:sz w:val="16"/>
                <w:szCs w:val="16"/>
                <w:color w:val="auto"/>
              </w:rPr>
              <w:t>ASU 2014-09</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4,084</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(262,065)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265,195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270,864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257,633</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3,646</w:t>
            </w:r>
          </w:p>
        </w:tc>
        <w:tc>
          <w:tcPr>
            <w:tcW w:w="0" w:type="dxa"/>
            <w:vAlign w:val="bottom"/>
          </w:tcPr>
          <w:p>
            <w:pPr>
              <w:spacing w:after="0"/>
              <w:rPr>
                <w:sz w:val="1"/>
                <w:szCs w:val="1"/>
                <w:color w:val="auto"/>
              </w:rPr>
            </w:pPr>
          </w:p>
        </w:tc>
      </w:tr>
      <w:tr>
        <w:trPr>
          <w:trHeight w:val="220"/>
        </w:trPr>
        <w:tc>
          <w:tcPr>
            <w:tcW w:w="3200" w:type="dxa"/>
            <w:vAlign w:val="bottom"/>
          </w:tcPr>
          <w:p>
            <w:pPr>
              <w:ind w:left="40"/>
              <w:spacing w:after="0"/>
              <w:rPr>
                <w:sz w:val="20"/>
                <w:szCs w:val="20"/>
                <w:color w:val="auto"/>
              </w:rPr>
            </w:pPr>
            <w:r>
              <w:rPr>
                <w:rFonts w:ascii="Arial" w:cs="Arial" w:eastAsia="Arial" w:hAnsi="Arial"/>
                <w:sz w:val="16"/>
                <w:szCs w:val="16"/>
                <w:color w:val="auto"/>
                <w:w w:val="99"/>
              </w:rPr>
              <w:t>Shares issued for employee benefit plan and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treasury shares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to directors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200" w:type="dxa"/>
            <w:vAlign w:val="bottom"/>
          </w:tcPr>
          <w:p>
            <w:pPr>
              <w:ind w:left="40"/>
              <w:spacing w:after="0"/>
              <w:rPr>
                <w:sz w:val="20"/>
                <w:szCs w:val="20"/>
                <w:color w:val="auto"/>
              </w:rPr>
            </w:pPr>
            <w:r>
              <w:rPr>
                <w:rFonts w:ascii="Arial" w:cs="Arial" w:eastAsia="Arial" w:hAnsi="Arial"/>
                <w:sz w:val="16"/>
                <w:szCs w:val="16"/>
                <w:color w:val="auto"/>
              </w:rPr>
              <w:t>Employee and director stock-based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Performance - based common stock warrants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23,830</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(262,680)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268,645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270,277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263,527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22,659</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(5,058)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Shares issued for employee benefit plan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(6,499)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 exercised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and director stock-based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23,862</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(269,179)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277,485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(6,066)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22,072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15,871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16,913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34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5,078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Gain on sale of Guangzhou factory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(36,978)</w:t>
            </w:r>
          </w:p>
        </w:tc>
      </w:tr>
      <w:tr>
        <w:trPr>
          <w:trHeight w:val="237"/>
        </w:trPr>
        <w:tc>
          <w:tcPr>
            <w:tcW w:w="8340" w:type="dxa"/>
            <w:vAlign w:val="bottom"/>
          </w:tcPr>
          <w:p>
            <w:pPr>
              <w:ind w:left="8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r>
      <w:tr>
        <w:trPr>
          <w:trHeight w:val="237"/>
        </w:trPr>
        <w:tc>
          <w:tcPr>
            <w:tcW w:w="8340" w:type="dxa"/>
            <w:vAlign w:val="bottom"/>
          </w:tcPr>
          <w:p>
            <w:pPr>
              <w:ind w:left="820"/>
              <w:spacing w:after="0"/>
              <w:rPr>
                <w:sz w:val="20"/>
                <w:szCs w:val="20"/>
                <w:color w:val="auto"/>
              </w:rPr>
            </w:pPr>
            <w:r>
              <w:rPr>
                <w:rFonts w:ascii="Arial" w:cs="Arial" w:eastAsia="Arial" w:hAnsi="Arial"/>
                <w:sz w:val="16"/>
                <w:szCs w:val="16"/>
                <w:color w:val="auto"/>
              </w:rPr>
              <w:t>Employee and director stock-based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4,669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Performance-based common stock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r>
      <w:tr>
        <w:trPr>
          <w:trHeight w:val="237"/>
        </w:trPr>
        <w:tc>
          <w:tcPr>
            <w:tcW w:w="8340" w:type="dxa"/>
            <w:vAlign w:val="bottom"/>
          </w:tcPr>
          <w:p>
            <w:pPr>
              <w:ind w:left="820"/>
              <w:spacing w:after="0"/>
              <w:rPr>
                <w:sz w:val="20"/>
                <w:szCs w:val="20"/>
                <w:color w:val="auto"/>
              </w:rPr>
            </w:pPr>
            <w:r>
              <w:rPr>
                <w:rFonts w:ascii="Arial" w:cs="Arial" w:eastAsia="Arial" w:hAnsi="Arial"/>
                <w:sz w:val="16"/>
                <w:szCs w:val="16"/>
                <w:color w:val="auto"/>
              </w:rPr>
              <w:t>Impairment of China factory equipment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260"/>
              <w:spacing w:after="0"/>
              <w:rPr>
                <w:sz w:val="20"/>
                <w:szCs w:val="20"/>
                <w:color w:val="auto"/>
              </w:rPr>
            </w:pPr>
            <w:r>
              <w:rPr>
                <w:rFonts w:ascii="Arial" w:cs="Arial" w:eastAsia="Arial" w:hAnsi="Arial"/>
                <w:sz w:val="16"/>
                <w:szCs w:val="16"/>
                <w:color w:val="auto"/>
              </w:rPr>
              <w:t>Accounts receivable and contract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6,164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(16,061)</w:t>
            </w:r>
          </w:p>
        </w:tc>
      </w:tr>
      <w:tr>
        <w:trPr>
          <w:trHeight w:val="237"/>
        </w:trPr>
        <w:tc>
          <w:tcPr>
            <w:tcW w:w="8340" w:type="dxa"/>
            <w:vAlign w:val="bottom"/>
          </w:tcPr>
          <w:p>
            <w:pPr>
              <w:ind w:left="126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(7,329)</w:t>
            </w:r>
          </w:p>
        </w:tc>
      </w:tr>
      <w:tr>
        <w:trPr>
          <w:trHeight w:val="237"/>
        </w:trPr>
        <w:tc>
          <w:tcPr>
            <w:tcW w:w="8340" w:type="dxa"/>
            <w:vAlign w:val="bottom"/>
          </w:tcPr>
          <w:p>
            <w:pPr>
              <w:ind w:left="1260"/>
              <w:spacing w:after="0"/>
              <w:rPr>
                <w:sz w:val="20"/>
                <w:szCs w:val="20"/>
                <w:color w:val="auto"/>
              </w:rPr>
            </w:pPr>
            <w:r>
              <w:rPr>
                <w:rFonts w:ascii="Arial" w:cs="Arial" w:eastAsia="Arial" w:hAnsi="Arial"/>
                <w:sz w:val="16"/>
                <w:szCs w:val="16"/>
                <w:color w:val="auto"/>
              </w:rPr>
              <w:t>Accrued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1,219</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provided by (used for)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provided by (used for) investing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Guangzhou factory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51,291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(13,416)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Refund of deposit received toward sale of Guangzhou factory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Acquisitions of intangible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provided by (used for)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31,574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Borrowings under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on line of credit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options exercised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purchased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(7,114)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payments in connection with business combinations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r>
      <w:tr>
        <w:trPr>
          <w:trHeight w:val="217"/>
        </w:trPr>
        <w:tc>
          <w:tcPr>
            <w:tcW w:w="8340" w:type="dxa"/>
            <w:vAlign w:val="bottom"/>
          </w:tcPr>
          <w:p>
            <w:pPr>
              <w:ind w:left="600"/>
              <w:spacing w:after="0"/>
              <w:rPr>
                <w:sz w:val="20"/>
                <w:szCs w:val="20"/>
                <w:color w:val="auto"/>
              </w:rPr>
            </w:pPr>
            <w:r>
              <w:rPr>
                <w:rFonts w:ascii="Arial" w:cs="Arial" w:eastAsia="Arial" w:hAnsi="Arial"/>
                <w:sz w:val="16"/>
                <w:szCs w:val="16"/>
                <w:color w:val="auto"/>
              </w:rPr>
              <w:t>Net cash provided by (used for)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(12,155)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(37,268)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1,665</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67,339</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49,565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59,433</w:t>
            </w:r>
          </w:p>
        </w:tc>
      </w:tr>
      <w:tr>
        <w:trPr>
          <w:trHeight w:val="284"/>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2,525</w:t>
            </w:r>
          </w:p>
        </w:tc>
      </w:tr>
      <w:tr>
        <w:trPr>
          <w:trHeight w:val="243"/>
        </w:trPr>
        <w:tc>
          <w:tcPr>
            <w:tcW w:w="8340" w:type="dxa"/>
            <w:vAlign w:val="bottom"/>
          </w:tcPr>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2019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adopted Accounting Standards Update ("ASU") 2014-09, "Revenue from Contracts with Customers," and all related amendments as of January 1, 2018.</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Our contracts have an anticipated duration of less than a year.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and are insignificant to net sales. Consideration may be variable based on indeterminate volumes.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through a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 Revenue recognized over time, for which we have not yet invoiced the customer, is included in contract assets in our consolidated balance sheets. Generally, we invoice the customer within 90 days of revenue recognition.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prior accounting standards, prior to January 1, 2018,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for the sale of tooling is recognized when the related tooling has been provided, customer acceptance documentation has been obtained, the sales price is fixed or determinable, and collectability is reasonably assured. Consideration received in advance of us satisfying the performance obligation is included in other accrued liabilities as tooling in our consolidated balance sheets.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customer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liabilities until they are remitted to the government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Accounting Standards Update ("ASU") 2016-02, "Leases," and all related amendments as of January 1, 2019. The impact of this new guidance on our accounting policies and consolidated financial statements is also described below. There have been no other significant changes in our accounting policies during the three and six months ended June 30, 2019 compared to the significant accounting policies described in our Annual Report on Form 10-K for the year ended December 31,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liabilities on our consolidated balance sheets. We presently do not have any finance leases.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w:t>
      </w:r>
    </w:p>
    <w:p>
      <w:pPr>
        <w:sectPr>
          <w:pgSz w:w="11900" w:h="16838" w:orient="portrait"/>
          <w:cols w:equalWidth="0" w:num="1">
            <w:col w:w="11420"/>
          </w:cols>
          <w:pgMar w:left="240" w:top="118"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to five years with up to two extensions at the then current market rate. Lease expense for lease payments is recognized on a straight-line basis over the lease term.</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2016, the Financial Accounting Standards Board ("FASB") issued ASU 2016-02 (with amendments issued in 2018), which changes the accounting for leases and requires expanded disclosures about leasing activities. This new guidance also requires lessees to recognize a right-of-use asset and a lease liability at the commencement date for all leases with terms greater than twelve months. Accounting by lessors is largely unchanged. ASU 2016-02 is effective for fiscal periods beginning after December 15, 2018. We adopted ASU 2016-02 on January 1, 2019 using the modified retrospective optional transition method. Thus, the standard was applied starting January 1, 2019 and prior periods were not restated.</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applied the package of practical expedients permitted under the transition guidance. As a result, we did not reassess the identification, classification and initial direct costs of leases commencing before the effective date. We also applied the practical expedient to not separate lease and non-lease components to all new leases as well as leases commencing before the effective date.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adoption, ASU 2016-02 resulted in the recognition of lease ROU assets, accrued liabilities and long-term liabilities related to operating leases of $20.7 million, $3.3 million and $17.0 million, respectively. In addition, assets and liabilities totaling $2.5 million and $2.3 million, respectively, were reclassified into the opening ROU asset balance. The adoption of ASU 2016-02 did not result in any cumulative-effect adjustment to the opening balance of retained earnings and did not have any impact on our results of operations, cash flows or debt covenants.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additional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FASB issued ASU 2018-07, "Improvements to Non-employee Share-Based Payment Accounting." This guidance expands the scope of Topic 718, "Compensation - Stock Compensation" to include share-based payment transactions for acquiring goods and services from non-employees, but excludes awards granted in conjunction with selling goods or services to a customer as part of a contract accounted for under ASC 606, "Revenue from Contracts with Customers." The adoption of ASU 2018-07 did not have a material impact on our consolidated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which amends ASC 350-40, "Intangibles - Goodwill and Other - Internal-Use Software." The ASU aligns the requirements for capitalizing implementation costs incurred in a hosting arrangement that is a service contract with the requirements for capitalizing implementation costs incurred to develop or obtain internal-use software and requires the capitalized implementation costs to be expensed over the term of the hosting arrangement. The accounting for the service element of a hosting arrangement that is a service contract is not affected. ASU 2018-15 is effective for fiscal periods beginning after December 15, 2019, and interim periods within those fiscal years. The adoption of ASU 2018-15, effective January 1, 2019, did not have a material impact on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2016-13, “Measurement of Credit Losses on Financial Instruments.” This guidance updates existing guidance for measuring and recording credit losses on financial assets measured at amortized cost by replacing the “incurred loss” model with an “expected loss” model. Accordingly, these financial assets will be presented at the net amount expected to be collected. ASU 2016-13 is effective for fiscal years beginning after December 15, 2020. Early adoption is permitted. We are currently evaluating the impact that ASU 2016-13 will have on our consolidated financial statements.</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12,967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20,885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10,264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9,166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257"/>
        </w:trPr>
        <w:tc>
          <w:tcPr>
            <w:tcW w:w="54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49,565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53,207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w w:val="96"/>
              </w:rPr>
              <w:t>Note 3 — Accounts Receivable, Net and Revenue Concentrations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Arial" w:cs="Arial" w:eastAsia="Arial" w:hAnsi="Arial"/>
                <w:sz w:val="18"/>
                <w:szCs w:val="18"/>
                <w:color w:val="auto"/>
              </w:rPr>
              <w:t>Accounts receivable, net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150,779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133,774</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149,075</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131,922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5,558</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12,767</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154,633</w:t>
            </w:r>
          </w:p>
        </w:tc>
        <w:tc>
          <w:tcPr>
            <w:tcW w:w="12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144,689</w:t>
            </w:r>
          </w:p>
        </w:tc>
        <w:tc>
          <w:tcPr>
            <w:tcW w:w="0" w:type="dxa"/>
            <w:vAlign w:val="bottom"/>
          </w:tcPr>
          <w:p>
            <w:pPr>
              <w:spacing w:after="0"/>
              <w:rPr>
                <w:sz w:val="1"/>
                <w:szCs w:val="1"/>
                <w:color w:val="auto"/>
              </w:rPr>
            </w:pPr>
          </w:p>
        </w:tc>
      </w:tr>
      <w:tr>
        <w:trPr>
          <w:trHeight w:val="27"/>
        </w:trPr>
        <w:tc>
          <w:tcPr>
            <w:tcW w:w="540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933"/>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i w:val="1"/>
                <w:iCs w:val="1"/>
                <w:color w:val="auto"/>
              </w:rPr>
              <w:t>Significant Customers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60" w:type="dxa"/>
            <w:vAlign w:val="bottom"/>
            <w:gridSpan w:val="2"/>
          </w:tcPr>
          <w:p>
            <w:pPr>
              <w:spacing w:after="0"/>
              <w:rPr>
                <w:sz w:val="20"/>
                <w:szCs w:val="20"/>
                <w:color w:val="auto"/>
              </w:rPr>
            </w:pPr>
            <w:r>
              <w:rPr>
                <w:rFonts w:ascii="Arial" w:cs="Arial" w:eastAsia="Arial" w:hAnsi="Arial"/>
                <w:sz w:val="18"/>
                <w:szCs w:val="18"/>
                <w:color w:val="auto"/>
                <w:w w:val="91"/>
              </w:rPr>
              <w:t>Net sales to the following customers totaled more than 10% of our net sales: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13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3"/>
              </w:rPr>
              <w:t>$ (thousands)</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of Net Sales</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3"/>
              </w:rPr>
              <w:t>$ (thousands)</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31,393</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0"/>
              </w:rPr>
              <w:t>16.2%</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29,542</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2"/>
              </w:rPr>
              <w:t>Six Months Ended June 30,</w:t>
            </w: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r>
      <w:tr>
        <w:trPr>
          <w:trHeight w:val="264"/>
        </w:trPr>
        <w:tc>
          <w:tcPr>
            <w:tcW w:w="53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(thousands)</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Net Sales</w:t>
            </w:r>
          </w:p>
        </w:tc>
        <w:tc>
          <w:tcPr>
            <w:tcW w:w="180" w:type="dxa"/>
            <w:vAlign w:val="bottom"/>
          </w:tcPr>
          <w:p>
            <w:pPr>
              <w:spacing w:after="0"/>
              <w:rPr>
                <w:sz w:val="22"/>
                <w:szCs w:val="22"/>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 (thousands)</w:t>
            </w:r>
          </w:p>
        </w:tc>
        <w:tc>
          <w:tcPr>
            <w:tcW w:w="1240" w:type="dxa"/>
            <w:vAlign w:val="bottom"/>
          </w:tcPr>
          <w:p>
            <w:pPr>
              <w:jc w:val="right"/>
              <w:ind w:right="156"/>
              <w:spacing w:after="0"/>
              <w:rPr>
                <w:sz w:val="20"/>
                <w:szCs w:val="20"/>
                <w:color w:val="auto"/>
              </w:rPr>
            </w:pPr>
            <w:r>
              <w:rPr>
                <w:rFonts w:ascii="Arial" w:cs="Arial" w:eastAsia="Arial" w:hAnsi="Arial"/>
                <w:sz w:val="14"/>
                <w:szCs w:val="14"/>
                <w:b w:val="1"/>
                <w:bCs w:val="1"/>
                <w:color w:val="auto"/>
              </w:rPr>
              <w:t>% of Net Sales</w:t>
            </w:r>
          </w:p>
        </w:tc>
        <w:tc>
          <w:tcPr>
            <w:tcW w:w="300" w:type="dxa"/>
            <w:vAlign w:val="bottom"/>
          </w:tcPr>
          <w:p>
            <w:pPr>
              <w:spacing w:after="0"/>
              <w:rPr>
                <w:sz w:val="22"/>
                <w:szCs w:val="22"/>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67,517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347"/>
        </w:trPr>
        <w:tc>
          <w:tcPr>
            <w:tcW w:w="5360" w:type="dxa"/>
            <w:vAlign w:val="bottom"/>
          </w:tcPr>
          <w:p>
            <w:pPr>
              <w:ind w:left="40"/>
              <w:spacing w:after="0"/>
              <w:rPr>
                <w:sz w:val="20"/>
                <w:szCs w:val="20"/>
                <w:color w:val="auto"/>
              </w:rPr>
            </w:pPr>
            <w:r>
              <w:rPr>
                <w:rFonts w:ascii="Arial" w:cs="Arial" w:eastAsia="Arial" w:hAnsi="Arial"/>
                <w:sz w:val="18"/>
                <w:szCs w:val="18"/>
                <w:color w:val="auto"/>
              </w:rPr>
              <w:t>Dish Network L.L.C.</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38,851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200"/>
              <w:spacing w:after="0" w:line="347"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(1)</w:t>
            </w:r>
          </w:p>
        </w:tc>
      </w:tr>
    </w:tbl>
    <w:p>
      <w:pPr>
        <w:ind w:left="520" w:hanging="188"/>
        <w:spacing w:after="0" w:line="199" w:lineRule="auto"/>
        <w:tabs>
          <w:tab w:leader="none" w:pos="52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Net sales to this customer did not total more than 10% of our total net sales in the prior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33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5"/>
              </w:rPr>
              <w:t>$ (thousands)</w:t>
            </w:r>
          </w:p>
        </w:tc>
        <w:tc>
          <w:tcPr>
            <w:tcW w:w="120" w:type="dxa"/>
            <w:vAlign w:val="bottom"/>
            <w:vMerge w:val="restart"/>
          </w:tcPr>
          <w:p>
            <w:pPr>
              <w:spacing w:after="0"/>
              <w:rPr>
                <w:sz w:val="13"/>
                <w:szCs w:val="13"/>
                <w:color w:val="auto"/>
              </w:rPr>
            </w:pP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(thousands)</w:t>
            </w:r>
          </w:p>
        </w:tc>
        <w:tc>
          <w:tcPr>
            <w:tcW w:w="340" w:type="dxa"/>
            <w:vAlign w:val="bottom"/>
            <w:vMerge w:val="restart"/>
          </w:tcPr>
          <w:p>
            <w:pPr>
              <w:spacing w:after="0"/>
              <w:rPr>
                <w:sz w:val="13"/>
                <w:szCs w:val="13"/>
                <w:color w:val="auto"/>
              </w:rPr>
            </w:pPr>
          </w:p>
        </w:tc>
        <w:tc>
          <w:tcPr>
            <w:tcW w:w="17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 of Accounts</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 Net</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Dish Network L.L.C.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16,588</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0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700" w:type="dxa"/>
            <w:vAlign w:val="bottom"/>
            <w:gridSpan w:val="2"/>
            <w:shd w:val="clear" w:color="auto" w:fill="CCEEFF"/>
          </w:tcPr>
          <w:p>
            <w:pPr>
              <w:ind w:left="1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20" w:hanging="188"/>
        <w:spacing w:after="0"/>
        <w:tabs>
          <w:tab w:leader="none" w:pos="52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Trade receivables associated with this customer did not total more than 10% of our accounts receivable, net at December 31,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Pattern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pattern of revenue recognition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680" w:type="dxa"/>
            <w:vAlign w:val="bottom"/>
            <w:gridSpan w:val="7"/>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Goods and services transferred at a point in time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99,632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83,661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201,776</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Goods and services transferred over time</w:t>
            </w:r>
          </w:p>
        </w:tc>
        <w:tc>
          <w:tcPr>
            <w:tcW w:w="3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94,264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8"/>
                <w:szCs w:val="18"/>
                <w:color w:val="auto"/>
              </w:rPr>
              <w:t>78,862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176,283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149,621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162,523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378,059</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327,221</w:t>
            </w:r>
          </w:p>
        </w:tc>
        <w:tc>
          <w:tcPr>
            <w:tcW w:w="0" w:type="dxa"/>
            <w:vAlign w:val="bottom"/>
          </w:tcPr>
          <w:p>
            <w:pPr>
              <w:spacing w:after="0"/>
              <w:rPr>
                <w:sz w:val="1"/>
                <w:szCs w:val="1"/>
                <w:color w:val="auto"/>
              </w:rPr>
            </w:pPr>
          </w:p>
        </w:tc>
      </w:tr>
      <w:tr>
        <w:trPr>
          <w:trHeight w:val="756"/>
        </w:trPr>
        <w:tc>
          <w:tcPr>
            <w:tcW w:w="5620" w:type="dxa"/>
            <w:vAlign w:val="bottom"/>
          </w:tcPr>
          <w:p>
            <w:pPr>
              <w:spacing w:after="0"/>
              <w:rPr>
                <w:sz w:val="20"/>
                <w:szCs w:val="20"/>
                <w:color w:val="auto"/>
              </w:rPr>
            </w:pPr>
            <w:r>
              <w:rPr>
                <w:rFonts w:ascii="Arial" w:cs="Arial" w:eastAsia="Arial" w:hAnsi="Arial"/>
                <w:sz w:val="18"/>
                <w:szCs w:val="18"/>
                <w:b w:val="1"/>
                <w:bCs w:val="1"/>
                <w:color w:val="auto"/>
              </w:rPr>
              <w:t>Note 4 — Inventories, Net and Significant Suppliers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0"/>
                <w:szCs w:val="20"/>
                <w:color w:val="auto"/>
              </w:rPr>
            </w:pPr>
            <w:r>
              <w:rPr>
                <w:rFonts w:ascii="Arial" w:cs="Arial" w:eastAsia="Arial" w:hAnsi="Arial"/>
                <w:sz w:val="18"/>
                <w:szCs w:val="18"/>
                <w:color w:val="auto"/>
              </w:rPr>
              <w:t>Inventories, net were as follows: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20,736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25,071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60,265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50,006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148,909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144,350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4,288</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4,564</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7,537</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$3.0 million and $0.5 million for the six months ended June 30, 2019 and 2018, respectively. These amounts are production waste and manufacturing inefficiencies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No suppliers totaled more than 10% of our total inventory purchases for the three and six months ended June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2018,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Total inventory purchases made from this supplier while it was a related party were $1.1 million during the six months ended June 30,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June 30, 2019, our operating leases had remaining lease terms of up to 42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304"/>
        </w:trPr>
        <w:tc>
          <w:tcPr>
            <w:tcW w:w="9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20,306</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92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4,158</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16,403</w:t>
            </w:r>
          </w:p>
        </w:tc>
      </w:tr>
      <w:tr>
        <w:trPr>
          <w:trHeight w:val="257"/>
        </w:trPr>
        <w:tc>
          <w:tcPr>
            <w:tcW w:w="9260" w:type="dxa"/>
            <w:vAlign w:val="bottom"/>
          </w:tcPr>
          <w:p>
            <w:pPr>
              <w:ind w:left="80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20,561</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Operating lease expense, including short-term and variable lease costs, which are insignificant to the total, and operating lease cash flows and supplemental cash flow information were as follows: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June</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30, 2019</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expense</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w w:val="96"/>
              </w:rPr>
              <w:t>The weighted average remaining lease term and the weighted average discount rate were as follows:</w:t>
            </w: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8"/>
              </w:rPr>
              <w:t>June 30, 2019</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lease term (in years)</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ind w:left="1120"/>
              <w:spacing w:after="0"/>
              <w:rPr>
                <w:sz w:val="20"/>
                <w:szCs w:val="20"/>
                <w:color w:val="auto"/>
              </w:rPr>
            </w:pPr>
            <w:r>
              <w:rPr>
                <w:rFonts w:ascii="Arial" w:cs="Arial" w:eastAsia="Arial" w:hAnsi="Arial"/>
                <w:sz w:val="18"/>
                <w:szCs w:val="18"/>
                <w:color w:val="auto"/>
                <w:w w:val="93"/>
              </w:rPr>
              <w:t>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June 30, 2019. The reconciliation excludes short-term leases that are not recorded on the balance sheet.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6 months)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5,111</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4,429</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3,396</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20,561</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we have two operating leases that have not yet commenced with the total initial lease liability of approximately $2.6 million with three and five-year terms, which are not reflected within the maturity schedule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5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6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48,472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Arial" w:cs="Arial" w:eastAsia="Arial" w:hAnsi="Arial"/>
                <w:sz w:val="18"/>
                <w:szCs w:val="18"/>
                <w:color w:val="auto"/>
              </w:rPr>
              <w:t>15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3"/>
                <w:szCs w:val="13"/>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9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rights</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Patents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15,254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(6,041)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8,856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Developed and core technology</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(9,095)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4,473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32,684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(24,464)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8,220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32,534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9,859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(41,852)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24,370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$7.2 million and $7.1 million at June 30, 2019 and December 31, 2018, respectively.</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8580" w:type="dxa"/>
            <w:vAlign w:val="bottom"/>
            <w:gridSpan w:val="7"/>
          </w:tcPr>
          <w:p>
            <w:pPr>
              <w:spacing w:after="0"/>
              <w:rPr>
                <w:sz w:val="20"/>
                <w:szCs w:val="20"/>
                <w:color w:val="auto"/>
              </w:rPr>
            </w:pPr>
            <w:r>
              <w:rPr>
                <w:rFonts w:ascii="Arial" w:cs="Arial" w:eastAsia="Arial" w:hAnsi="Arial"/>
                <w:sz w:val="18"/>
                <w:szCs w:val="18"/>
                <w:color w:val="auto"/>
                <w:w w:val="96"/>
              </w:rPr>
              <w:t>Estimated future annual amortization expense related to our intangible assets at June 30, 2019, was as follows: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6 months)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6,137</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2,575</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5,136</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22,046</w:t>
            </w:r>
          </w:p>
        </w:tc>
        <w:tc>
          <w:tcPr>
            <w:tcW w:w="20" w:type="dxa"/>
            <w:vAlign w:val="bottom"/>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provides for a $130.0 million revolving line of credit ("Credit Line") through June 30, 2019 and a $125.0 million Credit Line thereafter and through its expiration date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June 30, 2019 was 4.16%.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June 30, 2019, we were in compliance with the covenants and conditions of the Second Amended Credit Agreement.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we had $95.0 million outstanding under the Credit Line. Our total interest expense on borrowings was $1.2 million and $1.4 million during the three months ended June 30, 2019 and 2018, respectively. Our total interest expense on borrowings was $2.5 million and $2.5 million during the six months ended June 30, 2019 and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income tax expense of $0.2 million and $2.1 million for the three months ended June 30, 2019 and 2018, respectively. We recorded income tax expense of $1.2 million and $1.9 million for the six months ended June 30, 2019 and 2018, respectively. Income tax expense for the six months ended June 30, 2019 decreased primarily due to the mix of pre-tax income among jurisdictions, including losses not benefited as a result of a valuation allowance and the net effect of remeasurement of deferred taxes to recognize the High Technology Exemption ("HTE") approved for our Yangzhou factory located in northern China. For the six months ended June 30, 2018, the tax expense of $1.9 million is attributable to the gain on sale of our Guangzhou factory located in southern China.</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2018,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2018, we had a three year cumulative operating loss for our U.S. operations and accordingly, provided a full valuation allowance on our U.S. and state deferred tax assets. During three months ended June 30, 2019, there has been no change to the Company's valuation allowance position.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2019, we had gross unrecognized tax benefits of $4.7 million, including interest and penalties, of which approximately $4.4 million of this amount,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 We have classified uncertain tax positions as non-current income tax liabilities unless expected to be paid within one year.</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$0.5 million as of June 30, 2019 and $0.5 million at December 31, 2018 are included in the unrecognized tax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270"/>
        </w:trPr>
        <w:tc>
          <w:tcPr>
            <w:tcW w:w="79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16,709</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8,783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2,361</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compensation</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1,700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33,965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June 30, 2019 and December 31, 2018.</w:t>
      </w:r>
    </w:p>
    <w:p>
      <w:pPr>
        <w:spacing w:after="0" w:line="94"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$0.6 million and $0.4 million at June 30, 2019 and December 31, 2018,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3,217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1,930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Short-term contingent consideration</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4,190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6,989</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24,011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Revenue recognized for the sale of tooling during the three and six months ended June 30, 2019 and 2018 was insignificant in relation to our net sales.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769</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1,008</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2016, we implemented a plan to transition manufacturing activities from our southern-most China factory, located in the city of Guangzhou in the Guangdong province, to our other China factories. All operations ceased in our Guangzhou factory in the third quarter of 2017 and the transition to the other China factories was completed by the end of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26, 2016, we entered into an agreement to sell our Guangzhou manufacturing facility for RMB 320 million. In accordance with the terms of the agreement, the buyer deposited 10% of the purchase price into an escrow account upon the execution of the agreement. In April 2018, we and the buyer mutually agreed to terminate the sale. The mutually agreed termination took effect immediately with no incremental penalty or costs to either party. In connection with this termination, the deposit was returned to the buyer.</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23, 2018, we entered into a new agreement to sell our Guangzhou manufacturing facility to a second buyer for RMB 339 million (approximately $51.4 million based on exchange rates in effect at the time of closing). On April 26, 2018, the second buyer paid to us a deposit of RMB 34 million (approximately $5.1 million based on exchange rates in effect at the time of closing), which under the terms of the agreement was nonrefundable. Upon receipt by the Governmental Agency of the second buyer’s application of approval of transfer, the second buyer was to pay to us RMB 237 million (approximately $35.8 million based on exchange rates in effect at the time of closing). Additionally, within two days after the second payment was made to us, the second buyer was to deposit the remaining consideration of RMB 68 million (approximately $10.3 million based on exchange rates in effect at the time of closing) into escrow, which was to be released to us upon the closing of the sale. Per the terms of the agreement, the sale was to be completed no later than June 30, 2018. On June 26, 2018, all conditions to closing were satisfied and the sale was completed, resulting in a pretax gain of $37.0 million ($32.1 million, net of income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the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(the "EPO") has ruled on our Opposition (see below). Finally, the Court ruled that our original product (which we are no longer selling) infringes certain of Ruwido’s design rights, but stayed any decision of compensation and/or damages until all aspects of the case have been decided. We have filed an appeal as to the Court’s ruling of infringement. Subsequent to the Court's ruling that a second product could not be added to the first case on the merits, Ruwido filed a separate case on the merits with respect to this second product, claiming that it too infringes the same patent at issue in the first suit. We have denied these claims. According to the Court’s trial schedule, briefs from both parties were due during the second half of 2018 and early 2019 with a trial date set for January 2019. This trial date has since been postponed pending a request to submit additional pleadings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which the Court is expected to rule upon prior to the end of August 2019. At that time, the Court is expected to reschedule the trial to sometime in late 2019. In September 2015, UEBV filed an Opposition with the EPO seeking to invalidate the one utility patent asserted against UEBV and Telenet by Ruwido. The hearing on this opposition was held in July 2017. During this hearing the panel requested additional information. We have assembled this additional information and the final hearing was scheduled for January 29, 2019. The EPO held this hearing on January 29 and 30, 2019 and revoked Ruwido's patent as originally filed. The EPO, however, maintained the patent in an amended form with a much narrower claim. Once the EPO has issued its written opinion (which it has not yet done so), the parties will have the right to appeal the EPO's decision. At this time, neither have done so. On September 5, 2017, Ruwido and FMH filed a patent infringement case on the merits against UEBV and Telenet in the Netherlands alleging the same claims of infringement as in the Belgium Courts (see above). We have denied these claims and filed a counterclaim seeking to invalidate the Ruwido patent. A November 30, 2018 hearing date was set by the Court but it deferred its decision until the decision from the EPO has become final. Subsequently, the parties requested they each be allowed to submit additional pleadings. The Court is expected to rule on this request no later than the end of August 2019.</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5, 2018, we filed a lawsuit against Roku, Inc. (“Roku”) in the United States District Court, Central District of California (Universal Electronics Inc. v. Roku, Inc.)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Roku has answered our complaint with a general denial. In December 2018, the Court set a trial date of June 16, 2020. On August 6, 2019, the Court heard arguments at its "Markman" hearing and we are expecting the Court to issue its final "Markman" order in the next few weeks. Finally, we are continuing with discovery and general motion practice.</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Treasury Stock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On October 30, 2018, our Board approved an adjustment to the amount of common stock that we could purchase under our existing repurchase plan to an amount not to exceed $5.0 million of our common stock. As of June 30, 2019, we had $3.9 million of authorized repurchases remaining under the Board's authorizations. We may utilize various methods to effect the repurchases, which could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7,114</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Foreign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49,544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54,867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39,460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42,761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40,744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16,439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193,896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162,523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378,059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327,221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69,412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79,382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37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96,290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100,455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780" w:type="dxa"/>
            <w:vAlign w:val="bottom"/>
            <w:vMerge w:val="restart"/>
          </w:tcPr>
          <w:p>
            <w:pPr>
              <w:jc w:val="right"/>
              <w:ind w:right="201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200" w:type="dxa"/>
            <w:vAlign w:val="bottom"/>
          </w:tcPr>
          <w:p>
            <w:pPr>
              <w:spacing w:after="0"/>
              <w:rPr>
                <w:sz w:val="16"/>
                <w:szCs w:val="16"/>
                <w:color w:val="auto"/>
              </w:rPr>
            </w:pPr>
          </w:p>
        </w:tc>
        <w:tc>
          <w:tcPr>
            <w:tcW w:w="26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2,273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67"/>
        </w:trPr>
        <w:tc>
          <w:tcPr>
            <w:tcW w:w="55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459"/>
        </w:trPr>
        <w:tc>
          <w:tcPr>
            <w:tcW w:w="55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 Options</w:t>
            </w:r>
          </w:p>
        </w:tc>
        <w:tc>
          <w:tcPr>
            <w:tcW w:w="100" w:type="dxa"/>
            <w:vAlign w:val="bottom"/>
          </w:tcPr>
          <w:p>
            <w:pPr>
              <w:spacing w:after="0"/>
              <w:rPr>
                <w:sz w:val="12"/>
                <w:szCs w:val="12"/>
                <w:color w:val="auto"/>
              </w:rPr>
            </w:pPr>
          </w:p>
        </w:tc>
        <w:tc>
          <w:tcPr>
            <w:tcW w:w="1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2"/>
                <w:szCs w:val="12"/>
                <w:color w:val="auto"/>
              </w:rPr>
            </w:pPr>
          </w:p>
        </w:tc>
        <w:tc>
          <w:tcPr>
            <w:tcW w:w="11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(in 000's)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June 30, 2019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tcPr>
          <w:p>
            <w:pPr>
              <w:ind w:left="40"/>
              <w:spacing w:after="0" w:line="251" w:lineRule="exact"/>
              <w:rPr>
                <w:sz w:val="20"/>
                <w:szCs w:val="20"/>
                <w:color w:val="auto"/>
              </w:rPr>
            </w:pPr>
            <w:r>
              <w:rPr>
                <w:rFonts w:ascii="Arial" w:cs="Arial" w:eastAsia="Arial" w:hAnsi="Arial"/>
                <w:sz w:val="18"/>
                <w:szCs w:val="18"/>
                <w:color w:val="auto"/>
              </w:rPr>
              <w:t>Vested and expected to vest at June 30, 2019</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Exercisable at June 30, 2019</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2019 and the exercise price, multiplied by the number of in-the-money options) that would have been received by the option holders had they all exercised their options on June 30, 2019.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3"/>
              </w:rPr>
              <w:t>Three Months Ended June 30,</w:t>
            </w:r>
          </w:p>
        </w:tc>
        <w:tc>
          <w:tcPr>
            <w:tcW w:w="8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14.26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0.00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0.00</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4.53</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we expect to recognize $2.6 million of total unrecognized pre-tax stock-based compensation expense related to non-vested stock options over a remaining weighted-average life of 2.0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49.23</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28.51</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48.07</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36.86</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2019</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2019, we expect to recognize $9.5 million of total unrecognized pre-tax stock-based compensation expense related to non-vested restricted stock awards over a weighted-average life of 2.1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880" w:type="dxa"/>
            <w:vAlign w:val="bottom"/>
            <w:tcBorders>
              <w:bottom w:val="single" w:sz="8" w:color="auto"/>
            </w:tcBorders>
            <w:gridSpan w:val="5"/>
          </w:tcPr>
          <w:p>
            <w:pPr>
              <w:jc w:val="center"/>
              <w:ind w:left="141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4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8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January 1, 2020 -</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$260 million</w:t>
            </w:r>
          </w:p>
        </w:tc>
        <w:tc>
          <w:tcPr>
            <w:tcW w:w="17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$300 million</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$340 million</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At June 30, 2019, 175,000 vested warrants were outstanding. To fully vest in the rights to purchase all of the remaining unearned 475,000 underlying shares, Comcast and its affiliates must purchase an aggregate of $680 million in goods and services from us during the period January 1, 2018 through December 31, 2021.</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Through June 30, 2019, none of the warrants had vested for the two-year period beginning January 1,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we utilized in the Black Scholes option pricing model and the resulting weighted average fair value of the warrants were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840" w:type="dxa"/>
            <w:vAlign w:val="bottom"/>
            <w:gridSpan w:val="3"/>
          </w:tcPr>
          <w:p>
            <w:pPr>
              <w:ind w:left="5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$40.69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$32.88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$40.69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$32.88</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46.32%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40.20%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46.32%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40.20%</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w:t>
            </w:r>
          </w:p>
        </w:tc>
      </w:tr>
      <w:tr>
        <w:trPr>
          <w:trHeight w:val="27"/>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Reduction/(increase) to net sales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86</w:t>
            </w: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number of warrants that will vest based on projected future purchases that will be made by Comcast and its affiliates. These estimates may increase or decrease based on actual future purchases. The aggregate unrecognized estimated fair value of unvested warrants at June 30, 2019 was $4.2 million.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2460" w:hanging="5288"/>
        <w:spacing w:after="0" w:line="716" w:lineRule="auto"/>
        <w:tabs>
          <w:tab w:leader="none" w:pos="652"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18 for further details). 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22,659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22,072</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14,078</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r>
      <w:tr>
        <w:trPr>
          <w:trHeight w:val="284"/>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22,659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22,072</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3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13,863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14,070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13,845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14,078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Dilutive effect of stock options, restricted stock and common stock warrants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14,195</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3"/>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204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3"/>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8"/>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Note 18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gridSpan w:val="6"/>
          </w:tcPr>
          <w:p>
            <w:pPr>
              <w:spacing w:after="0"/>
              <w:rPr>
                <w:sz w:val="20"/>
                <w:szCs w:val="20"/>
                <w:color w:val="auto"/>
              </w:rPr>
            </w:pPr>
            <w:r>
              <w:rPr>
                <w:rFonts w:ascii="Arial" w:cs="Arial" w:eastAsia="Arial" w:hAnsi="Arial"/>
                <w:sz w:val="18"/>
                <w:szCs w:val="18"/>
                <w:color w:val="auto"/>
                <w:w w:val="95"/>
              </w:rPr>
              <w:t>The following table sets forth the total net fair value of derivatives: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30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3"/>
              </w:rPr>
              <w:t>December 31, 2018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8"/>
          </w:tcPr>
          <w:p>
            <w:pPr>
              <w:jc w:val="center"/>
              <w:ind w:right="44"/>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9"/>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6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6"/>
                <w:szCs w:val="6"/>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tcPr>
          <w:p>
            <w:pPr>
              <w:spacing w:after="0"/>
              <w:rPr>
                <w:sz w:val="6"/>
                <w:szCs w:val="6"/>
                <w:color w:val="auto"/>
              </w:rPr>
            </w:pP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4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6"/>
                <w:szCs w:val="6"/>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(249)</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rPr>
              <w:t>$   (249)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$0.1 million and a net pre-tax gain of $1.9 million for the three months ended June 30, 2019 and 2018, respectively. For the six months ended June 30, 2019 and 2018, we had a net pre-tax loss of $0.4 million and a net pre-tax gain of $0.5 million, respectively (see Note 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25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Currency</w:t>
            </w:r>
          </w:p>
        </w:tc>
        <w:tc>
          <w:tcPr>
            <w:tcW w:w="120" w:type="dxa"/>
            <w:vAlign w:val="bottom"/>
            <w:vMerge w:val="restart"/>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26,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June 30, 2019</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1.1394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26, 2019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USD/Chinese Yuan Renminbi</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6.8969</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 Renminbi</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3.8651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25, 2019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8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control and sensor technology solutions and manufacture a broad line of pre-programmed and universal remote control products, AV accessories and intelligent wireless security and smart home products dedicated to redefining the home entertainment, automation and security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one million individual device functions and approximately 8,800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developed a comprehensive patent portfolio of over 500 issued and pending United States patents related to remote control, home security, safety and automation as well as hundreds of foreign counterpart patents and applications in various territories around the world.</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as one business segment. We have 24 international subsidiaries located in Argentina, Brazil, British Virgin Islands, Cayman Islands, France, Germany, Hong Kong (3), India, Italy, Japan, Korea, Mexico, the Netherlands, People's Republic of China (the "PRC") (6), Singapore, Spain, and the 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2019:</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increased 19.3% to $193.9 million for the three months ended June 30, 2019 from $162.5 million for the three months ended June 30, 2018.</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increased from 16.5% for the three months ended June 30, 2018 to 17.5% for the three months ended June 30, 2019.</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net sales, decreased from 22.6% for the three months ended June 30, 2018 to 19.5% for the three months ended June 30, 2019.</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loss decreased from $9.9 million for the three months ended June 30, 2018 to $3.9 million for the three months ended June 30, 2019. Our operating loss percentage decreased from 6.1% for the three months ended June 30, 2018 to 2.0% for the three months ended June 30, 2019.</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expense decreased from $2.1 million for the three months ended June 30, 2018 to $0.2 million for the three months ended June 30,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2019 include the following:</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six months ended June 30, 2019 to the items that we disclosed as our critical accounting policies and estimates in Item 7, "Management's Discussion and Analysis of Financial Condition and Results of Operations" contained in our Annual Report on Form 10-K for our fiscal year ended December 31,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30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22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0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80.5</w:t>
            </w:r>
          </w:p>
        </w:tc>
      </w:tr>
      <w:tr>
        <w:trPr>
          <w:trHeight w:val="27"/>
        </w:trPr>
        <w:tc>
          <w:tcPr>
            <w:tcW w:w="49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3.7</w:t>
            </w:r>
          </w:p>
        </w:tc>
      </w:tr>
      <w:tr>
        <w:trPr>
          <w:trHeight w:val="27"/>
        </w:trPr>
        <w:tc>
          <w:tcPr>
            <w:tcW w:w="4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18.5</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5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r>
      <w:tr>
        <w:trPr>
          <w:trHeight w:val="27"/>
        </w:trPr>
        <w:tc>
          <w:tcPr>
            <w:tcW w:w="4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Gain on sale of Guangzhou factory</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11.3</w:t>
            </w:r>
          </w:p>
        </w:tc>
      </w:tr>
      <w:tr>
        <w:trPr>
          <w:trHeight w:val="27"/>
        </w:trPr>
        <w:tc>
          <w:tcPr>
            <w:tcW w:w="4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15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7.4</w:t>
            </w:r>
          </w:p>
        </w:tc>
      </w:tr>
      <w:tr>
        <w:trPr>
          <w:trHeight w:val="27"/>
        </w:trPr>
        <w:tc>
          <w:tcPr>
            <w:tcW w:w="4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49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versus Three Months Ended June 30, 2018</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June 30, 2019 were $193.9 million, an increase of 19.3% compared to $162.5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The increase in net sales was primarily due to the recent launches of higher end platforms by existing customers, both in the subscription broadcasting and OEM channels, a newly acquired customer and continued strength in home automation.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June 30, 2019 was $34.0 million compared to $26.8 million for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 of sales increased to 17.5% for the three months ended June 30, 2019 from 16.5% for the three months ended June 30, 2018. The gross margin percentage was favorably impacted by lower raw material costs during the three months ended June 30, 2019 and foreign currency as the U.S. Dollar strengthened by approximately 650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basis points versus the Chinese Yuan. These savings were partially offset by higher U.S tariffs on many of our products that are manufactured in China and imported into the U.S. In an effort to mitigate the effect of the increased tariffs, we are in the process of transitioning the production of goods destined for the U.S. from our China factories to our factory in Mexico. In connection with this transition, which began in the fourth quarter of 2018, we have incurred costs related to the movement of materials, duplicative labor efforts and indirect costs including unabsorbed duplicative overhead and manufacturing inefficiencies. We expect this manufacturing transition to be completed in the latter half of 2019. Until then, we expect that our gross margin rate will continue to be negatively impacted by increased U.S. tariffs and manufacturing transition inefficiencies.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18.2% to $7.2 million for the three months ended June 30, 2019 from $6.1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2018 primarily due to our continued investment in the development of new products that enhance the user experience in home entertainment and home automation.</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were $30.8 million for the three months ended June 30, 2019 compared to $30.6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30, 2018. Contingent consideration, recorded in connection with our acquisitions of the net assets of Ecolink Intelligent Technology, Inc. ("Ecolink") and Residential Control Systems, Inc. ("RCS"), decreased. Payroll expense also decreased as a result of our ongoing corporate restructuring initiatives. Offsetting these savings was an increase to incentive-based compensation.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decreased to $1.1 million for the three months ended June 30, 2019 from $1.3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as a result of a lower average quarterly loan balance.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Gain on sale of Guangzhou factory</w:t>
      </w:r>
      <w:r>
        <w:rPr>
          <w:rFonts w:ascii="Arial" w:cs="Arial" w:eastAsia="Arial" w:hAnsi="Arial"/>
          <w:sz w:val="18"/>
          <w:szCs w:val="18"/>
          <w:color w:val="auto"/>
        </w:rPr>
        <w:t>. In June 2018, we completed the sale of our Guangzhou manufacturing facility in exchange for cash proceeds of $51.3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resulting in a pre-tax gain of $37.0 million.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$0.2 million for the three months ended June 30, 2019 compared to net other expense of $1.1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2018. This change was driven primarily by foreign currency losses associated with fluctuations in the Argentinian Peso and Chinese Yuan Renminbi exchange rates versus the U.S. Dollar in the prior year period.</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 expense was $0.2 million for the three months ended June 30, 2019 compared to $2.1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2018. As a result of a full valuation allowance being applied against the U.S. deferred tax assets, the U.S. pre-tax loss incurred in the quarter ending June 30, 2019 was not benefited. The $0.2 million tax expense relates to pre-tax income generated in foreign jurisdictions. For the three months ended June 30, 2018, the tax expense of $2.1 million is attributable to the gain on sale of our Guangzhou factory located in southern China.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versus Six Months Ended June 30, 2018</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six months ended June 30, 2019 were $378.1 million, an increase of 15.5% compared to $327.2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The increase in net sales was primarily due to the recent launches of higher end platforms by existing customers, both in the subscription broadcasting and OEM channels, a newly acquired customer and continued strength in home automation.</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six months ended June 30, 2019 was $73.9 million compared to $64.0 million for the six months ended June 30, 2018. Gross</w:t>
      </w:r>
      <w:r>
        <w:rPr>
          <w:rFonts w:ascii="Arial" w:cs="Arial" w:eastAsia="Arial" w:hAnsi="Arial"/>
          <w:sz w:val="16"/>
          <w:szCs w:val="16"/>
          <w:i w:val="1"/>
          <w:iCs w:val="1"/>
          <w:color w:val="auto"/>
        </w:rPr>
        <w:t xml:space="preserve"> </w:t>
      </w:r>
      <w:r>
        <w:rPr>
          <w:rFonts w:ascii="Arial" w:cs="Arial" w:eastAsia="Arial" w:hAnsi="Arial"/>
          <w:sz w:val="16"/>
          <w:szCs w:val="16"/>
          <w:color w:val="auto"/>
        </w:rPr>
        <w:t>profit as a percent of sales was unchanged at 19.5% for both the six months ended June 30, 2019 and the six months ended June 30, 2018. The gross margin percentage was favorably impacted by lower raw material costs during the six months ended June 30, 2019 and foreign currency as the U.S. Dollar strengthened by approximately 610 basis points versus the Chinese Yuan. The gross margin percentage was unfavorably impacted by higher U.S tariffs on many of our products that are manufactured in China and imported into the U.S. In an effort to mitigate the effect of the increased tariffs, we are in the process of transitioning the production of goods destined for the U.S. from our China factories to our factory in Mexico. In connection with this transition, which began in the fourth quarter of 2018, we have incurred costs related to the movement of materials, duplicative labor efforts and indirect costs including unabsorbed duplicative overhead and manufacturing inefficiencies. We expect this manufacturing transition to be completed by the latter half of 2019. Until then, we expect that our gross margin rate will continue to be negatively impacted by increased U.S. tariffs and manufacturing transition inefficiencies.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15.2% to $14.0 million for the six months ended June 30, 2019 from $12.1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2018 primarily due to our continued investment in the development of new products that enhance the user experience in home entertainment and home automation.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to $62.2 million for the six months ended June 30, 2019 from $60.8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2018, primarily due to increases in incentive compensation expense and additional freight costs associated with our manufacturing transition from China to Mexico. These increases were partially offset by a decrease in payroll related expenses in connection with ongoing corporate restructuring initiatives.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Net interest expense was $2.3 million for both the six months ended June 30, 2019 and the six months ended June 30, 2018.</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Gain on sale of Guangzhou factory</w:t>
      </w:r>
      <w:r>
        <w:rPr>
          <w:rFonts w:ascii="Arial" w:cs="Arial" w:eastAsia="Arial" w:hAnsi="Arial"/>
          <w:sz w:val="18"/>
          <w:szCs w:val="18"/>
          <w:color w:val="auto"/>
        </w:rPr>
        <w:t>. In June 2018, we completed the sale of our Guangzhou manufacturing facility in exchange for cash proceeds of $51.3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resulting in a pre-tax gain of $37.0 million.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$0.3 million for the six months ended June 30, 2019 compared to $1.7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This change was driven primarily by foreign currency losses associated with fluctuations in the Argentinian Peso, Chinese Yuan Renminbi and Euro exchange rates versus the U.S. Dollar in the prior year period.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was $1.2 million for the six months ended June 30, 2019 compared to $1.9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Income tax expense for the six months ended June 30, 2019 decreased primarily due to the mix of pre-tax income among jurisdictions, including losses not benefited in the U.S. as a result of a valuation allowance and the net effect of a remeasurement of deferred taxes to recognize the High Technology Exemption ("HTE") approved for our Yangzhou factory located in northern China. For the six months ended June 30, 2018, the tax expense of $1.9 million is attributable to the gain on sale of our Guangzhou factory located in southern China.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3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31,574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w w:val="90"/>
              </w:rPr>
              <w:t>Effect of exchange rate changes on cash, cash equivalents and restricted cash</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Net increase (decrease) in cash, cash equivalents and restricted cash</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 2019</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53,207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98,498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100,597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was $20.2 million during the six months ended June 30, 2019 compared to $3.9 million of net cash used for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during the six months ended June 30, 2018. Accounts payable and accrued liabilities produced net cash inflows of $16.8 million during the six months ended June 30, 2019 versus cash outflows of $7.3 million during the six months ended June 30, 2018, largely as a result of timing of payments. Accounts receivable and contract assets produced cash outflows of $8.1 million during the six months ended June 30, 2019 compared to cash inflows of $6.2 million during the six months ended June 30, 2018 largely due to strong sales growth in the first half of 2019 offset partially by a decrease in days sales outstanding of 69 days at June 30, 2019 compared to 83 days at June 30, 2018. Inventory turns increased from 3.2 turns at June 30, 2018 to 3.5 turns at June 30, 2019. We expect inventory turns to continue to improve as we complete the transition of manufacturing U.S. bound products from our China factories to our factory in Mexico.</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2019 was $11.4 million, of which $10.1 million was utilized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Net cash provided by investing activities during the six months ended June 30, 2018 was $31.6 million which included cash proceeds relating to the sale of our Guangzhou factory of $51.3 million offset partially by $13.4 million of capital expenditures.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was $12.2 million during the six months ended June 30, 2019 compared to $37.3 million during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The change in financing activity cash flows was driven primarily by borrowing and repayment activity on our line of credit. During the six months ended June 30, 2019 we had net repayments of $6.5 million compared to $27.0 million during the six months ended June 30,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2019, we repurchased 47,100 shares of our common stock at a cost of $1.4 million compared to our repurchase of 224,979 shares at a cost of $7.1 million during the six months ended June 30, 2018. We hold these shares as treasury stock and they are available for reissue. Presently, we have no plans to distribute these shares, although we may change these plans if necessary to fulfill our on-going business objectives. See Note 12 contained in "Notes to Consolidated Financial Statements" for further information regarding our share repurchase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41,533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15,421</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1"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Pr>
          <w:p>
            <w:pPr>
              <w:spacing w:after="0"/>
              <w:rPr>
                <w:sz w:val="16"/>
                <w:szCs w:val="16"/>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53,207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tcPr>
          <w:p>
            <w:pPr>
              <w:spacing w:after="0"/>
              <w:rPr>
                <w:sz w:val="21"/>
                <w:szCs w:val="21"/>
                <w:color w:val="auto"/>
              </w:rPr>
            </w:pP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32,300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28,500</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provided for the state income tax liability and the foreign withholding tax on these amounts for financial statement purposes.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30, 2019, we had $7.0 million, $13.0 million, $10.3 million, $9.2 million and $10.2 million of cash and cash equivalents in the United States, the PRC, Asia (excluding the PRC), Europe, and South America, respectively. On December 31, 2018, we had $1.2 million, $20.9 million, $2.4 million, $19.9 million, and $8.9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provides for a $130.0 million revolving line of credit ("Credit Line") through June 30, 2019 and a $125.0 million Credit Line thereafter and through its expiration date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June 30,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June 30, 2019 was 4.16%. There are no commitment fees or unused line fees under the Second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June 30, 2019, we were in compliance with the covenants and conditions of the Second Amended Credit Agreement.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we had an outstanding balance of $95.0 million on our Credit Line and $32.3 million of availability. As of July 1, 2019, we have $27.3 million available on our Credit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2018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efforts to refocus their operations to broadband and OTT versus traditional linear video, their failure to grow as we anticipated, their internal inventory control measures, including to mitigate effects due to increases in tariffs,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our inability to successfully, timely and profitably restructure and/or relocate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capacity on a timely basis; and other factors listed from time to time in our press releases and filings with the Securities and Exchange Commission.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$0.7 million annual impact on net income based on our outstanding line of credit balance at June 30, 2019.</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June 30, 2019,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Philippine Peso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Philippine Peso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2019, we believe that movements in foreign currency rates may have a material effect on our financial position and results of operations. We estimate that if the exchange rates for the Chinese Yuan Renminbi, Euro, British Pound, Argentinian Peso, Mexican Peso, Brazilian Real, Indian Rupee, Philippine Peso and Japanese Yen relative to the U.S. Dollar fluctuate 10% from June 30, 2019, net income in the second quarter of 2019 would fluctuate by approximately $10.2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2019, we implemented the provisions of ASU 2016-02, which impacted certain of our accounting processes and polices around accounting for leases. As a result, we added and/or enhanced certain internal controls around the accumulation of accounting information and recording of right-of-use lease assets and lease liabilities.</w:t>
      </w:r>
    </w:p>
    <w:p>
      <w:pPr>
        <w:spacing w:after="0" w:line="1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Except as described above, there have been no other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11"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risk factors discussed in "Part I, Item 1A: Risk Factors" of the Company's 2018 Annual Report on Form 10-K incorporated herein by reference. These factors may cause our actual results to differ materially from those stated in forward-looking statements contained in this document and elsewhere.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2019,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Total Number of</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Total Dollar Value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Shares Purchased as</w:t>
            </w:r>
          </w:p>
        </w:tc>
        <w:tc>
          <w:tcPr>
            <w:tcW w:w="148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5"/>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Announced Plans or</w:t>
            </w:r>
          </w:p>
        </w:tc>
        <w:tc>
          <w:tcPr>
            <w:tcW w:w="1480" w:type="dxa"/>
            <w:vAlign w:val="bottom"/>
            <w:gridSpan w:val="2"/>
          </w:tcPr>
          <w:p>
            <w:pPr>
              <w:jc w:val="right"/>
              <w:ind w:right="36"/>
              <w:spacing w:after="0" w:line="149" w:lineRule="exact"/>
              <w:rPr>
                <w:sz w:val="20"/>
                <w:szCs w:val="20"/>
                <w:color w:val="auto"/>
              </w:rPr>
            </w:pPr>
            <w:r>
              <w:rPr>
                <w:rFonts w:ascii="Arial" w:cs="Arial" w:eastAsia="Arial" w:hAnsi="Arial"/>
                <w:sz w:val="14"/>
                <w:szCs w:val="14"/>
                <w:b w:val="1"/>
                <w:bCs w:val="1"/>
                <w:color w:val="auto"/>
                <w:w w:val="98"/>
              </w:rPr>
              <w:t>Announced Plans or</w:t>
            </w:r>
          </w:p>
        </w:tc>
        <w:tc>
          <w:tcPr>
            <w:tcW w:w="100" w:type="dxa"/>
            <w:vAlign w:val="bottom"/>
          </w:tcPr>
          <w:p>
            <w:pPr>
              <w:spacing w:after="0"/>
              <w:rPr>
                <w:sz w:val="12"/>
                <w:szCs w:val="12"/>
                <w:color w:val="auto"/>
              </w:rPr>
            </w:pP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162"/>
        </w:trPr>
        <w:tc>
          <w:tcPr>
            <w:tcW w:w="3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2019 - April 30, 2019</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May 1, 2019 - May 31, 2019</w:t>
            </w:r>
          </w:p>
        </w:tc>
        <w:tc>
          <w:tcPr>
            <w:tcW w:w="1280" w:type="dxa"/>
            <w:vAlign w:val="bottom"/>
          </w:tcPr>
          <w:p>
            <w:pPr>
              <w:jc w:val="right"/>
              <w:ind w:right="42"/>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9"/>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2019 - June 30, 2019</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57"/>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4,354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43.35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Of the repurchases in May and June, 3,663 and 691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Amounts in this column reflect the weighted average price paid for shares purchased under our share repurchase authorizations, inclusive of commissions paid to brokers.</w:t>
      </w:r>
    </w:p>
    <w:p>
      <w:pPr>
        <w:spacing w:after="0" w:line="95" w:lineRule="exact"/>
        <w:rPr>
          <w:rFonts w:ascii="Arial" w:cs="Arial" w:eastAsia="Arial" w:hAnsi="Arial"/>
          <w:sz w:val="25"/>
          <w:szCs w:val="25"/>
          <w:color w:val="auto"/>
          <w:vertAlign w:val="superscript"/>
        </w:rPr>
      </w:pPr>
    </w:p>
    <w:p>
      <w:pPr>
        <w:jc w:val="both"/>
        <w:ind w:left="660" w:hanging="328"/>
        <w:spacing w:after="0" w:line="232"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On October 30, 2018, our board of directors approved a repurchase plan authorizing the repurchase of up to $5.0 million of our common stock. Under these authorizations, shares may be repurchased in privately negotiated and/or open market transactions, including under plans complying with Rule 10b5-1 under the Exchange Act. As of June 30, 2019, we had $3.9 million of authorized repurchases remaining under the Board's authorizations.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0" w:type="dxa"/>
            <w:vAlign w:val="bottom"/>
            <w:gridSpan w:val="2"/>
          </w:tcPr>
          <w:p>
            <w:pPr>
              <w:ind w:left="84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1340" w:type="dxa"/>
            <w:vAlign w:val="bottom"/>
          </w:tcPr>
          <w:p>
            <w:pPr>
              <w:jc w:val="right"/>
              <w:ind w:right="950"/>
              <w:spacing w:after="0"/>
              <w:rPr>
                <w:sz w:val="20"/>
                <w:szCs w:val="20"/>
                <w:color w:val="auto"/>
              </w:rPr>
            </w:pPr>
            <w:r>
              <w:rPr>
                <w:rFonts w:ascii="Arial" w:cs="Arial" w:eastAsia="Arial" w:hAnsi="Arial"/>
                <w:sz w:val="18"/>
                <w:szCs w:val="18"/>
                <w:color w:val="auto"/>
                <w:w w:val="79"/>
              </w:rPr>
              <w:t>31.1</w:t>
            </w:r>
          </w:p>
        </w:tc>
        <w:tc>
          <w:tcPr>
            <w:tcW w:w="940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8">
              <w:r>
                <w:rPr>
                  <w:rFonts w:ascii="Arial" w:cs="Arial" w:eastAsia="Arial" w:hAnsi="Arial"/>
                  <w:sz w:val="18"/>
                  <w:szCs w:val="18"/>
                  <w:color w:val="0000FF"/>
                  <w:w w:val="93"/>
                </w:rPr>
                <w:t>Rule 13a-14(a) Certifications of Paul D. Arling, Chief Executive Officer (principal executive officer) of Universal Electronics Inc.</w:t>
              </w:r>
            </w:hyperlink>
          </w:p>
        </w:tc>
        <w:tc>
          <w:tcPr>
            <w:tcW w:w="460" w:type="dxa"/>
            <w:vAlign w:val="bottom"/>
          </w:tcPr>
          <w:p>
            <w:pPr>
              <w:spacing w:after="0"/>
              <w:rPr>
                <w:sz w:val="24"/>
                <w:szCs w:val="24"/>
                <w:color w:val="auto"/>
              </w:rPr>
            </w:pPr>
          </w:p>
        </w:tc>
      </w:tr>
      <w:tr>
        <w:trPr>
          <w:trHeight w:val="372"/>
        </w:trPr>
        <w:tc>
          <w:tcPr>
            <w:tcW w:w="1340" w:type="dxa"/>
            <w:vAlign w:val="bottom"/>
          </w:tcPr>
          <w:p>
            <w:pPr>
              <w:jc w:val="right"/>
              <w:ind w:right="950"/>
              <w:spacing w:after="0"/>
              <w:rPr>
                <w:sz w:val="20"/>
                <w:szCs w:val="20"/>
                <w:color w:val="auto"/>
              </w:rPr>
            </w:pPr>
            <w:r>
              <w:rPr>
                <w:rFonts w:ascii="Arial" w:cs="Arial" w:eastAsia="Arial" w:hAnsi="Arial"/>
                <w:sz w:val="18"/>
                <w:szCs w:val="18"/>
                <w:color w:val="auto"/>
                <w:w w:val="79"/>
              </w:rPr>
              <w:t>31.2</w:t>
            </w:r>
          </w:p>
        </w:tc>
        <w:tc>
          <w:tcPr>
            <w:tcW w:w="986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39">
              <w:r>
                <w:rPr>
                  <w:rFonts w:ascii="Arial" w:cs="Arial" w:eastAsia="Arial" w:hAnsi="Arial"/>
                  <w:sz w:val="18"/>
                  <w:szCs w:val="18"/>
                  <w:color w:val="0000FF"/>
                  <w:w w:val="97"/>
                </w:rPr>
                <w:t>Rule 13a-14(a) Certifications of Bryan M. Hackworth, Chief Financial Officer (principal financial officer and principal accounting</w:t>
              </w:r>
            </w:hyperlink>
          </w:p>
        </w:tc>
      </w:tr>
      <w:tr>
        <w:trPr>
          <w:trHeight w:val="196"/>
        </w:trPr>
        <w:tc>
          <w:tcPr>
            <w:tcW w:w="134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officer) of Universal Electronics Inc.</w:t>
              </w:r>
            </w:hyperlink>
          </w:p>
        </w:tc>
        <w:tc>
          <w:tcPr>
            <w:tcW w:w="7200" w:type="dxa"/>
            <w:vAlign w:val="bottom"/>
            <w:gridSpan w:val="2"/>
          </w:tcPr>
          <w:p>
            <w:pPr>
              <w:spacing w:after="0"/>
              <w:rPr>
                <w:sz w:val="17"/>
                <w:szCs w:val="17"/>
                <w:color w:val="auto"/>
              </w:rPr>
            </w:pPr>
          </w:p>
        </w:tc>
      </w:tr>
    </w:tbl>
    <w:p>
      <w:pPr>
        <w:spacing w:after="0" w:line="188" w:lineRule="exact"/>
        <w:rPr>
          <w:sz w:val="20"/>
          <w:szCs w:val="20"/>
          <w:color w:val="auto"/>
        </w:rPr>
      </w:pPr>
    </w:p>
    <w:p>
      <w:pPr>
        <w:jc w:val="both"/>
        <w:ind w:left="1520" w:hanging="1350"/>
        <w:spacing w:after="0" w:line="264" w:lineRule="auto"/>
        <w:tabs>
          <w:tab w:leader="none" w:pos="1520" w:val="left"/>
        </w:tabs>
        <w:numPr>
          <w:ilvl w:val="0"/>
          <w:numId w:val="16"/>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Bryan M. Hackworth, Chief Financial Officer (principal financial officer and principal accounting officer) of Universal Electronics Inc.,</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pursuant to 18 U.S.C. Section 1350</w:t>
        </w:r>
      </w:hyperlink>
    </w:p>
    <w:p>
      <w:pPr>
        <w:spacing w:after="0" w:line="141" w:lineRule="exact"/>
        <w:rPr>
          <w:rFonts w:ascii="Arial" w:cs="Arial" w:eastAsia="Arial" w:hAnsi="Arial"/>
          <w:sz w:val="18"/>
          <w:szCs w:val="18"/>
          <w:u w:val="single" w:color="auto"/>
          <w:color w:val="0000FF"/>
        </w:rPr>
      </w:pPr>
    </w:p>
    <w:tbl>
      <w:tblPr>
        <w:tblLayout w:type="fixed"/>
        <w:tblInd w:w="18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8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tcPr>
          <w:p>
            <w:pPr>
              <w:ind w:left="3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Pr>
          <w:p>
            <w:pPr>
              <w:ind w:left="3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tcPr>
          <w:p>
            <w:pPr>
              <w:ind w:left="3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18" w:right="2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w w:val="92"/>
              </w:rPr>
              <w:t>Dated:August 8, 2019</w:t>
            </w: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740" w:type="dxa"/>
            <w:vAlign w:val="bottom"/>
          </w:tcPr>
          <w:p>
            <w:pPr>
              <w:spacing w:after="0"/>
              <w:rPr>
                <w:sz w:val="24"/>
                <w:szCs w:val="24"/>
                <w:color w:val="auto"/>
              </w:rPr>
            </w:pPr>
          </w:p>
        </w:tc>
        <w:tc>
          <w:tcPr>
            <w:tcW w:w="250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7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740" w:type="dxa"/>
            <w:vAlign w:val="bottom"/>
          </w:tcPr>
          <w:p>
            <w:pPr>
              <w:spacing w:after="0"/>
              <w:rPr>
                <w:sz w:val="24"/>
                <w:szCs w:val="24"/>
                <w:color w:val="auto"/>
              </w:rPr>
            </w:pPr>
          </w:p>
        </w:tc>
        <w:tc>
          <w:tcPr>
            <w:tcW w:w="2500" w:type="dxa"/>
            <w:vAlign w:val="bottom"/>
          </w:tcPr>
          <w:p>
            <w:pPr>
              <w:ind w:left="1840"/>
              <w:spacing w:after="0"/>
              <w:rPr>
                <w:sz w:val="20"/>
                <w:szCs w:val="20"/>
                <w:color w:val="auto"/>
              </w:rPr>
            </w:pPr>
            <w:r>
              <w:rPr>
                <w:rFonts w:ascii="Arial" w:cs="Arial" w:eastAsia="Arial" w:hAnsi="Arial"/>
                <w:sz w:val="18"/>
                <w:szCs w:val="18"/>
                <w:color w:val="auto"/>
              </w:rPr>
              <w:t>37</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2019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2019-12-28T07:16:50Z</dcterms:created>
  <dcterms:modified xsi:type="dcterms:W3CDTF">2019-12-28T07:16:50Z</dcterms:modified>
</cp:coreProperties>
</file>