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40"/>
        <w:spacing w:after="0"/>
        <w:tabs>
          <w:tab w:leader="none" w:pos="6760" w:val="left"/>
          <w:tab w:leader="none" w:pos="7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0-21044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UNIVERSAL ELECTRONICS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4360" w:type="dxa"/>
            <w:vAlign w:val="bottom"/>
          </w:tcPr>
          <w:p>
            <w:pPr>
              <w:jc w:val="center"/>
              <w:ind w:right="1982"/>
              <w:spacing w:after="0"/>
              <w:rPr>
                <w:sz w:val="20"/>
                <w:szCs w:val="20"/>
                <w:color w:val="auto"/>
              </w:rPr>
            </w:pPr>
            <w:r>
              <w:rPr>
                <w:rFonts w:ascii="Arial" w:cs="Arial" w:eastAsia="Arial" w:hAnsi="Arial"/>
                <w:sz w:val="18"/>
                <w:szCs w:val="18"/>
                <w:b w:val="1"/>
                <w:bCs w:val="1"/>
                <w:color w:val="auto"/>
                <w:w w:val="88"/>
              </w:rPr>
              <w:t>Delaware</w:t>
            </w:r>
          </w:p>
        </w:tc>
        <w:tc>
          <w:tcPr>
            <w:tcW w:w="3140" w:type="dxa"/>
            <w:vAlign w:val="bottom"/>
          </w:tcPr>
          <w:p>
            <w:pPr>
              <w:jc w:val="right"/>
              <w:ind w:right="44"/>
              <w:spacing w:after="0"/>
              <w:rPr>
                <w:sz w:val="20"/>
                <w:szCs w:val="20"/>
                <w:color w:val="auto"/>
              </w:rPr>
            </w:pPr>
            <w:r>
              <w:rPr>
                <w:rFonts w:ascii="Arial" w:cs="Arial" w:eastAsia="Arial" w:hAnsi="Arial"/>
                <w:sz w:val="18"/>
                <w:szCs w:val="18"/>
                <w:b w:val="1"/>
                <w:bCs w:val="1"/>
                <w:color w:val="auto"/>
              </w:rPr>
              <w:t>33-0204817</w:t>
            </w:r>
          </w:p>
        </w:tc>
      </w:tr>
      <w:tr>
        <w:trPr>
          <w:trHeight w:val="149"/>
        </w:trPr>
        <w:tc>
          <w:tcPr>
            <w:tcW w:w="4360" w:type="dxa"/>
            <w:vAlign w:val="bottom"/>
          </w:tcPr>
          <w:p>
            <w:pPr>
              <w:jc w:val="center"/>
              <w:ind w:right="200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140" w:type="dxa"/>
            <w:vAlign w:val="bottom"/>
          </w:tcPr>
          <w:p>
            <w:pPr>
              <w:jc w:val="center"/>
              <w:ind w:left="20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360" w:type="dxa"/>
            <w:vAlign w:val="bottom"/>
          </w:tcPr>
          <w:p>
            <w:pPr>
              <w:jc w:val="center"/>
              <w:ind w:right="2002"/>
              <w:spacing w:after="0"/>
              <w:rPr>
                <w:sz w:val="20"/>
                <w:szCs w:val="20"/>
                <w:color w:val="auto"/>
              </w:rPr>
            </w:pPr>
            <w:r>
              <w:rPr>
                <w:rFonts w:ascii="Arial" w:cs="Arial" w:eastAsia="Arial" w:hAnsi="Arial"/>
                <w:sz w:val="14"/>
                <w:szCs w:val="14"/>
                <w:b w:val="1"/>
                <w:bCs w:val="1"/>
                <w:color w:val="auto"/>
                <w:w w:val="89"/>
              </w:rPr>
              <w:t>of Incorporation or Organization)</w:t>
            </w:r>
          </w:p>
        </w:tc>
        <w:tc>
          <w:tcPr>
            <w:tcW w:w="3140" w:type="dxa"/>
            <w:vAlign w:val="bottom"/>
          </w:tcPr>
          <w:p>
            <w:pPr>
              <w:jc w:val="center"/>
              <w:ind w:left="200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360" w:type="dxa"/>
            <w:vAlign w:val="bottom"/>
          </w:tcPr>
          <w:p>
            <w:pPr>
              <w:jc w:val="center"/>
              <w:ind w:right="2002"/>
              <w:spacing w:after="0"/>
              <w:rPr>
                <w:sz w:val="20"/>
                <w:szCs w:val="20"/>
                <w:color w:val="auto"/>
              </w:rPr>
            </w:pPr>
            <w:r>
              <w:rPr>
                <w:rFonts w:ascii="Arial" w:cs="Arial" w:eastAsia="Arial" w:hAnsi="Arial"/>
                <w:sz w:val="18"/>
                <w:szCs w:val="18"/>
                <w:b w:val="1"/>
                <w:bCs w:val="1"/>
                <w:color w:val="auto"/>
                <w:w w:val="89"/>
              </w:rPr>
              <w:t>6101 Gateway Drive</w:t>
            </w:r>
          </w:p>
        </w:tc>
        <w:tc>
          <w:tcPr>
            <w:tcW w:w="3140" w:type="dxa"/>
            <w:vAlign w:val="bottom"/>
          </w:tcPr>
          <w:p>
            <w:pPr>
              <w:spacing w:after="0"/>
              <w:rPr>
                <w:sz w:val="24"/>
                <w:szCs w:val="24"/>
                <w:color w:val="auto"/>
              </w:rPr>
            </w:pPr>
          </w:p>
        </w:tc>
      </w:tr>
      <w:tr>
        <w:trPr>
          <w:trHeight w:val="231"/>
        </w:trPr>
        <w:tc>
          <w:tcPr>
            <w:tcW w:w="4360" w:type="dxa"/>
            <w:vAlign w:val="bottom"/>
          </w:tcPr>
          <w:p>
            <w:pPr>
              <w:jc w:val="center"/>
              <w:ind w:right="1982"/>
              <w:spacing w:after="0"/>
              <w:rPr>
                <w:sz w:val="20"/>
                <w:szCs w:val="20"/>
                <w:color w:val="auto"/>
              </w:rPr>
            </w:pPr>
            <w:r>
              <w:rPr>
                <w:rFonts w:ascii="Arial" w:cs="Arial" w:eastAsia="Arial" w:hAnsi="Arial"/>
                <w:sz w:val="18"/>
                <w:szCs w:val="18"/>
                <w:b w:val="1"/>
                <w:bCs w:val="1"/>
                <w:color w:val="auto"/>
                <w:w w:val="88"/>
              </w:rPr>
              <w:t>Cypress, California</w:t>
            </w:r>
          </w:p>
        </w:tc>
        <w:tc>
          <w:tcPr>
            <w:tcW w:w="3140" w:type="dxa"/>
            <w:vAlign w:val="bottom"/>
          </w:tcPr>
          <w:p>
            <w:pPr>
              <w:jc w:val="right"/>
              <w:ind w:right="244"/>
              <w:spacing w:after="0"/>
              <w:rPr>
                <w:sz w:val="20"/>
                <w:szCs w:val="20"/>
                <w:color w:val="auto"/>
              </w:rPr>
            </w:pPr>
            <w:r>
              <w:rPr>
                <w:rFonts w:ascii="Arial" w:cs="Arial" w:eastAsia="Arial" w:hAnsi="Arial"/>
                <w:sz w:val="18"/>
                <w:szCs w:val="18"/>
                <w:b w:val="1"/>
                <w:bCs w:val="1"/>
                <w:color w:val="auto"/>
              </w:rPr>
              <w:t>90630</w:t>
            </w:r>
          </w:p>
        </w:tc>
      </w:tr>
      <w:tr>
        <w:trPr>
          <w:trHeight w:val="174"/>
        </w:trPr>
        <w:tc>
          <w:tcPr>
            <w:tcW w:w="4360" w:type="dxa"/>
            <w:vAlign w:val="bottom"/>
          </w:tcPr>
          <w:p>
            <w:pPr>
              <w:jc w:val="center"/>
              <w:ind w:right="198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140" w:type="dxa"/>
            <w:vAlign w:val="bottom"/>
          </w:tcPr>
          <w:p>
            <w:pPr>
              <w:jc w:val="center"/>
              <w:ind w:left="200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(714) 820-1000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right="240"/>
        <w:spacing w:after="0" w:line="22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70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tcPr>
          <w:p>
            <w:pPr>
              <w:ind w:left="8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702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40" w:type="dxa"/>
            <w:vAlign w:val="bottom"/>
          </w:tcPr>
          <w:p>
            <w:pPr>
              <w:ind w:left="8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8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by Rule 12b-2 of the Exchange Act).  Yes </w:t>
            </w:r>
            <w:r>
              <w:rPr>
                <w:rFonts w:ascii="MS PGothic" w:cs="MS PGothic" w:eastAsia="MS PGothic" w:hAnsi="MS PGothic"/>
                <w:sz w:val="18"/>
                <w:szCs w:val="18"/>
                <w:color w:val="auto"/>
                <w:w w:val="90"/>
              </w:rPr>
              <w:t>☐</w:t>
            </w:r>
          </w:p>
        </w:tc>
        <w:tc>
          <w:tcPr>
            <w:tcW w:w="224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14,931,793 shares of Common Stock, par value $0.01 per share, of the registrant were outstanding on May 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140" w:type="dxa"/>
            <w:vAlign w:val="bottom"/>
            <w:gridSpan w:val="4"/>
          </w:tcPr>
          <w:p>
            <w:pPr>
              <w:jc w:val="center"/>
              <w:ind w:right="3500"/>
              <w:spacing w:after="0"/>
              <w:rPr>
                <w:sz w:val="20"/>
                <w:szCs w:val="20"/>
                <w:color w:val="auto"/>
              </w:rPr>
            </w:pPr>
            <w:r>
              <w:rPr>
                <w:rFonts w:ascii="Arial" w:cs="Arial" w:eastAsia="Arial" w:hAnsi="Arial"/>
                <w:sz w:val="18"/>
                <w:szCs w:val="18"/>
                <w:b w:val="1"/>
                <w:bCs w:val="1"/>
                <w:color w:val="auto"/>
                <w:w w:val="98"/>
              </w:rPr>
              <w:t>UNIVERSAL ELECTRONICS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gridSpan w:val="2"/>
          </w:tcPr>
          <w:p>
            <w:pPr>
              <w:jc w:val="center"/>
              <w:ind w:right="4420"/>
              <w:spacing w:after="0"/>
              <w:rPr>
                <w:sz w:val="20"/>
                <w:szCs w:val="20"/>
                <w:color w:val="auto"/>
              </w:rPr>
            </w:pPr>
            <w:r>
              <w:rPr>
                <w:rFonts w:ascii="Arial" w:cs="Arial" w:eastAsia="Arial" w:hAnsi="Arial"/>
                <w:sz w:val="18"/>
                <w:szCs w:val="18"/>
                <w:b w:val="1"/>
                <w:bCs w:val="1"/>
                <w:color w:val="auto"/>
              </w:rPr>
              <w:t>INDEX</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820" w:type="dxa"/>
            <w:vAlign w:val="bottom"/>
            <w:gridSpan w:val="11"/>
            <w:vMerge w:val="restart"/>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8220" w:type="dxa"/>
            <w:vAlign w:val="bottom"/>
            <w:gridSpan w:val="8"/>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2820" w:type="dxa"/>
            <w:vAlign w:val="bottom"/>
            <w:tcBorders>
              <w:bottom w:val="single" w:sz="8" w:color="0000EE"/>
            </w:tcBorders>
            <w:gridSpan w:val="11"/>
            <w:vMerge w:val="continue"/>
          </w:tcPr>
          <w:p>
            <w:pPr>
              <w:spacing w:after="0"/>
              <w:rPr>
                <w:sz w:val="13"/>
                <w:szCs w:val="13"/>
                <w:color w:val="auto"/>
              </w:rPr>
            </w:pPr>
          </w:p>
        </w:tc>
        <w:tc>
          <w:tcPr>
            <w:tcW w:w="8220" w:type="dxa"/>
            <w:vAlign w:val="bottom"/>
            <w:gridSpan w:val="8"/>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388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Item 1. Consolidated Financial Statements (Unaudited)</w:t>
              </w:r>
            </w:hyperlink>
          </w:p>
        </w:tc>
        <w:tc>
          <w:tcPr>
            <w:tcW w:w="7160" w:type="dxa"/>
            <w:vAlign w:val="bottom"/>
            <w:gridSpan w:val="5"/>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40" w:type="dxa"/>
            <w:vAlign w:val="bottom"/>
            <w:tcBorders>
              <w:bottom w:val="single" w:sz="8" w:color="0000EE"/>
            </w:tcBorders>
            <w:gridSpan w:val="7"/>
          </w:tcPr>
          <w:p>
            <w:pPr>
              <w:spacing w:after="0" w:line="196" w:lineRule="exact"/>
              <w:rPr>
                <w:rFonts w:ascii="Arial" w:cs="Arial" w:eastAsia="Arial" w:hAnsi="Arial"/>
                <w:sz w:val="18"/>
                <w:szCs w:val="18"/>
                <w:color w:val="0000EE"/>
                <w:w w:val="85"/>
              </w:rPr>
            </w:pPr>
            <w:hyperlink w:anchor="page3">
              <w:r>
                <w:rPr>
                  <w:rFonts w:ascii="Arial" w:cs="Arial" w:eastAsia="Arial" w:hAnsi="Arial"/>
                  <w:sz w:val="18"/>
                  <w:szCs w:val="18"/>
                  <w:color w:val="0000EE"/>
                  <w:w w:val="85"/>
                </w:rPr>
                <w:t>Consolidated Balance Sheets</w:t>
              </w:r>
            </w:hyperlink>
          </w:p>
        </w:tc>
        <w:tc>
          <w:tcPr>
            <w:tcW w:w="85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20" w:type="dxa"/>
            <w:vAlign w:val="bottom"/>
            <w:tcBorders>
              <w:bottom w:val="single" w:sz="8" w:color="0000EE"/>
            </w:tcBorders>
            <w:gridSpan w:val="9"/>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Consolidated Income Statements</w:t>
              </w:r>
            </w:hyperlink>
          </w:p>
        </w:tc>
        <w:tc>
          <w:tcPr>
            <w:tcW w:w="828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Consolidated Comprehensive Income Statements</w:t>
              </w:r>
            </w:hyperlink>
          </w:p>
        </w:tc>
        <w:tc>
          <w:tcPr>
            <w:tcW w:w="71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0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Consolidated Statements of Cash Flows</w:t>
              </w:r>
            </w:hyperlink>
          </w:p>
        </w:tc>
        <w:tc>
          <w:tcPr>
            <w:tcW w:w="780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34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the Consolidated Financial Statements</w:t>
              </w:r>
            </w:hyperlink>
          </w:p>
        </w:tc>
        <w:tc>
          <w:tcPr>
            <w:tcW w:w="726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40" w:type="dxa"/>
            <w:vAlign w:val="bottom"/>
            <w:gridSpan w:val="1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8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3. Quantitative and Qualitative Disclosures About Market Risk</w:t>
              </w:r>
            </w:hyperlink>
          </w:p>
        </w:tc>
        <w:tc>
          <w:tcPr>
            <w:tcW w:w="2020" w:type="dxa"/>
            <w:vAlign w:val="bottom"/>
            <w:tcBorders>
              <w:top w:val="single" w:sz="8" w:color="0000EE"/>
            </w:tcBorders>
          </w:tcPr>
          <w:p>
            <w:pPr>
              <w:spacing w:after="0"/>
              <w:rPr>
                <w:sz w:val="17"/>
                <w:szCs w:val="17"/>
                <w:color w:val="auto"/>
              </w:rPr>
            </w:pPr>
          </w:p>
        </w:tc>
        <w:tc>
          <w:tcPr>
            <w:tcW w:w="42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Item 4. Controls and Procedures</w:t>
              </w:r>
            </w:hyperlink>
          </w:p>
        </w:tc>
        <w:tc>
          <w:tcPr>
            <w:tcW w:w="876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31">
              <w:r>
                <w:rPr>
                  <w:rFonts w:ascii="Arial" w:cs="Arial" w:eastAsia="Arial" w:hAnsi="Arial"/>
                  <w:sz w:val="18"/>
                  <w:szCs w:val="18"/>
                  <w:color w:val="0000EE"/>
                  <w:w w:val="93"/>
                </w:rPr>
                <w:t>PART II. OTHER INFORMATION</w:t>
              </w:r>
            </w:hyperlink>
          </w:p>
        </w:tc>
        <w:tc>
          <w:tcPr>
            <w:tcW w:w="852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86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Item 1. Legal Proceedings</w:t>
              </w:r>
            </w:hyperlink>
          </w:p>
        </w:tc>
        <w:tc>
          <w:tcPr>
            <w:tcW w:w="918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Item 1A. Risk Factors</w:t>
              </w:r>
            </w:hyperlink>
          </w:p>
        </w:tc>
        <w:tc>
          <w:tcPr>
            <w:tcW w:w="948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Item 2. Unregistered Sales of Equity Securities and Use of Proceeds</w:t>
              </w:r>
            </w:hyperlink>
          </w:p>
        </w:tc>
        <w:tc>
          <w:tcPr>
            <w:tcW w:w="62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6. Exhibits</w:t>
              </w:r>
            </w:hyperlink>
          </w:p>
        </w:tc>
        <w:tc>
          <w:tcPr>
            <w:tcW w:w="990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1040" w:type="dxa"/>
            <w:vAlign w:val="bottom"/>
            <w:gridSpan w:val="1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Signature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80" w:type="dxa"/>
            <w:vAlign w:val="bottom"/>
            <w:gridSpan w:val="1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Exhibit Index</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83"/>
        </w:trPr>
        <w:tc>
          <w:tcPr>
            <w:tcW w:w="960" w:type="dxa"/>
            <w:vAlign w:val="bottom"/>
            <w:tcBorders>
              <w:top w:val="single" w:sz="8" w:color="0000EE"/>
            </w:tcBorders>
            <w:gridSpan w:val="3"/>
          </w:tcPr>
          <w:p>
            <w:pPr>
              <w:spacing w:after="0"/>
              <w:rPr>
                <w:sz w:val="24"/>
                <w:szCs w:val="24"/>
                <w:color w:val="auto"/>
              </w:rPr>
            </w:pPr>
          </w:p>
        </w:tc>
        <w:tc>
          <w:tcPr>
            <w:tcW w:w="5880" w:type="dxa"/>
            <w:vAlign w:val="bottom"/>
            <w:gridSpan w:val="15"/>
          </w:tcPr>
          <w:p>
            <w:pPr>
              <w:jc w:val="center"/>
              <w:ind w:left="3552"/>
              <w:spacing w:after="0"/>
              <w:rPr>
                <w:sz w:val="20"/>
                <w:szCs w:val="20"/>
                <w:color w:val="auto"/>
              </w:rPr>
            </w:pPr>
            <w:r>
              <w:rPr>
                <w:rFonts w:ascii="Arial" w:cs="Arial" w:eastAsia="Arial" w:hAnsi="Arial"/>
                <w:sz w:val="18"/>
                <w:szCs w:val="18"/>
                <w:color w:val="auto"/>
                <w:w w:val="79"/>
              </w:rPr>
              <w:t>2</w:t>
            </w:r>
          </w:p>
        </w:tc>
        <w:tc>
          <w:tcPr>
            <w:tcW w:w="4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9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380" w:type="dxa"/>
            <w:vAlign w:val="bottom"/>
            <w:shd w:val="clear" w:color="auto" w:fill="CCEEFF"/>
          </w:tcPr>
          <w:p>
            <w:pPr>
              <w:ind w:left="418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24,312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29,372</w:t>
            </w: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73,817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82,184</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85,131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90,904</w:t>
            </w: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3,892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3,045</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193,654</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212,063</w:t>
            </w: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78,990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80,449</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30,882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30,820</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32,005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32,814</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5,225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5,350</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8,085</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7,992</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348,841</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369,488</w:t>
            </w: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80" w:type="dxa"/>
            <w:vAlign w:val="bottom"/>
            <w:shd w:val="clear" w:color="auto" w:fill="CCEEFF"/>
          </w:tcPr>
          <w:p>
            <w:pPr>
              <w:ind w:left="260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40,224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55,430</w:t>
            </w: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Line of credit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12,200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14,400</w:t>
            </w: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Accrued sales discounts, rebates and royalties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5,314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6,544</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income taxes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5,707</w:t>
            </w: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29,111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29,204</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23"/>
        </w:trPr>
        <w:tc>
          <w:tcPr>
            <w:tcW w:w="20" w:type="dxa"/>
            <w:vAlign w:val="bottom"/>
          </w:tcPr>
          <w:p>
            <w:pPr>
              <w:spacing w:after="0"/>
              <w:rPr>
                <w:sz w:val="19"/>
                <w:szCs w:val="19"/>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Other accrued expenses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9,481</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101,779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127,302</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11,206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11,056</w:t>
            </w: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Income tax payable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1,136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1,136</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114,124</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139,499</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5,000,000 shares authorized; none issued or outstanding</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w w:val="93"/>
              </w:rPr>
              <w:t>Common stock, $0.01 par value, 50,000,000 shares authorized; 21,263,655 and 21,142,915 shares issued on March 31,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2012 and December 31, 2011, respectively</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213</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Paid-in capital</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176,069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173,701</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938</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155,648</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154,016</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333,796</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328,866</w:t>
            </w:r>
          </w:p>
        </w:tc>
      </w:tr>
      <w:tr>
        <w:trPr>
          <w:trHeight w:val="209"/>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Less cost of common stock in treasury, 6,362,796 and 6,353,035 shares on March 31, 2012 and December 31, 2011,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(99,079)</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(98,877)</w:t>
            </w:r>
          </w:p>
        </w:tc>
      </w:tr>
      <w:tr>
        <w:trPr>
          <w:trHeight w:val="230"/>
        </w:trPr>
        <w:tc>
          <w:tcPr>
            <w:tcW w:w="20" w:type="dxa"/>
            <w:vAlign w:val="bottom"/>
          </w:tcPr>
          <w:p>
            <w:pPr>
              <w:spacing w:after="0"/>
              <w:rPr>
                <w:sz w:val="20"/>
                <w:szCs w:val="20"/>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234,717</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229,989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348,841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369,488</w:t>
            </w: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Borders>
              <w:bottom w:val="single" w:sz="8" w:color="CCEEFF"/>
            </w:tcBorders>
          </w:tcPr>
          <w:p>
            <w:pPr>
              <w:spacing w:after="0"/>
              <w:rPr>
                <w:sz w:val="12"/>
                <w:szCs w:val="12"/>
                <w:color w:val="auto"/>
              </w:rPr>
            </w:pPr>
          </w:p>
        </w:tc>
        <w:tc>
          <w:tcPr>
            <w:tcW w:w="3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103,732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Cost of sales</w:t>
            </w:r>
          </w:p>
        </w:tc>
        <w:tc>
          <w:tcPr>
            <w:tcW w:w="3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28,327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3,463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4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Other expense, net</w:t>
            </w:r>
          </w:p>
        </w:tc>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3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3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gridSpan w:val="2"/>
            <w:vMerge w:val="continue"/>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3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earnings per share:</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Basic</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14,871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14,976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9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9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2012</w:t>
            </w:r>
          </w:p>
        </w:tc>
        <w:tc>
          <w:tcPr>
            <w:tcW w:w="8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9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$ 1,632</w:t>
            </w: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$ 1,827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foreign currency translation adjustment</w:t>
            </w: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00" w:type="dxa"/>
            <w:vAlign w:val="bottom"/>
            <w:shd w:val="clear" w:color="auto" w:fill="CCEEFF"/>
          </w:tcPr>
          <w:p>
            <w:pPr>
              <w:spacing w:after="0"/>
              <w:rPr>
                <w:sz w:val="18"/>
                <w:szCs w:val="18"/>
                <w:color w:val="auto"/>
              </w:rPr>
            </w:pPr>
          </w:p>
        </w:tc>
      </w:tr>
      <w:tr>
        <w:trPr>
          <w:trHeight w:val="222"/>
        </w:trPr>
        <w:tc>
          <w:tcPr>
            <w:tcW w:w="9940" w:type="dxa"/>
            <w:vAlign w:val="bottom"/>
          </w:tcPr>
          <w:p>
            <w:pPr>
              <w:spacing w:after="0"/>
              <w:rPr>
                <w:sz w:val="20"/>
                <w:szCs w:val="20"/>
                <w:color w:val="auto"/>
              </w:rPr>
            </w:pPr>
            <w:r>
              <w:rPr>
                <w:rFonts w:ascii="Arial" w:cs="Arial" w:eastAsia="Arial" w:hAnsi="Arial"/>
                <w:sz w:val="18"/>
                <w:szCs w:val="18"/>
                <w:color w:val="auto"/>
              </w:rPr>
              <w:t>Comprehensive income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$ 2,560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$ 4,526</w:t>
            </w:r>
          </w:p>
        </w:tc>
        <w:tc>
          <w:tcPr>
            <w:tcW w:w="100" w:type="dxa"/>
            <w:vAlign w:val="bottom"/>
          </w:tcPr>
          <w:p>
            <w:pPr>
              <w:spacing w:after="0"/>
              <w:rPr>
                <w:sz w:val="19"/>
                <w:szCs w:val="19"/>
                <w:color w:val="auto"/>
              </w:rPr>
            </w:pPr>
          </w:p>
        </w:tc>
      </w:tr>
      <w:tr>
        <w:trPr>
          <w:trHeight w:val="20"/>
        </w:trPr>
        <w:tc>
          <w:tcPr>
            <w:tcW w:w="9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(used for) provided by operating activities: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1,632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Adjustments to reconcile net income to net cash (used for) provided by operating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12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4,260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1280"/>
              <w:spacing w:after="0"/>
              <w:rPr>
                <w:sz w:val="20"/>
                <w:szCs w:val="20"/>
                <w:color w:val="auto"/>
              </w:rPr>
            </w:pPr>
            <w:r>
              <w:rPr>
                <w:rFonts w:ascii="Arial" w:cs="Arial" w:eastAsia="Arial" w:hAnsi="Arial"/>
                <w:sz w:val="18"/>
                <w:szCs w:val="18"/>
                <w:color w:val="auto"/>
              </w:rPr>
              <w:t>Provision for inventory write-downs</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1280"/>
              <w:spacing w:after="0"/>
              <w:rPr>
                <w:sz w:val="20"/>
                <w:szCs w:val="20"/>
                <w:color w:val="auto"/>
              </w:rPr>
            </w:pPr>
            <w:r>
              <w:rPr>
                <w:rFonts w:ascii="Arial" w:cs="Arial" w:eastAsia="Arial" w:hAnsi="Arial"/>
                <w:sz w:val="18"/>
                <w:szCs w:val="18"/>
                <w:color w:val="auto"/>
              </w:rPr>
              <w:t>Tax benefit from exercise of stock options and vested restricted stock</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Excess tax benefit from stock-based compensation</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1280"/>
              <w:spacing w:after="0"/>
              <w:rPr>
                <w:sz w:val="20"/>
                <w:szCs w:val="20"/>
                <w:color w:val="auto"/>
              </w:rPr>
            </w:pPr>
            <w:r>
              <w:rPr>
                <w:rFonts w:ascii="Arial" w:cs="Arial" w:eastAsia="Arial" w:hAnsi="Arial"/>
                <w:sz w:val="18"/>
                <w:szCs w:val="18"/>
                <w:color w:val="auto"/>
              </w:rPr>
              <w:t>Shares issued for employee benefit plan</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128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5,387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(21,511)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income taxes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vMerge w:val="restart"/>
          </w:tcPr>
          <w:p>
            <w:pPr>
              <w:ind w:left="1720"/>
              <w:spacing w:after="0"/>
              <w:rPr>
                <w:sz w:val="20"/>
                <w:szCs w:val="20"/>
                <w:color w:val="auto"/>
              </w:rPr>
            </w:pPr>
            <w:r>
              <w:rPr>
                <w:rFonts w:ascii="Arial" w:cs="Arial" w:eastAsia="Arial" w:hAnsi="Arial"/>
                <w:sz w:val="18"/>
                <w:szCs w:val="18"/>
                <w:color w:val="auto"/>
              </w:rPr>
              <w:t>Net cash (used for) provided by operating activities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used for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Acquisition of property, plant, and equipment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(1,712)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Acquisition of intangible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vMerge w:val="restart"/>
          </w:tcPr>
          <w:p>
            <w:pPr>
              <w:ind w:left="1720"/>
              <w:spacing w:after="0"/>
              <w:rPr>
                <w:sz w:val="20"/>
                <w:szCs w:val="20"/>
                <w:color w:val="auto"/>
              </w:rPr>
            </w:pPr>
            <w:r>
              <w:rPr>
                <w:rFonts w:ascii="Arial" w:cs="Arial" w:eastAsia="Arial" w:hAnsi="Arial"/>
                <w:sz w:val="18"/>
                <w:szCs w:val="18"/>
                <w:color w:val="auto"/>
              </w:rPr>
              <w:t>Net cash used for investing activities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(1,928)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used for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Issuance of debt</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 of debt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Proceeds from stock options exercised</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Treasury stock purchased</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Excess tax benefit from stock-based compensation</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for financing activities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(7,312)</w:t>
            </w:r>
          </w:p>
        </w:tc>
        <w:tc>
          <w:tcPr>
            <w:tcW w:w="0" w:type="dxa"/>
            <w:vAlign w:val="bottom"/>
          </w:tcPr>
          <w:p>
            <w:pPr>
              <w:spacing w:after="0"/>
              <w:rPr>
                <w:sz w:val="1"/>
                <w:szCs w:val="1"/>
                <w:color w:val="auto"/>
              </w:rPr>
            </w:pP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29,372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54,249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24,312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45,088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 xml:space="preserve">Supplemental Cash Flow Information — </w:t>
      </w:r>
      <w:r>
        <w:rPr>
          <w:rFonts w:ascii="Arial" w:cs="Arial" w:eastAsia="Arial" w:hAnsi="Arial"/>
          <w:sz w:val="16"/>
          <w:szCs w:val="16"/>
          <w:i w:val="1"/>
          <w:iCs w:val="1"/>
          <w:color w:val="auto"/>
        </w:rPr>
        <w:t>We had income tax payments of $1.1 million and $4.7 million during the three months ended March 31, 2012</w:t>
      </w:r>
      <w:r>
        <w:rPr>
          <w:rFonts w:ascii="Arial" w:cs="Arial" w:eastAsia="Arial" w:hAnsi="Arial"/>
          <w:sz w:val="16"/>
          <w:szCs w:val="16"/>
          <w:color w:val="auto"/>
        </w:rPr>
        <w:t xml:space="preserve"> and </w:t>
      </w:r>
      <w:r>
        <w:rPr>
          <w:rFonts w:ascii="Arial" w:cs="Arial" w:eastAsia="Arial" w:hAnsi="Arial"/>
          <w:sz w:val="16"/>
          <w:szCs w:val="16"/>
          <w:i w:val="1"/>
          <w:iCs w:val="1"/>
          <w:color w:val="auto"/>
        </w:rPr>
        <w:t>2011,</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respectively. We had interest payments of $0.1 million and $0.1 million during the three months ended March 31, 2012 </w:t>
      </w:r>
      <w:r>
        <w:rPr>
          <w:rFonts w:ascii="Arial" w:cs="Arial" w:eastAsia="Arial" w:hAnsi="Arial"/>
          <w:sz w:val="16"/>
          <w:szCs w:val="16"/>
          <w:color w:val="auto"/>
        </w:rPr>
        <w:t>and</w:t>
      </w:r>
      <w:r>
        <w:rPr>
          <w:rFonts w:ascii="Arial" w:cs="Arial" w:eastAsia="Arial" w:hAnsi="Arial"/>
          <w:sz w:val="16"/>
          <w:szCs w:val="16"/>
          <w:i w:val="1"/>
          <w:iCs w:val="1"/>
          <w:color w:val="auto"/>
        </w:rPr>
        <w:t xml:space="preserve"> 2011,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Significant Accounting Policies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opinion of management, the accompanying consolidated financial statements of Universal Electronics Inc. and its wholly-owned subsidiaries contain all the adjustments necessary for a fair presentation of financial position, results of operations and cash flows for the periods presented. All such adjustments are of a normal recurring nature and certain reclassifications have been made to prior year amounts in order to conform to the current year presentation. Information and footnote disclosures normally included in financial statements, which are prepared in accordance with accounting principles generally accepted in the United States of America,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12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Our results of operations for the three months ended March 31, 2012 are not necessarily indicative of the results to be expected for the full year. These financial statements should be read in conjunction with the “Risk Factors,” “Management Discussion and Analysis of Financial Conditions and Results of Operations,” “Quantitative and Qualitative Disclosures About Market Risk,” and the “Financial Statements and Supplementary Data” and notes thereto included in Items 1A, 7, 7A, and 8, respectively, of our Annual Report on Form 10-K for the fiscal year ended December 31, 2011.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Judgments and Assumptions</w:t>
      </w:r>
    </w:p>
    <w:p>
      <w:pPr>
        <w:spacing w:after="0" w:line="9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judgments and assumptions, including those related to revenue recognition, allowance for sales returns and doubtful accounts, warranties, inventory valuation, business combination purchase price allocations, impairment of long-lived assets, intangible assets and goodwill, income taxes and stock-based compensation expense. Actual results may differ from our expectations. Based on our evaluation, our estimates, judgments and assumptions may be adjusted as more information becomes available. Any adjustment may be material.</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See Note 2 to the consolidated financial statements included in our Annual Report on Form 10-K for the year ended December 31, 2011 for a summary of our significant accounting policies.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Financial Accounting Standards Board (“FASB”) did not issue any Accounting Standards Update (“ASU”) during the first quarter of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During June 2011, the FASB issued ASU No. 2011-05 which requires an entity to present the components of net income and the components of other comprehensive income either in a single continuous statement or in two separate but consecutive statements. This pronouncement is effective for fiscal years, and interim periods within those years, beginning after December 15, 2011. We adopted this ASU beginning January 1, 2012.</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We adopted the following accounting standards during 2011, none of which had a material effect on our consolidated financial position and results of operations:</w:t>
      </w:r>
    </w:p>
    <w:p>
      <w:pPr>
        <w:spacing w:after="0" w:line="113" w:lineRule="exact"/>
        <w:rPr>
          <w:sz w:val="20"/>
          <w:szCs w:val="20"/>
          <w:color w:val="auto"/>
        </w:rPr>
      </w:pPr>
    </w:p>
    <w:p>
      <w:pPr>
        <w:ind w:left="900" w:right="80" w:hanging="325"/>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January 2010, the FASB issued ASU No. 2010-6 to improve the disclosure and transparency of fair value measurements. These amendments clarify the level of disaggregation required, and the necessary disclosures about the valuation techniques and inputs used to measure fair value for both recurring and nonrecurring fair value measurements. We adopted this ASU beginning January 1, 2011.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December 2010, the FASB issued ASU No. 2010-29 to address diversity in practice regarding the interpretation of the pro forma revenue and earnings disclosure requirements for business combinations. We adopted this ASU beginning January 1, 2011.</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October 2009, the FASB issued ASU No. 2009-14 to address accounting for arrangements that contain tangible products and software. We adopted this ASU beginning January 1, 2011.</w:t>
      </w:r>
    </w:p>
    <w:p>
      <w:pPr>
        <w:spacing w:after="0" w:line="50" w:lineRule="exact"/>
        <w:rPr>
          <w:rFonts w:ascii="Arial" w:cs="Arial" w:eastAsia="Arial" w:hAnsi="Arial"/>
          <w:sz w:val="18"/>
          <w:szCs w:val="18"/>
          <w:color w:val="auto"/>
        </w:rPr>
      </w:pPr>
    </w:p>
    <w:p>
      <w:pPr>
        <w:jc w:val="both"/>
        <w:ind w:left="900" w:right="42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October 2009, the FASB issued ASU No. 2009-13 to address the accounting for multiple-deliverable arrangements to enable vendors to account for products or services (deliverables) separately rather than as a combined accounting unit. We adopted this ASU beginning January 1,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and Cash Equivalents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Our cash and cash equivalents that were accounted for at fair value on a recurring basis on March 31, 2012 and December 31, 2011 were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March 31, 2012</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3"/>
              </w:rPr>
              <w:t>December 31, 2011</w:t>
            </w: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vMerge w:val="continue"/>
          </w:tcPr>
          <w:p>
            <w:pPr>
              <w:spacing w:after="0"/>
              <w:rPr>
                <w:sz w:val="12"/>
                <w:szCs w:val="12"/>
                <w:color w:val="auto"/>
              </w:rPr>
            </w:pPr>
          </w:p>
        </w:tc>
        <w:tc>
          <w:tcPr>
            <w:tcW w:w="2500" w:type="dxa"/>
            <w:vAlign w:val="bottom"/>
            <w:gridSpan w:val="6"/>
          </w:tcPr>
          <w:p>
            <w:pPr>
              <w:ind w:left="220"/>
              <w:spacing w:after="0" w:line="142" w:lineRule="exact"/>
              <w:rPr>
                <w:sz w:val="20"/>
                <w:szCs w:val="20"/>
                <w:color w:val="auto"/>
              </w:rPr>
            </w:pPr>
            <w:r>
              <w:rPr>
                <w:rFonts w:ascii="Arial" w:cs="Arial" w:eastAsia="Arial" w:hAnsi="Arial"/>
                <w:sz w:val="14"/>
                <w:szCs w:val="14"/>
                <w:b w:val="1"/>
                <w:bCs w:val="1"/>
                <w:color w:val="auto"/>
              </w:rPr>
              <w:t>Fair Value Measurement Using</w:t>
            </w: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5"/>
          </w:tcPr>
          <w:p>
            <w:pPr>
              <w:ind w:left="220"/>
              <w:spacing w:after="0" w:line="142" w:lineRule="exact"/>
              <w:rPr>
                <w:sz w:val="20"/>
                <w:szCs w:val="20"/>
                <w:color w:val="auto"/>
              </w:rPr>
            </w:pPr>
            <w:r>
              <w:rPr>
                <w:rFonts w:ascii="Arial" w:cs="Arial" w:eastAsia="Arial" w:hAnsi="Arial"/>
                <w:sz w:val="14"/>
                <w:szCs w:val="14"/>
                <w:b w:val="1"/>
                <w:bCs w:val="1"/>
                <w:color w:val="auto"/>
                <w:w w:val="96"/>
              </w:rPr>
              <w:t>Fair Value Measurement Using</w:t>
            </w:r>
          </w:p>
        </w:tc>
        <w:tc>
          <w:tcPr>
            <w:tcW w:w="30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line="142" w:lineRule="exact"/>
              <w:rPr>
                <w:sz w:val="20"/>
                <w:szCs w:val="20"/>
                <w:color w:val="auto"/>
              </w:rPr>
            </w:pPr>
            <w:r>
              <w:rPr>
                <w:rFonts w:ascii="Arial" w:cs="Arial" w:eastAsia="Arial" w:hAnsi="Arial"/>
                <w:sz w:val="14"/>
                <w:szCs w:val="14"/>
                <w:b w:val="1"/>
                <w:bCs w:val="1"/>
                <w:color w:val="auto"/>
              </w:rPr>
              <w:t>Description</w:t>
            </w:r>
          </w:p>
        </w:tc>
        <w:tc>
          <w:tcPr>
            <w:tcW w:w="880" w:type="dxa"/>
            <w:vAlign w:val="bottom"/>
            <w:tcBorders>
              <w:top w:val="single" w:sz="8" w:color="auto"/>
            </w:tcBorders>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(Level 1)</w:t>
            </w:r>
          </w:p>
        </w:tc>
        <w:tc>
          <w:tcPr>
            <w:tcW w:w="5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4"/>
              </w:rPr>
              <w:t>(Level 2)</w:t>
            </w: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(Level 3)</w:t>
            </w:r>
          </w:p>
        </w:tc>
        <w:tc>
          <w:tcPr>
            <w:tcW w:w="280" w:type="dxa"/>
            <w:vAlign w:val="bottom"/>
          </w:tcPr>
          <w:p>
            <w:pPr>
              <w:spacing w:after="0"/>
              <w:rPr>
                <w:sz w:val="12"/>
                <w:szCs w:val="12"/>
                <w:color w:val="auto"/>
              </w:rPr>
            </w:pPr>
          </w:p>
        </w:tc>
        <w:tc>
          <w:tcPr>
            <w:tcW w:w="74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81"/>
              </w:rPr>
              <w:t>Balance</w:t>
            </w:r>
          </w:p>
        </w:tc>
        <w:tc>
          <w:tcPr>
            <w:tcW w:w="140" w:type="dxa"/>
            <w:vAlign w:val="bottom"/>
          </w:tcPr>
          <w:p>
            <w:pPr>
              <w:spacing w:after="0"/>
              <w:rPr>
                <w:sz w:val="12"/>
                <w:szCs w:val="12"/>
                <w:color w:val="auto"/>
              </w:rPr>
            </w:pPr>
          </w:p>
        </w:tc>
        <w:tc>
          <w:tcPr>
            <w:tcW w:w="880" w:type="dxa"/>
            <w:vAlign w:val="bottom"/>
            <w:tcBorders>
              <w:top w:val="single" w:sz="8" w:color="auto"/>
            </w:tcBorders>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87"/>
              </w:rPr>
              <w:t>(Level 1)</w:t>
            </w: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(Level 2)</w:t>
            </w:r>
          </w:p>
        </w:tc>
        <w:tc>
          <w:tcPr>
            <w:tcW w:w="5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(Level 3)</w:t>
            </w:r>
          </w:p>
        </w:tc>
        <w:tc>
          <w:tcPr>
            <w:tcW w:w="300" w:type="dxa"/>
            <w:vAlign w:val="bottom"/>
          </w:tcPr>
          <w:p>
            <w:pPr>
              <w:spacing w:after="0"/>
              <w:rPr>
                <w:sz w:val="12"/>
                <w:szCs w:val="12"/>
                <w:color w:val="auto"/>
              </w:rPr>
            </w:pPr>
          </w:p>
        </w:tc>
        <w:tc>
          <w:tcPr>
            <w:tcW w:w="6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$24,312</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$24,312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$29,372</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$29,372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On March 31, 2012, we had approximately $2.0 million, $3.4 million, $15.6 million, $0.2 million and $3.1 million of cash and cash equivalents in the United States, Europe, Asia, Cayman Islands, and South America, respectively.</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December 31, 2011, we had approximately $4.1 million, $7.6 million, $16.5 million, $0.1 million, and $1.1 million of cash and cash equivalents in the United States, Europe, Asia, Cayman Islands and South America,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2 under the caption </w:t>
      </w:r>
      <w:r>
        <w:rPr>
          <w:rFonts w:ascii="Arial" w:cs="Arial" w:eastAsia="Arial" w:hAnsi="Arial"/>
          <w:sz w:val="16"/>
          <w:szCs w:val="16"/>
          <w:i w:val="1"/>
          <w:iCs w:val="1"/>
          <w:color w:val="auto"/>
        </w:rPr>
        <w:t>Cash and Cash Equivalents</w:t>
      </w:r>
      <w:r>
        <w:rPr>
          <w:rFonts w:ascii="Arial" w:cs="Arial" w:eastAsia="Arial" w:hAnsi="Arial"/>
          <w:sz w:val="16"/>
          <w:szCs w:val="16"/>
          <w:color w:val="auto"/>
        </w:rPr>
        <w:t xml:space="preserve"> in our Annual Report on Form 10-K for further information regarding our accounting principles.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Accounts Receivable, Net and Revenue Concentrations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consisted of the following on March 31, 2012 and December 31, 2011:</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9"/>
              </w:rPr>
              <w:t>March 31,</w:t>
            </w:r>
          </w:p>
        </w:tc>
        <w:tc>
          <w:tcPr>
            <w:tcW w:w="12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65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6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r>
      <w:tr>
        <w:trPr>
          <w:trHeight w:val="210"/>
        </w:trPr>
        <w:tc>
          <w:tcPr>
            <w:tcW w:w="6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Trade receivables, gross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$ 74,270</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82,305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(1,008)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(1,021)</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sales returns</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(981)</w:t>
            </w:r>
          </w:p>
        </w:tc>
      </w:tr>
      <w:tr>
        <w:trPr>
          <w:trHeight w:val="221"/>
        </w:trPr>
        <w:tc>
          <w:tcPr>
            <w:tcW w:w="6520" w:type="dxa"/>
            <w:vAlign w:val="bottom"/>
          </w:tcPr>
          <w:p>
            <w:pPr>
              <w:ind w:left="440"/>
              <w:spacing w:after="0"/>
              <w:rPr>
                <w:sz w:val="20"/>
                <w:szCs w:val="20"/>
                <w:color w:val="auto"/>
              </w:rPr>
            </w:pPr>
            <w:r>
              <w:rPr>
                <w:rFonts w:ascii="Arial" w:cs="Arial" w:eastAsia="Arial" w:hAnsi="Arial"/>
                <w:sz w:val="18"/>
                <w:szCs w:val="18"/>
                <w:color w:val="auto"/>
              </w:rPr>
              <w:t>Trade receivables, net</w:t>
            </w:r>
          </w:p>
        </w:tc>
        <w:tc>
          <w:tcPr>
            <w:tcW w:w="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72,476</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80,303</w:t>
            </w:r>
          </w:p>
        </w:tc>
        <w:tc>
          <w:tcPr>
            <w:tcW w:w="120" w:type="dxa"/>
            <w:vAlign w:val="bottom"/>
          </w:tcPr>
          <w:p>
            <w:pPr>
              <w:spacing w:after="0"/>
              <w:rPr>
                <w:sz w:val="19"/>
                <w:szCs w:val="19"/>
                <w:color w:val="auto"/>
              </w:rPr>
            </w:pPr>
          </w:p>
        </w:tc>
      </w:tr>
      <w:tr>
        <w:trPr>
          <w:trHeight w:val="218"/>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20" w:type="dxa"/>
            <w:vAlign w:val="bottom"/>
            <w:shd w:val="clear" w:color="auto" w:fill="CCEEFF"/>
          </w:tcPr>
          <w:p>
            <w:pPr>
              <w:spacing w:after="0"/>
              <w:rPr>
                <w:sz w:val="18"/>
                <w:szCs w:val="18"/>
                <w:color w:val="auto"/>
              </w:rPr>
            </w:pPr>
          </w:p>
        </w:tc>
      </w:tr>
      <w:tr>
        <w:trPr>
          <w:trHeight w:val="222"/>
        </w:trPr>
        <w:tc>
          <w:tcPr>
            <w:tcW w:w="652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$ 73,817</w:t>
            </w:r>
          </w:p>
        </w:tc>
        <w:tc>
          <w:tcPr>
            <w:tcW w:w="340" w:type="dxa"/>
            <w:vAlign w:val="bottom"/>
          </w:tcPr>
          <w:p>
            <w:pPr>
              <w:spacing w:after="0"/>
              <w:rPr>
                <w:sz w:val="19"/>
                <w:szCs w:val="19"/>
                <w:color w:val="auto"/>
              </w:rPr>
            </w:pPr>
          </w:p>
        </w:tc>
        <w:tc>
          <w:tcPr>
            <w:tcW w:w="4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82,184</w:t>
            </w:r>
          </w:p>
        </w:tc>
        <w:tc>
          <w:tcPr>
            <w:tcW w:w="12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doubtful accounts during the three months ended March 31, 2012 and 2011 were the following:</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-7620</wp:posOffset>
            </wp:positionV>
            <wp:extent cx="5575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6"/>
          <w:szCs w:val="16"/>
          <w:color w:val="auto"/>
        </w:rPr>
        <w:t>Valuation account for trade receivables</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Three months ended March 31, 2012</w:t>
      </w:r>
    </w:p>
    <w:p>
      <w:pPr>
        <w:spacing w:after="0" w:line="44" w:lineRule="exact"/>
        <w:rPr>
          <w:sz w:val="20"/>
          <w:szCs w:val="20"/>
          <w:color w:val="auto"/>
        </w:rPr>
      </w:pPr>
    </w:p>
    <w:p>
      <w:pPr>
        <w:ind w:left="900"/>
        <w:spacing w:after="0"/>
        <w:rPr>
          <w:sz w:val="20"/>
          <w:szCs w:val="20"/>
          <w:color w:val="auto"/>
        </w:rPr>
      </w:pPr>
      <w:r>
        <w:rPr>
          <w:rFonts w:ascii="Arial" w:cs="Arial" w:eastAsia="Arial" w:hAnsi="Arial"/>
          <w:sz w:val="15"/>
          <w:szCs w:val="15"/>
          <w:color w:val="auto"/>
        </w:rPr>
        <w:t>Three months ended March 31, 2011</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820" w:type="dxa"/>
        <w:tblCellMar>
          <w:top w:w="0" w:type="dxa"/>
          <w:left w:w="0" w:type="dxa"/>
          <w:bottom w:w="0" w:type="dxa"/>
          <w:right w:w="0" w:type="dxa"/>
        </w:tblCellMar>
      </w:tblPr>
      <w:tr>
        <w:trPr>
          <w:trHeight w:val="161"/>
        </w:trPr>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Additions</w:t>
            </w:r>
          </w:p>
        </w:tc>
        <w:tc>
          <w:tcPr>
            <w:tcW w:w="34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Write-</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49"/>
        </w:trPr>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9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to Costs</w:t>
            </w:r>
          </w:p>
        </w:tc>
        <w:tc>
          <w:tcPr>
            <w:tcW w:w="340" w:type="dxa"/>
            <w:vAlign w:val="bottom"/>
          </w:tcPr>
          <w:p>
            <w:pPr>
              <w:spacing w:after="0"/>
              <w:rPr>
                <w:sz w:val="12"/>
                <w:szCs w:val="12"/>
                <w:color w:val="auto"/>
              </w:rPr>
            </w:pPr>
          </w:p>
        </w:tc>
        <w:tc>
          <w:tcPr>
            <w:tcW w:w="11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offs/</w:t>
            </w: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Balance at</w:t>
            </w:r>
          </w:p>
        </w:tc>
      </w:tr>
      <w:tr>
        <w:trPr>
          <w:trHeight w:val="149"/>
        </w:trPr>
        <w:tc>
          <w:tcPr>
            <w:tcW w:w="100" w:type="dxa"/>
            <w:vAlign w:val="bottom"/>
          </w:tcPr>
          <w:p>
            <w:pPr>
              <w:spacing w:after="0"/>
              <w:rPr>
                <w:sz w:val="12"/>
                <w:szCs w:val="12"/>
                <w:color w:val="auto"/>
              </w:rPr>
            </w:pPr>
          </w:p>
        </w:tc>
        <w:tc>
          <w:tcPr>
            <w:tcW w:w="12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of</w:t>
            </w:r>
          </w:p>
        </w:tc>
        <w:tc>
          <w:tcPr>
            <w:tcW w:w="140" w:type="dxa"/>
            <w:vAlign w:val="bottom"/>
          </w:tcPr>
          <w:p>
            <w:pPr>
              <w:spacing w:after="0"/>
              <w:rPr>
                <w:sz w:val="12"/>
                <w:szCs w:val="12"/>
                <w:color w:val="auto"/>
              </w:rPr>
            </w:pPr>
          </w:p>
        </w:tc>
        <w:tc>
          <w:tcPr>
            <w:tcW w:w="8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6"/>
              </w:rPr>
              <w:t>and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FX</w:t>
            </w:r>
          </w:p>
        </w:tc>
        <w:tc>
          <w:tcPr>
            <w:tcW w:w="100" w:type="dxa"/>
            <w:vAlign w:val="bottom"/>
          </w:tcPr>
          <w:p>
            <w:pPr>
              <w:spacing w:after="0"/>
              <w:rPr>
                <w:sz w:val="12"/>
                <w:szCs w:val="12"/>
                <w:color w:val="auto"/>
              </w:rPr>
            </w:pPr>
          </w:p>
        </w:tc>
        <w:tc>
          <w:tcPr>
            <w:tcW w:w="50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w w:val="87"/>
              </w:rPr>
              <w:t>End of</w:t>
            </w:r>
          </w:p>
        </w:tc>
      </w:tr>
      <w:tr>
        <w:trPr>
          <w:trHeight w:val="161"/>
        </w:trPr>
        <w:tc>
          <w:tcPr>
            <w:tcW w:w="100" w:type="dxa"/>
            <w:vAlign w:val="bottom"/>
          </w:tcPr>
          <w:p>
            <w:pPr>
              <w:spacing w:after="0"/>
              <w:rPr>
                <w:sz w:val="14"/>
                <w:szCs w:val="14"/>
                <w:color w:val="auto"/>
              </w:rPr>
            </w:pPr>
          </w:p>
        </w:tc>
        <w:tc>
          <w:tcPr>
            <w:tcW w:w="520" w:type="dxa"/>
            <w:vAlign w:val="bottom"/>
          </w:tcPr>
          <w:p>
            <w:pPr>
              <w:jc w:val="right"/>
              <w:ind w:right="42"/>
              <w:spacing w:after="0"/>
              <w:rPr>
                <w:sz w:val="20"/>
                <w:szCs w:val="20"/>
                <w:color w:val="auto"/>
              </w:rPr>
            </w:pPr>
            <w:r>
              <w:rPr>
                <w:rFonts w:ascii="Arial" w:cs="Arial" w:eastAsia="Arial" w:hAnsi="Arial"/>
                <w:sz w:val="14"/>
                <w:szCs w:val="14"/>
                <w:b w:val="1"/>
                <w:bCs w:val="1"/>
                <w:color w:val="auto"/>
                <w:w w:val="87"/>
              </w:rPr>
              <w:t>Period</w:t>
            </w:r>
          </w:p>
        </w:tc>
        <w:tc>
          <w:tcPr>
            <w:tcW w:w="7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Expenses</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Effects</w:t>
            </w:r>
          </w:p>
        </w:tc>
        <w:tc>
          <w:tcPr>
            <w:tcW w:w="100" w:type="dxa"/>
            <w:vAlign w:val="bottom"/>
          </w:tcPr>
          <w:p>
            <w:pPr>
              <w:spacing w:after="0"/>
              <w:rPr>
                <w:sz w:val="14"/>
                <w:szCs w:val="14"/>
                <w:color w:val="auto"/>
              </w:rPr>
            </w:pPr>
          </w:p>
        </w:tc>
        <w:tc>
          <w:tcPr>
            <w:tcW w:w="500" w:type="dxa"/>
            <w:vAlign w:val="bottom"/>
          </w:tcPr>
          <w:p>
            <w:pPr>
              <w:jc w:val="right"/>
              <w:ind w:right="22"/>
              <w:spacing w:after="0"/>
              <w:rPr>
                <w:sz w:val="20"/>
                <w:szCs w:val="20"/>
                <w:color w:val="auto"/>
              </w:rPr>
            </w:pPr>
            <w:r>
              <w:rPr>
                <w:rFonts w:ascii="Arial" w:cs="Arial" w:eastAsia="Arial" w:hAnsi="Arial"/>
                <w:sz w:val="14"/>
                <w:szCs w:val="14"/>
                <w:b w:val="1"/>
                <w:bCs w:val="1"/>
                <w:color w:val="auto"/>
                <w:w w:val="87"/>
              </w:rPr>
              <w:t>Period</w:t>
            </w:r>
          </w:p>
        </w:tc>
      </w:tr>
      <w:tr>
        <w:trPr>
          <w:trHeight w:val="20"/>
        </w:trPr>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404"/>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1,021</w:t>
            </w:r>
          </w:p>
        </w:tc>
        <w:tc>
          <w:tcPr>
            <w:tcW w:w="7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1,008</w:t>
            </w:r>
          </w:p>
        </w:tc>
      </w:tr>
      <w:tr>
        <w:trPr>
          <w:trHeight w:val="222"/>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878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8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-3309620</wp:posOffset>
            </wp:positionH>
            <wp:positionV relativeFrom="paragraph">
              <wp:posOffset>-409575</wp:posOffset>
            </wp:positionV>
            <wp:extent cx="666369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-3309620</wp:posOffset>
            </wp:positionH>
            <wp:positionV relativeFrom="paragraph">
              <wp:posOffset>-135255</wp:posOffset>
            </wp:positionV>
            <wp:extent cx="666369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4960" w:space="720"/>
            <w:col w:w="574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9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allowance for sales returns balance at March 31, 2012 and December 31, 2011 contained reserves for items returned prior to year-end, but were not completely processed, and therefore had not yet been removed from the allowance for sales returns balance. If these returns had been fully processed, the allowance for sales returns balance would have been approximately $0.5 million and $0.7 million on March 31, 2012 and December 31, 2011, respectively. The value of these returned goods was included in our inventory balance at March 31, 2012 and December 31, 2011.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three months ended March 31, 2012, we had net sales to one significant customer, that when combined with its sub-contractors, totaled more than 10% of our net sales. During the three months ended March 31, 2011, we had net sales to one significant customer, that when combined with its sub-contractors, totaled more than 10% of our net sales as follows: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86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2011</w:t>
            </w:r>
          </w:p>
        </w:tc>
        <w:tc>
          <w:tcPr>
            <w:tcW w:w="8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2"/>
              </w:rPr>
              <w:t>(thousands)</w:t>
            </w:r>
          </w:p>
        </w:tc>
        <w:tc>
          <w:tcPr>
            <w:tcW w:w="5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 of Net Sales</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2"/>
              </w:rPr>
              <w:t>(thousands)</w:t>
            </w:r>
          </w:p>
        </w:tc>
        <w:tc>
          <w:tcPr>
            <w:tcW w:w="580" w:type="dxa"/>
            <w:vAlign w:val="bottom"/>
          </w:tcPr>
          <w:p>
            <w:pPr>
              <w:spacing w:after="0"/>
              <w:rPr>
                <w:sz w:val="12"/>
                <w:szCs w:val="12"/>
                <w:color w:val="auto"/>
              </w:rPr>
            </w:pPr>
          </w:p>
        </w:tc>
        <w:tc>
          <w:tcPr>
            <w:tcW w:w="8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4"/>
              </w:rPr>
              <w:t>% of Net Sales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DIRECTV</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16,211</w:t>
            </w:r>
          </w:p>
        </w:tc>
        <w:tc>
          <w:tcPr>
            <w:tcW w:w="12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Sony</w:t>
            </w: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14,959</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with these customers were the following on March 31, 2012 and December 31,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gridSpan w:val="4"/>
          </w:tcPr>
          <w:p>
            <w:pPr>
              <w:jc w:val="right"/>
              <w:ind w:right="1240"/>
              <w:spacing w:after="0"/>
              <w:rPr>
                <w:sz w:val="20"/>
                <w:szCs w:val="20"/>
                <w:color w:val="auto"/>
              </w:rPr>
            </w:pPr>
            <w:r>
              <w:rPr>
                <w:rFonts w:ascii="Arial" w:cs="Arial" w:eastAsia="Arial" w:hAnsi="Arial"/>
                <w:sz w:val="14"/>
                <w:szCs w:val="14"/>
                <w:b w:val="1"/>
                <w:bCs w:val="1"/>
                <w:color w:val="auto"/>
              </w:rPr>
              <w:t>March 31, 2012</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29"/>
        </w:trPr>
        <w:tc>
          <w:tcPr>
            <w:tcW w:w="47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 of Accounts</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 of Accounts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Receivable,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Receivable,</w:t>
            </w: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4"/>
              </w:rPr>
              <w:t>(thousands)</w:t>
            </w:r>
          </w:p>
        </w:tc>
        <w:tc>
          <w:tcPr>
            <w:tcW w:w="7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Net</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2"/>
              </w:rPr>
              <w:t>(thousands)</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DIRECTV</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7,074</w:t>
            </w:r>
          </w:p>
        </w:tc>
        <w:tc>
          <w:tcPr>
            <w:tcW w:w="74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tcPr>
          <w:p>
            <w:pPr>
              <w:spacing w:after="0"/>
              <w:rPr>
                <w:sz w:val="20"/>
                <w:szCs w:val="20"/>
                <w:color w:val="auto"/>
              </w:rPr>
            </w:pPr>
            <w:r>
              <w:rPr>
                <w:rFonts w:ascii="Arial" w:cs="Arial" w:eastAsia="Arial" w:hAnsi="Arial"/>
                <w:sz w:val="18"/>
                <w:szCs w:val="18"/>
                <w:color w:val="auto"/>
              </w:rPr>
              <w:t>Sony</w:t>
            </w:r>
          </w:p>
        </w:tc>
        <w:tc>
          <w:tcPr>
            <w:tcW w:w="80" w:type="dxa"/>
            <w:vAlign w:val="bottom"/>
          </w:tcPr>
          <w:p>
            <w:pPr>
              <w:spacing w:after="0"/>
              <w:rPr>
                <w:sz w:val="19"/>
                <w:szCs w:val="19"/>
                <w:color w:val="auto"/>
              </w:rPr>
            </w:pPr>
          </w:p>
        </w:tc>
        <w:tc>
          <w:tcPr>
            <w:tcW w:w="14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7,064</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loss of these customers or any other customer, either in the United States or abroad, due to their financial weakness or bankruptcy, or our inability to obtain orders or maintain our order volume with them, may have a material effect on our financial condition, results of operations and cash flows.</w:t>
      </w:r>
    </w:p>
    <w:p>
      <w:pPr>
        <w:spacing w:after="0" w:line="8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See Note 2 under the captions </w:t>
      </w:r>
      <w:r>
        <w:rPr>
          <w:rFonts w:ascii="Arial" w:cs="Arial" w:eastAsia="Arial" w:hAnsi="Arial"/>
          <w:sz w:val="18"/>
          <w:szCs w:val="18"/>
          <w:i w:val="1"/>
          <w:iCs w:val="1"/>
          <w:color w:val="auto"/>
        </w:rPr>
        <w:t>Revenue Recognition and Sales Allowances</w:t>
      </w:r>
      <w:r>
        <w:rPr>
          <w:rFonts w:ascii="Arial" w:cs="Arial" w:eastAsia="Arial" w:hAnsi="Arial"/>
          <w:sz w:val="18"/>
          <w:szCs w:val="18"/>
          <w:color w:val="auto"/>
        </w:rPr>
        <w:t xml:space="preserve"> and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in our Annual Report on Form 10-K for further information regarding our accounting principles.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 Net and Significant Suppliers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 on March 31, 2012 and December 31, 2011:</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8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March 31,</w:t>
            </w:r>
          </w:p>
        </w:tc>
        <w:tc>
          <w:tcPr>
            <w:tcW w:w="12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36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5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9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$ 15,207</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Components</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22,227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Finished goods</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49,176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54,447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29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Inventories, net</w:t>
            </w:r>
          </w:p>
        </w:tc>
        <w:tc>
          <w:tcPr>
            <w:tcW w:w="29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20" w:type="dxa"/>
            <w:vAlign w:val="bottom"/>
            <w:vMerge w:val="continue"/>
          </w:tcPr>
          <w:p>
            <w:pPr>
              <w:spacing w:after="0"/>
              <w:rPr>
                <w:sz w:val="19"/>
                <w:szCs w:val="19"/>
                <w:color w:val="auto"/>
              </w:rPr>
            </w:pPr>
          </w:p>
        </w:tc>
        <w:tc>
          <w:tcPr>
            <w:tcW w:w="2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2"/>
              </w:rPr>
              <w:t>$ 85,131</w:t>
            </w:r>
          </w:p>
        </w:tc>
        <w:tc>
          <w:tcPr>
            <w:tcW w:w="340" w:type="dxa"/>
            <w:vAlign w:val="bottom"/>
          </w:tcPr>
          <w:p>
            <w:pPr>
              <w:spacing w:after="0"/>
              <w:rPr>
                <w:sz w:val="19"/>
                <w:szCs w:val="19"/>
                <w:color w:val="auto"/>
              </w:rPr>
            </w:pPr>
          </w:p>
        </w:tc>
        <w:tc>
          <w:tcPr>
            <w:tcW w:w="4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90,904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900" w:type="dxa"/>
            <w:vAlign w:val="bottom"/>
            <w:vMerge w:val="restart"/>
          </w:tcPr>
          <w:p>
            <w:pPr>
              <w:jc w:val="right"/>
              <w:ind w:right="2059"/>
              <w:spacing w:after="0"/>
              <w:rPr>
                <w:sz w:val="20"/>
                <w:szCs w:val="20"/>
                <w:color w:val="auto"/>
              </w:rPr>
            </w:pPr>
            <w:r>
              <w:rPr>
                <w:rFonts w:ascii="Arial" w:cs="Arial" w:eastAsia="Arial" w:hAnsi="Arial"/>
                <w:sz w:val="18"/>
                <w:szCs w:val="18"/>
                <w:color w:val="auto"/>
              </w:rPr>
              <w:t>9</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2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Excess and Obsolete Inventory</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Changes in the reserve for excess and obsolete inventory during the three months ended March 31, 2012 and 2011 were composed of the following:</w:t>
      </w:r>
    </w:p>
    <w:p>
      <w:pPr>
        <w:sectPr>
          <w:pgSz w:w="11900" w:h="16838" w:orient="portrait"/>
          <w:cols w:equalWidth="0" w:num="1">
            <w:col w:w="11320"/>
          </w:cols>
          <w:pgMar w:left="240" w:top="459"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575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jc w:val="both"/>
        <w:ind w:left="440" w:right="2360" w:hanging="431"/>
        <w:spacing w:after="0" w:line="335" w:lineRule="auto"/>
        <w:rPr>
          <w:sz w:val="20"/>
          <w:szCs w:val="20"/>
          <w:color w:val="auto"/>
        </w:rPr>
      </w:pPr>
      <w:r>
        <w:rPr>
          <w:rFonts w:ascii="Arial" w:cs="Arial" w:eastAsia="Arial" w:hAnsi="Arial"/>
          <w:sz w:val="15"/>
          <w:szCs w:val="15"/>
          <w:color w:val="auto"/>
        </w:rPr>
        <w:t>Reserve for excess and obsolete inventory: Three Months Ended March 31, 2012 Three Months Ended March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Additions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49"/>
        </w:trPr>
        <w:tc>
          <w:tcPr>
            <w:tcW w:w="12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Balance at</w:t>
            </w: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Charged to</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Balance at</w:t>
            </w:r>
          </w:p>
        </w:tc>
      </w:tr>
      <w:tr>
        <w:trPr>
          <w:trHeight w:val="134"/>
        </w:trPr>
        <w:tc>
          <w:tcPr>
            <w:tcW w:w="12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Beginning of</w:t>
            </w:r>
          </w:p>
        </w:tc>
        <w:tc>
          <w:tcPr>
            <w:tcW w:w="92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Costs and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rPr>
              <w:t>Sell</w:t>
            </w:r>
          </w:p>
        </w:tc>
        <w:tc>
          <w:tcPr>
            <w:tcW w:w="220" w:type="dxa"/>
            <w:vAlign w:val="bottom"/>
          </w:tcPr>
          <w:p>
            <w:pPr>
              <w:spacing w:after="0"/>
              <w:rPr>
                <w:sz w:val="11"/>
                <w:szCs w:val="11"/>
                <w:color w:val="auto"/>
              </w:rPr>
            </w:pPr>
          </w:p>
        </w:tc>
        <w:tc>
          <w:tcPr>
            <w:tcW w:w="9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Write-offs/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22"/>
              <w:spacing w:after="0" w:line="135" w:lineRule="exact"/>
              <w:rPr>
                <w:sz w:val="20"/>
                <w:szCs w:val="20"/>
                <w:color w:val="auto"/>
              </w:rPr>
            </w:pPr>
            <w:r>
              <w:rPr>
                <w:rFonts w:ascii="Arial" w:cs="Arial" w:eastAsia="Arial" w:hAnsi="Arial"/>
                <w:sz w:val="14"/>
                <w:szCs w:val="14"/>
                <w:b w:val="1"/>
                <w:bCs w:val="1"/>
                <w:color w:val="auto"/>
                <w:w w:val="87"/>
              </w:rPr>
              <w:t>End of</w:t>
            </w:r>
          </w:p>
        </w:tc>
      </w:tr>
      <w:tr>
        <w:trPr>
          <w:trHeight w:val="176"/>
        </w:trPr>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7"/>
              </w:rPr>
              <w:t>Period</w:t>
            </w:r>
          </w:p>
        </w:tc>
        <w:tc>
          <w:tcPr>
            <w:tcW w:w="440" w:type="dxa"/>
            <w:vAlign w:val="bottom"/>
          </w:tcPr>
          <w:p>
            <w:pPr>
              <w:spacing w:after="0"/>
              <w:rPr>
                <w:sz w:val="15"/>
                <w:szCs w:val="15"/>
                <w:color w:val="auto"/>
              </w:rPr>
            </w:pPr>
          </w:p>
        </w:tc>
        <w:tc>
          <w:tcPr>
            <w:tcW w:w="700" w:type="dxa"/>
            <w:vAlign w:val="bottom"/>
            <w:tcBorders>
              <w:bottom w:val="single" w:sz="8" w:color="auto"/>
            </w:tcBorders>
            <w:gridSpan w:val="2"/>
          </w:tcPr>
          <w:p>
            <w:pPr>
              <w:ind w:left="20"/>
              <w:spacing w:after="0" w:line="176" w:lineRule="exact"/>
              <w:rPr>
                <w:sz w:val="20"/>
                <w:szCs w:val="20"/>
                <w:color w:val="auto"/>
              </w:rPr>
            </w:pPr>
            <w:r>
              <w:rPr>
                <w:rFonts w:ascii="Arial" w:cs="Arial" w:eastAsia="Arial" w:hAnsi="Arial"/>
                <w:sz w:val="13"/>
                <w:szCs w:val="13"/>
                <w:b w:val="1"/>
                <w:bCs w:val="1"/>
                <w:color w:val="auto"/>
                <w:w w:val="85"/>
              </w:rPr>
              <w:t>Expenses</w:t>
            </w:r>
            <w:r>
              <w:rPr>
                <w:rFonts w:ascii="Arial" w:cs="Arial" w:eastAsia="Arial" w:hAnsi="Arial"/>
                <w:sz w:val="20"/>
                <w:szCs w:val="20"/>
                <w:b w:val="1"/>
                <w:bCs w:val="1"/>
                <w:color w:val="auto"/>
                <w:w w:val="85"/>
                <w:vertAlign w:val="superscript"/>
              </w:rPr>
              <w:t>(1)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3"/>
                <w:szCs w:val="13"/>
                <w:b w:val="1"/>
                <w:bCs w:val="1"/>
                <w:color w:val="auto"/>
                <w:w w:val="92"/>
              </w:rPr>
              <w:t>Through</w:t>
            </w:r>
            <w:r>
              <w:rPr>
                <w:rFonts w:ascii="Arial" w:cs="Arial" w:eastAsia="Arial" w:hAnsi="Arial"/>
                <w:sz w:val="20"/>
                <w:szCs w:val="20"/>
                <w:b w:val="1"/>
                <w:bCs w:val="1"/>
                <w:color w:val="auto"/>
                <w:w w:val="92"/>
                <w:vertAlign w:val="superscript"/>
              </w:rPr>
              <w:t>(2)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FX Effects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87"/>
              </w:rPr>
              <w:t>Period</w:t>
            </w:r>
          </w:p>
        </w:tc>
      </w:tr>
      <w:tr>
        <w:trPr>
          <w:trHeight w:val="40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3,447</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718</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(354)</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(583)</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3,228</w:t>
            </w:r>
          </w:p>
        </w:tc>
      </w:t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2,135</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788</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(311)</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(340)</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-409575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-135255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5440" w:space="720"/>
            <w:col w:w="5160"/>
          </w:cols>
          <w:pgMar w:left="240" w:top="459" w:right="339" w:bottom="1440" w:gutter="0" w:footer="0" w:header="0"/>
          <w:type w:val="continuous"/>
        </w:sectPr>
      </w:pPr>
    </w:p>
    <w:p>
      <w:pPr>
        <w:jc w:val="both"/>
        <w:ind w:left="460" w:right="80" w:hanging="452"/>
        <w:spacing w:after="0" w:line="235" w:lineRule="auto"/>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The additions charged to costs and expenses does not include inventory directly written-off that was scrapped during production totaling $0.2 million and $0.1 million for the three months ended March 31, 2012 and 2011. These amounts are production waste and are not included in management’s reserve for excess and obsolete inventory.</w:t>
      </w:r>
    </w:p>
    <w:p>
      <w:pPr>
        <w:spacing w:after="0" w:line="1" w:lineRule="exact"/>
        <w:rPr>
          <w:rFonts w:ascii="Arial" w:cs="Arial" w:eastAsia="Arial" w:hAnsi="Arial"/>
          <w:sz w:val="22"/>
          <w:szCs w:val="22"/>
          <w:color w:val="auto"/>
          <w:vertAlign w:val="superscript"/>
        </w:rPr>
      </w:pPr>
    </w:p>
    <w:p>
      <w:pPr>
        <w:ind w:left="460" w:right="100" w:hanging="452"/>
        <w:spacing w:after="0" w:line="233" w:lineRule="auto"/>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This column represents the gross book value of inventory items sold during the period that had been previously written down to zero net book value. Sell through is the result of differences between our judgment concerning the salability of inventory items during the excess and obsolete inventory review process and our subsequent experience.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Inventory write-downs for excess and obsolescence are a normal part of our business and result primarily from product life cycle estimation variances.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Inventories</w:t>
      </w:r>
      <w:r>
        <w:rPr>
          <w:rFonts w:ascii="Arial" w:cs="Arial" w:eastAsia="Arial" w:hAnsi="Arial"/>
          <w:sz w:val="18"/>
          <w:szCs w:val="18"/>
          <w:color w:val="auto"/>
        </w:rPr>
        <w:t xml:space="preserve"> in our Annual Report on Form 10-K for further information regarding our accounting principles.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9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purchase integrated circuits, used principally in our wireless control products, primarily from Samsung. The total purchased from Samsung was greater than 10% of our total inventory purchases for the three months ended March 31, 2012. In addition, our purchases from Samjin, a component and finished good supplier, amounted to greater than 10% of our total inventory purchases for the three months ended March 31, 2012. Our purchases from Samsung and Computime each amounted to greater than 10% of our total inventory purchases for the three months ended March 31, 2011.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2012 and 2011, the amounts purchased from these three suppliers were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157"/>
              <w:spacing w:after="0"/>
              <w:rPr>
                <w:sz w:val="20"/>
                <w:szCs w:val="20"/>
                <w:color w:val="auto"/>
              </w:rPr>
            </w:pPr>
            <w:r>
              <w:rPr>
                <w:rFonts w:ascii="Arial" w:cs="Arial" w:eastAsia="Arial" w:hAnsi="Arial"/>
                <w:sz w:val="14"/>
                <w:szCs w:val="14"/>
                <w:b w:val="1"/>
                <w:bCs w:val="1"/>
                <w:color w:val="auto"/>
                <w:w w:val="90"/>
              </w:rPr>
              <w:t>Three Months Ended March 31,</w:t>
            </w: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29"/>
        </w:trPr>
        <w:tc>
          <w:tcPr>
            <w:tcW w:w="5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200" w:type="dxa"/>
            <w:vAlign w:val="bottom"/>
          </w:tcPr>
          <w:p>
            <w:pPr>
              <w:spacing w:after="0"/>
              <w:rPr>
                <w:sz w:val="11"/>
                <w:szCs w:val="11"/>
                <w:color w:val="auto"/>
              </w:rPr>
            </w:pPr>
          </w:p>
        </w:tc>
      </w:tr>
      <w:tr>
        <w:trPr>
          <w:trHeight w:val="149"/>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49"/>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1"/>
              </w:rPr>
              <w:t>Inventory</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Inventory</w:t>
            </w:r>
          </w:p>
        </w:tc>
      </w:tr>
      <w:tr>
        <w:trPr>
          <w:trHeight w:val="161"/>
        </w:trPr>
        <w:tc>
          <w:tcPr>
            <w:tcW w:w="5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(thousands)</w:t>
            </w:r>
          </w:p>
        </w:tc>
        <w:tc>
          <w:tcPr>
            <w:tcW w:w="6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Purchases</w:t>
            </w: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(thousands)</w:t>
            </w:r>
          </w:p>
        </w:tc>
        <w:tc>
          <w:tcPr>
            <w:tcW w:w="6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Purchases</w:t>
            </w:r>
          </w:p>
        </w:tc>
        <w:tc>
          <w:tcPr>
            <w:tcW w:w="200" w:type="dxa"/>
            <w:vAlign w:val="bottom"/>
            <w:tcBorders>
              <w:bottom w:val="single" w:sz="8" w:color="CCEEFF"/>
            </w:tcBorders>
          </w:tcPr>
          <w:p>
            <w:pPr>
              <w:spacing w:after="0"/>
              <w:rPr>
                <w:sz w:val="14"/>
                <w:szCs w:val="14"/>
                <w:color w:val="auto"/>
              </w:rPr>
            </w:pPr>
          </w:p>
        </w:tc>
      </w:tr>
      <w:tr>
        <w:trPr>
          <w:trHeight w:val="210"/>
        </w:trPr>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Samsung</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3"/>
              </w:rPr>
              <w:t>11.8%</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Computime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5,691</w:t>
            </w: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w w:val="79"/>
              </w:rPr>
              <w:t>10.1</w:t>
            </w:r>
          </w:p>
        </w:tc>
        <w:tc>
          <w:tcPr>
            <w:tcW w:w="2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Samjin</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79"/>
              </w:rPr>
              <w:t>12.2</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total accounts payable to each of these suppliers on March 31, 2012 and December 31, 2011 were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ind w:left="520"/>
              <w:spacing w:after="0"/>
              <w:rPr>
                <w:sz w:val="20"/>
                <w:szCs w:val="20"/>
                <w:color w:val="auto"/>
              </w:rPr>
            </w:pPr>
            <w:r>
              <w:rPr>
                <w:rFonts w:ascii="Arial" w:cs="Arial" w:eastAsia="Arial" w:hAnsi="Arial"/>
                <w:sz w:val="14"/>
                <w:szCs w:val="14"/>
                <w:b w:val="1"/>
                <w:bCs w:val="1"/>
                <w:color w:val="auto"/>
                <w:w w:val="96"/>
              </w:rPr>
              <w:t>March 31, 2012</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ind w:left="44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29"/>
        </w:trPr>
        <w:tc>
          <w:tcPr>
            <w:tcW w:w="29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9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4"/>
              </w:rPr>
              <w:t>Accounts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Accounts</w:t>
            </w:r>
          </w:p>
        </w:tc>
        <w:tc>
          <w:tcPr>
            <w:tcW w:w="0" w:type="dxa"/>
            <w:vAlign w:val="bottom"/>
          </w:tcPr>
          <w:p>
            <w:pPr>
              <w:spacing w:after="0"/>
              <w:rPr>
                <w:sz w:val="1"/>
                <w:szCs w:val="1"/>
                <w:color w:val="auto"/>
              </w:rPr>
            </w:pPr>
          </w:p>
        </w:tc>
      </w:tr>
      <w:tr>
        <w:trPr>
          <w:trHeight w:val="161"/>
        </w:trPr>
        <w:tc>
          <w:tcPr>
            <w:tcW w:w="29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(thousands)</w:t>
            </w:r>
          </w:p>
        </w:tc>
        <w:tc>
          <w:tcPr>
            <w:tcW w:w="14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6"/>
              </w:rPr>
              <w:t>Payable</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2"/>
              </w:rPr>
              <w:t>(thousands)</w:t>
            </w: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Payable</w:t>
            </w:r>
          </w:p>
        </w:tc>
        <w:tc>
          <w:tcPr>
            <w:tcW w:w="0" w:type="dxa"/>
            <w:vAlign w:val="bottom"/>
          </w:tcPr>
          <w:p>
            <w:pPr>
              <w:spacing w:after="0"/>
              <w:rPr>
                <w:sz w:val="1"/>
                <w:szCs w:val="1"/>
                <w:color w:val="auto"/>
              </w:rPr>
            </w:pPr>
          </w:p>
        </w:tc>
      </w:tr>
      <w:tr>
        <w:trPr>
          <w:trHeight w:val="20"/>
        </w:trPr>
        <w:tc>
          <w:tcPr>
            <w:tcW w:w="2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Samsung</w:t>
            </w:r>
          </w:p>
        </w:tc>
        <w:tc>
          <w:tcPr>
            <w:tcW w:w="2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vMerge w:val="continue"/>
            <w:shd w:val="clear" w:color="auto" w:fill="CCEEFF"/>
          </w:tcPr>
          <w:p>
            <w:pPr>
              <w:spacing w:after="0"/>
              <w:rPr>
                <w:sz w:val="18"/>
                <w:szCs w:val="18"/>
                <w:color w:val="auto"/>
              </w:rPr>
            </w:pPr>
          </w:p>
        </w:tc>
        <w:tc>
          <w:tcPr>
            <w:tcW w:w="2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82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82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3.1%</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Computime</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1,431</w:t>
            </w:r>
          </w:p>
        </w:tc>
        <w:tc>
          <w:tcPr>
            <w:tcW w:w="820" w:type="dxa"/>
            <w:vAlign w:val="bottom"/>
          </w:tcPr>
          <w:p>
            <w:pPr>
              <w:spacing w:after="0"/>
              <w:rPr>
                <w:sz w:val="18"/>
                <w:szCs w:val="18"/>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w w:val="79"/>
              </w:rPr>
              <w:t>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Samjin</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w:t>
            </w:r>
          </w:p>
        </w:tc>
        <w:tc>
          <w:tcPr>
            <w:tcW w:w="8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2980" w:type="dxa"/>
            <w:vAlign w:val="bottom"/>
          </w:tcPr>
          <w:p>
            <w:pPr>
              <w:spacing w:after="0"/>
              <w:rPr>
                <w:sz w:val="24"/>
                <w:szCs w:val="24"/>
                <w:color w:val="auto"/>
              </w:rPr>
            </w:pPr>
          </w:p>
        </w:tc>
        <w:tc>
          <w:tcPr>
            <w:tcW w:w="2920" w:type="dxa"/>
            <w:vAlign w:val="bottom"/>
            <w:gridSpan w:val="3"/>
          </w:tcPr>
          <w:p>
            <w:pPr>
              <w:jc w:val="right"/>
              <w:ind w:right="480"/>
              <w:spacing w:after="0"/>
              <w:rPr>
                <w:sz w:val="20"/>
                <w:szCs w:val="20"/>
                <w:color w:val="auto"/>
              </w:rPr>
            </w:pPr>
            <w:r>
              <w:rPr>
                <w:rFonts w:ascii="Arial" w:cs="Arial" w:eastAsia="Arial" w:hAnsi="Arial"/>
                <w:sz w:val="18"/>
                <w:szCs w:val="18"/>
                <w:color w:val="auto"/>
              </w:rPr>
              <w:t>10</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identified alternative sources of supply for these integrated circuits, components, and finished goods; however, there can be no assurance that we will be able to continue to obtain these inventory purchases on a timely basis. We generally maintain inventories of our integrated circuits, which may be utilized to mitigate, but not eliminate, delays resulting from supply interruptions. An extended interruption, shortage or termination in the supply of any of the components used in our products, a reduction in their quality or reliability, or a significant increase in the prices of components, would have an adverse effect on our operating results, financial condition and cash flows.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Vendor</w:t>
      </w:r>
    </w:p>
    <w:p>
      <w:pPr>
        <w:spacing w:after="0" w:line="9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We purchase certain printed circuit board assemblies (“PCBAs”) from a related party vendor. The vendor is considered a related party for financial reporting purposes because the Senior Vice President of Manufacturing of Enson Assets Limited (“Enson”) owns 40% of this vendor. Our purchases from this vendor for the three months ended March 31, 2012 totaled approximately $1.4 million or 2.7% of total inventory purchases. Our purchases from this vendor for the three months ended March 31, 2011 totaled $1.7 million or 3.0% of total inventory purchases. Payable amounts outstanding to this vendor were approximately $1.0 million and $1.9 million on March 31, 2012 and December 31, 2011, respectively. Our payment terms and pricing with this vendor are consistent with the terms offered by other vendors in the ordinary course of business. The accounting policies that we apply to our transactions with our related party are consistent with those applied in transactions with independent third parties. Corporate management routinely monitors purchases from our related party vendor to ensure these purchases remain consistent with our business objectives.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 Net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Under the accounting guidance, the unit of accounting for goodwill is at a level of reporting referred to as a “reporting unit.” A reporting unit is either (1) an operating segment or (2) one level below an operating segment — referred to as a component. During the fourth quarter 2010, as a result of us flattening our management structure, we merged our international component with our domestic component. We no longer have segment management of the international component and the financial results of our international component are not separate. In addition, these components have similar economic characteristics. As a result of these changes, our domestic and international components have been merged into our single operating segment.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goodwill balance on March 31, 2012 and the changes in the carrying amount of goodwill during the three months ended March 31, 2012 were the following:</w:t>
      </w:r>
    </w:p>
    <w:p>
      <w:pPr>
        <w:spacing w:after="0" w:line="2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$30,820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 xml:space="preserve">Goodwill adjustment </w:t>
            </w:r>
            <w:r>
              <w:rPr>
                <w:rFonts w:ascii="Arial" w:cs="Arial" w:eastAsia="Arial" w:hAnsi="Arial"/>
                <w:sz w:val="11"/>
                <w:szCs w:val="11"/>
                <w:color w:val="auto"/>
              </w:rPr>
              <w:t>(1)</w:t>
            </w:r>
          </w:p>
        </w:tc>
        <w:tc>
          <w:tcPr>
            <w:tcW w:w="24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2012</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30,882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100" w:hanging="452"/>
        <w:spacing w:after="0" w:line="228" w:lineRule="auto"/>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The adjustment, which relates to international goodwill, was the result of fluctuations in the foreign currency exchange rates used to translate the balances into U.S. dollars.</w:t>
      </w:r>
    </w:p>
    <w:p>
      <w:pPr>
        <w:spacing w:after="0" w:line="157"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 xml:space="preserve">Please see Note 2 under the captions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and </w:t>
      </w:r>
      <w:r>
        <w:rPr>
          <w:rFonts w:ascii="Arial" w:cs="Arial" w:eastAsia="Arial" w:hAnsi="Arial"/>
          <w:sz w:val="18"/>
          <w:szCs w:val="18"/>
          <w:i w:val="1"/>
          <w:iCs w:val="1"/>
          <w:color w:val="auto"/>
        </w:rPr>
        <w:t>Fair-Value Measurements</w:t>
      </w:r>
      <w:r>
        <w:rPr>
          <w:rFonts w:ascii="Arial" w:cs="Arial" w:eastAsia="Arial" w:hAnsi="Arial"/>
          <w:sz w:val="18"/>
          <w:szCs w:val="18"/>
          <w:color w:val="auto"/>
        </w:rPr>
        <w:t xml:space="preserve"> in our Annual Report on Form 10-K for further information regarding our accounting principles and the valuation methodology utilized.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on March 31, 2012 and December 31, 2011 were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March 31, 2012</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8"/>
              </w:rPr>
              <w:t>December 31, 2011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8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500" w:type="dxa"/>
            <w:vAlign w:val="bottom"/>
          </w:tcPr>
          <w:p>
            <w:pPr>
              <w:jc w:val="right"/>
              <w:ind w:right="55"/>
              <w:spacing w:after="0"/>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4"/>
                <w:szCs w:val="14"/>
                <w:color w:val="auto"/>
              </w:rPr>
            </w:pPr>
          </w:p>
        </w:tc>
        <w:tc>
          <w:tcPr>
            <w:tcW w:w="48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1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6"/>
        </w:trPr>
        <w:tc>
          <w:tcPr>
            <w:tcW w:w="5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Carrying amount</w:t>
            </w:r>
            <w:r>
              <w:rPr>
                <w:rFonts w:ascii="Arial" w:cs="Arial" w:eastAsia="Arial" w:hAnsi="Arial"/>
                <w:sz w:val="11"/>
                <w:szCs w:val="11"/>
                <w:color w:val="auto"/>
              </w:rPr>
              <w:t>(1)</w:t>
            </w: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440"/>
              <w:spacing w:after="0"/>
              <w:rPr>
                <w:sz w:val="20"/>
                <w:szCs w:val="20"/>
                <w:color w:val="auto"/>
              </w:rPr>
            </w:pPr>
            <w:r>
              <w:rPr>
                <w:rFonts w:ascii="Arial" w:cs="Arial" w:eastAsia="Arial" w:hAnsi="Arial"/>
                <w:sz w:val="18"/>
                <w:szCs w:val="18"/>
                <w:color w:val="auto"/>
              </w:rPr>
              <w:t>Distribution rights (10 years)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383</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372</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Patents (10 years)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(3,591)</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4,181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440"/>
              <w:spacing w:after="0"/>
              <w:rPr>
                <w:sz w:val="20"/>
                <w:szCs w:val="20"/>
                <w:color w:val="auto"/>
              </w:rPr>
            </w:pPr>
            <w:r>
              <w:rPr>
                <w:rFonts w:ascii="Arial" w:cs="Arial" w:eastAsia="Arial" w:hAnsi="Arial"/>
                <w:sz w:val="18"/>
                <w:szCs w:val="18"/>
                <w:color w:val="auto"/>
              </w:rPr>
              <w:t>Trademarks and trade names (10 years)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2,837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(913)</w:t>
            </w: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2,837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Developed and core technology (5-15 years)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(729)</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2,771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440"/>
              <w:spacing w:after="0"/>
              <w:rPr>
                <w:sz w:val="20"/>
                <w:szCs w:val="20"/>
                <w:color w:val="auto"/>
              </w:rPr>
            </w:pPr>
            <w:r>
              <w:rPr>
                <w:rFonts w:ascii="Arial" w:cs="Arial" w:eastAsia="Arial" w:hAnsi="Arial"/>
                <w:sz w:val="18"/>
                <w:szCs w:val="18"/>
                <w:color w:val="auto"/>
              </w:rPr>
              <w:t>Capitalized software development costs (1-2 years)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1,050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(681)</w:t>
            </w: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1,515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(1,108)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 relationships (10-15 years)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26,370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(3,942)</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22,428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26,367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Total carrying amount</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41,912</w:t>
            </w:r>
          </w:p>
        </w:tc>
        <w:tc>
          <w:tcPr>
            <w:tcW w:w="3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(9,907)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32,005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44,079</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(11,265)</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32,814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21"/>
          <w:szCs w:val="21"/>
          <w:color w:val="auto"/>
          <w:vertAlign w:val="superscript"/>
        </w:rPr>
      </w:pPr>
      <w:r>
        <w:rPr>
          <w:rFonts w:ascii="Arial" w:cs="Arial" w:eastAsia="Arial" w:hAnsi="Arial"/>
          <w:sz w:val="17"/>
          <w:szCs w:val="17"/>
          <w:color w:val="auto"/>
        </w:rPr>
        <w:t>This table excludes fully amortized intangible assets of $10.5 million and $8.1 million on March 31, 2012 and December 31, 2011, respectively.</w:t>
      </w:r>
    </w:p>
    <w:p>
      <w:pPr>
        <w:spacing w:after="0" w:line="156"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Amortization expense is recorded in selling, general and administrative expenses, except amortization expense related to capitalized software development costs which is recorded in cost of sales. Amortization expense by income statement caption for the three months ended March 31, 2012 and 2011 is the following:</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8"/>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8120" w:type="dxa"/>
            <w:vAlign w:val="bottom"/>
            <w:gridSpan w:val="3"/>
            <w:vMerge w:val="restart"/>
          </w:tcPr>
          <w:p>
            <w:pPr>
              <w:ind w:left="138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4"/>
                <w:szCs w:val="14"/>
                <w:color w:val="auto"/>
              </w:rPr>
            </w:pPr>
          </w:p>
        </w:tc>
        <w:tc>
          <w:tcPr>
            <w:tcW w:w="1120" w:type="dxa"/>
            <w:vAlign w:val="bottom"/>
            <w:tcBorders>
              <w:bottom w:val="single" w:sz="8" w:color="auto"/>
            </w:tcBorders>
            <w:gridSpan w:val="6"/>
          </w:tcPr>
          <w:p>
            <w:pPr>
              <w:ind w:left="420"/>
              <w:spacing w:after="0"/>
              <w:rPr>
                <w:sz w:val="20"/>
                <w:szCs w:val="20"/>
                <w:color w:val="auto"/>
              </w:rPr>
            </w:pPr>
            <w:r>
              <w:rPr>
                <w:rFonts w:ascii="Arial" w:cs="Arial" w:eastAsia="Arial" w:hAnsi="Arial"/>
                <w:sz w:val="14"/>
                <w:szCs w:val="14"/>
                <w:b w:val="1"/>
                <w:bCs w:val="1"/>
                <w:color w:val="auto"/>
              </w:rPr>
              <w:t>March 31,</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2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ind w:left="120"/>
              <w:spacing w:after="0" w:line="142" w:lineRule="exact"/>
              <w:rPr>
                <w:sz w:val="20"/>
                <w:szCs w:val="20"/>
                <w:color w:val="auto"/>
              </w:rPr>
            </w:pPr>
            <w:r>
              <w:rPr>
                <w:rFonts w:ascii="Arial" w:cs="Arial" w:eastAsia="Arial" w:hAnsi="Arial"/>
                <w:sz w:val="14"/>
                <w:szCs w:val="14"/>
                <w:b w:val="1"/>
                <w:bCs w:val="1"/>
                <w:color w:val="auto"/>
                <w:w w:val="96"/>
              </w:rPr>
              <w:t>2012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ind w:right="80"/>
              <w:spacing w:after="0"/>
              <w:rPr>
                <w:sz w:val="20"/>
                <w:szCs w:val="20"/>
                <w:color w:val="auto"/>
              </w:rPr>
            </w:pPr>
            <w:r>
              <w:rPr>
                <w:rFonts w:ascii="Arial" w:cs="Arial" w:eastAsia="Arial" w:hAnsi="Arial"/>
                <w:sz w:val="11"/>
                <w:szCs w:val="11"/>
                <w:b w:val="1"/>
                <w:bCs w:val="1"/>
                <w:color w:val="auto"/>
                <w:w w:val="7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81</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958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$ 1,039</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1,072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gridSpan w:val="3"/>
            <w:vMerge w:val="restart"/>
          </w:tcPr>
          <w:p>
            <w:pPr>
              <w:spacing w:after="0"/>
              <w:rPr>
                <w:sz w:val="20"/>
                <w:szCs w:val="20"/>
                <w:color w:val="auto"/>
              </w:rPr>
            </w:pPr>
            <w:r>
              <w:rPr>
                <w:rFonts w:ascii="Arial" w:cs="Arial" w:eastAsia="Arial" w:hAnsi="Arial"/>
                <w:sz w:val="18"/>
                <w:szCs w:val="18"/>
                <w:color w:val="auto"/>
                <w:w w:val="92"/>
              </w:rPr>
              <w:t>Estimated future amortization expense related to our intangible assets, net at March 31, 2012, is the following:</w:t>
            </w: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12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6740" w:type="dxa"/>
            <w:vAlign w:val="bottom"/>
            <w:gridSpan w:val="2"/>
          </w:tcPr>
          <w:p>
            <w:pPr>
              <w:ind w:left="46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2012 (remaining 9 months)</w:t>
            </w:r>
          </w:p>
        </w:tc>
        <w:tc>
          <w:tcPr>
            <w:tcW w:w="880" w:type="dxa"/>
            <w:vAlign w:val="bottom"/>
            <w:gridSpan w:val="4"/>
            <w:shd w:val="clear" w:color="auto" w:fill="CCEEFF"/>
          </w:tcPr>
          <w:p>
            <w:pPr>
              <w:ind w:left="80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2013</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4,013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2015</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3,794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13,440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32,005</w:t>
            </w: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gridSpan w:val="3"/>
            <w:vMerge w:val="restart"/>
          </w:tcPr>
          <w:p>
            <w:pPr>
              <w:jc w:val="right"/>
              <w:ind w:right="2232"/>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12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Measured at Fair Value on a Nonrecurring Basis</w:t>
      </w:r>
    </w:p>
    <w:p>
      <w:pPr>
        <w:spacing w:after="0" w:line="9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did not record any material impairment charges related to our intangible assets during the three months ended March 31, 2012. Impairment charges are recorded in selling, general and administrative expenses as a component of amortization expense, except impairment charges related to capitalized software development costs which are recorded in cost of sales. The fair value adjustments for intangible assets measured at fair value on a nonrecurring basis during the three months ended March 31, 2012 were composed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Fair Value Measurement Using</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780" w:type="dxa"/>
            <w:vAlign w:val="bottom"/>
          </w:tcPr>
          <w:p>
            <w:pPr>
              <w:spacing w:after="0"/>
              <w:rPr>
                <w:sz w:val="12"/>
                <w:szCs w:val="12"/>
                <w:color w:val="auto"/>
              </w:rPr>
            </w:pPr>
          </w:p>
        </w:tc>
        <w:tc>
          <w:tcPr>
            <w:tcW w:w="180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80" w:type="dxa"/>
            <w:vAlign w:val="bottom"/>
          </w:tcPr>
          <w:p>
            <w:pPr>
              <w:spacing w:after="0"/>
              <w:rPr>
                <w:sz w:val="12"/>
                <w:szCs w:val="12"/>
                <w:color w:val="auto"/>
              </w:rPr>
            </w:pPr>
          </w:p>
        </w:tc>
        <w:tc>
          <w:tcPr>
            <w:tcW w:w="15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7"/>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2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4"/>
        </w:trPr>
        <w:tc>
          <w:tcPr>
            <w:tcW w:w="400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47"/>
              <w:spacing w:after="0" w:line="135" w:lineRule="exact"/>
              <w:rPr>
                <w:sz w:val="20"/>
                <w:szCs w:val="20"/>
                <w:color w:val="auto"/>
              </w:rPr>
            </w:pPr>
            <w:r>
              <w:rPr>
                <w:rFonts w:ascii="Arial" w:cs="Arial" w:eastAsia="Arial" w:hAnsi="Arial"/>
                <w:sz w:val="14"/>
                <w:szCs w:val="14"/>
                <w:b w:val="1"/>
                <w:bCs w:val="1"/>
                <w:color w:val="auto"/>
                <w:w w:val="78"/>
              </w:rPr>
              <w:t>Assets</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tcPr>
          <w:p>
            <w:pPr>
              <w:jc w:val="center"/>
              <w:ind w:right="920"/>
              <w:spacing w:after="0" w:line="135" w:lineRule="exact"/>
              <w:rPr>
                <w:sz w:val="20"/>
                <w:szCs w:val="20"/>
                <w:color w:val="auto"/>
              </w:rPr>
            </w:pPr>
            <w:r>
              <w:rPr>
                <w:rFonts w:ascii="Arial" w:cs="Arial" w:eastAsia="Arial" w:hAnsi="Arial"/>
                <w:sz w:val="14"/>
                <w:szCs w:val="14"/>
                <w:b w:val="1"/>
                <w:bCs w:val="1"/>
                <w:color w:val="auto"/>
                <w:w w:val="85"/>
              </w:rPr>
              <w:t>Inputs</w:t>
            </w:r>
          </w:p>
        </w:tc>
        <w:tc>
          <w:tcPr>
            <w:tcW w:w="80" w:type="dxa"/>
            <w:vAlign w:val="bottom"/>
          </w:tcPr>
          <w:p>
            <w:pPr>
              <w:spacing w:after="0"/>
              <w:rPr>
                <w:sz w:val="11"/>
                <w:szCs w:val="11"/>
                <w:color w:val="auto"/>
              </w:rPr>
            </w:pPr>
          </w:p>
        </w:tc>
        <w:tc>
          <w:tcPr>
            <w:tcW w:w="1540" w:type="dxa"/>
            <w:vAlign w:val="bottom"/>
            <w:gridSpan w:val="2"/>
          </w:tcPr>
          <w:p>
            <w:pPr>
              <w:jc w:val="center"/>
              <w:ind w:right="880"/>
              <w:spacing w:after="0" w:line="135" w:lineRule="exact"/>
              <w:rPr>
                <w:sz w:val="20"/>
                <w:szCs w:val="20"/>
                <w:color w:val="auto"/>
              </w:rPr>
            </w:pPr>
            <w:r>
              <w:rPr>
                <w:rFonts w:ascii="Arial" w:cs="Arial" w:eastAsia="Arial" w:hAnsi="Arial"/>
                <w:sz w:val="14"/>
                <w:szCs w:val="14"/>
                <w:b w:val="1"/>
                <w:bCs w:val="1"/>
                <w:color w:val="auto"/>
                <w:w w:val="90"/>
              </w:rPr>
              <w:t>Inputs</w:t>
            </w: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149"/>
        </w:trPr>
        <w:tc>
          <w:tcPr>
            <w:tcW w:w="40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Description</w:t>
            </w:r>
          </w:p>
        </w:tc>
        <w:tc>
          <w:tcPr>
            <w:tcW w:w="9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8"/>
              </w:rPr>
              <w:t>March 31, 2012</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7"/>
              <w:spacing w:after="0" w:line="129" w:lineRule="exact"/>
              <w:rPr>
                <w:sz w:val="20"/>
                <w:szCs w:val="20"/>
                <w:color w:val="auto"/>
              </w:rPr>
            </w:pPr>
            <w:r>
              <w:rPr>
                <w:rFonts w:ascii="Arial" w:cs="Arial" w:eastAsia="Arial" w:hAnsi="Arial"/>
                <w:sz w:val="14"/>
                <w:szCs w:val="14"/>
                <w:b w:val="1"/>
                <w:bCs w:val="1"/>
                <w:color w:val="auto"/>
                <w:w w:val="87"/>
              </w:rPr>
              <w:t>(Level 1)</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920"/>
              <w:spacing w:after="0" w:line="129" w:lineRule="exact"/>
              <w:rPr>
                <w:sz w:val="20"/>
                <w:szCs w:val="20"/>
                <w:color w:val="auto"/>
              </w:rPr>
            </w:pPr>
            <w:r>
              <w:rPr>
                <w:rFonts w:ascii="Arial" w:cs="Arial" w:eastAsia="Arial" w:hAnsi="Arial"/>
                <w:sz w:val="14"/>
                <w:szCs w:val="14"/>
                <w:b w:val="1"/>
                <w:bCs w:val="1"/>
                <w:color w:val="auto"/>
                <w:w w:val="91"/>
              </w:rPr>
              <w:t>(Level 2)</w:t>
            </w:r>
          </w:p>
        </w:tc>
        <w:tc>
          <w:tcPr>
            <w:tcW w:w="80" w:type="dxa"/>
            <w:vAlign w:val="bottom"/>
          </w:tcPr>
          <w:p>
            <w:pPr>
              <w:spacing w:after="0"/>
              <w:rPr>
                <w:sz w:val="12"/>
                <w:szCs w:val="12"/>
                <w:color w:val="auto"/>
              </w:rPr>
            </w:pPr>
          </w:p>
        </w:tc>
        <w:tc>
          <w:tcPr>
            <w:tcW w:w="1540" w:type="dxa"/>
            <w:vAlign w:val="bottom"/>
            <w:gridSpan w:val="2"/>
          </w:tcPr>
          <w:p>
            <w:pPr>
              <w:jc w:val="center"/>
              <w:ind w:right="880"/>
              <w:spacing w:after="0" w:line="129" w:lineRule="exact"/>
              <w:rPr>
                <w:sz w:val="20"/>
                <w:szCs w:val="20"/>
                <w:color w:val="auto"/>
              </w:rPr>
            </w:pPr>
            <w:r>
              <w:rPr>
                <w:rFonts w:ascii="Arial" w:cs="Arial" w:eastAsia="Arial" w:hAnsi="Arial"/>
                <w:sz w:val="14"/>
                <w:szCs w:val="14"/>
                <w:b w:val="1"/>
                <w:bCs w:val="1"/>
                <w:color w:val="auto"/>
                <w:w w:val="87"/>
              </w:rPr>
              <w:t>(Level 3)</w:t>
            </w: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3"/>
              </w:rPr>
              <w:t>(Losses)</w:t>
            </w:r>
          </w:p>
        </w:tc>
        <w:tc>
          <w:tcPr>
            <w:tcW w:w="0" w:type="dxa"/>
            <w:vAlign w:val="bottom"/>
          </w:tcPr>
          <w:p>
            <w:pPr>
              <w:spacing w:after="0"/>
              <w:rPr>
                <w:sz w:val="1"/>
                <w:szCs w:val="1"/>
                <w:color w:val="auto"/>
              </w:rPr>
            </w:pP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Patents, trademarks and trade names</w:t>
            </w:r>
          </w:p>
        </w:tc>
        <w:tc>
          <w:tcPr>
            <w:tcW w:w="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6,105</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60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62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6,105</w:t>
            </w: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7"/>
              <w:spacing w:after="0" w:line="196" w:lineRule="exact"/>
              <w:rPr>
                <w:sz w:val="20"/>
                <w:szCs w:val="20"/>
                <w:color w:val="auto"/>
              </w:rPr>
            </w:pPr>
            <w:r>
              <w:rPr>
                <w:rFonts w:ascii="Arial" w:cs="Arial" w:eastAsia="Arial" w:hAnsi="Arial"/>
                <w:sz w:val="18"/>
                <w:szCs w:val="18"/>
                <w:color w:val="auto"/>
                <w:w w:val="94"/>
              </w:rPr>
              <w:t>$  —</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300"/>
        <w:spacing w:after="0" w:line="370" w:lineRule="auto"/>
        <w:rPr>
          <w:sz w:val="20"/>
          <w:szCs w:val="20"/>
          <w:color w:val="auto"/>
        </w:rPr>
      </w:pPr>
      <w:r>
        <w:rPr>
          <w:rFonts w:ascii="Arial" w:cs="Arial" w:eastAsia="Arial" w:hAnsi="Arial"/>
          <w:sz w:val="15"/>
          <w:szCs w:val="15"/>
          <w:color w:val="auto"/>
        </w:rPr>
        <w:t>We disposed of eight patents with an immaterial aggregate carrying amount during the three months ended March 31, 2012. We disposed of one patent and 10 trademarks with an aggregate carrying amount of $1 thousand resulting in impairment charges of $1 thousand during the three months ended March 31, 2011.</w:t>
      </w:r>
    </w:p>
    <w:p>
      <w:pPr>
        <w:spacing w:after="0" w:line="62"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 xml:space="preserve">See Note 2 under the captions </w:t>
      </w:r>
      <w:r>
        <w:rPr>
          <w:rFonts w:ascii="Arial" w:cs="Arial" w:eastAsia="Arial" w:hAnsi="Arial"/>
          <w:sz w:val="16"/>
          <w:szCs w:val="16"/>
          <w:i w:val="1"/>
          <w:iCs w:val="1"/>
          <w:color w:val="auto"/>
        </w:rPr>
        <w:t>Long-Lived Assets and Intangible Assets Impairment</w:t>
      </w:r>
      <w:r>
        <w:rPr>
          <w:rFonts w:ascii="Arial" w:cs="Arial" w:eastAsia="Arial" w:hAnsi="Arial"/>
          <w:sz w:val="16"/>
          <w:szCs w:val="16"/>
          <w:color w:val="auto"/>
        </w:rPr>
        <w:t xml:space="preserve">, </w:t>
      </w:r>
      <w:r>
        <w:rPr>
          <w:rFonts w:ascii="Arial" w:cs="Arial" w:eastAsia="Arial" w:hAnsi="Arial"/>
          <w:sz w:val="16"/>
          <w:szCs w:val="16"/>
          <w:i w:val="1"/>
          <w:iCs w:val="1"/>
          <w:color w:val="auto"/>
        </w:rPr>
        <w:t>Capitalized Software Development Costs</w:t>
      </w:r>
      <w:r>
        <w:rPr>
          <w:rFonts w:ascii="Arial" w:cs="Arial" w:eastAsia="Arial" w:hAnsi="Arial"/>
          <w:sz w:val="16"/>
          <w:szCs w:val="16"/>
          <w:color w:val="auto"/>
        </w:rPr>
        <w:t xml:space="preserve">, and </w:t>
      </w:r>
      <w:r>
        <w:rPr>
          <w:rFonts w:ascii="Arial" w:cs="Arial" w:eastAsia="Arial" w:hAnsi="Arial"/>
          <w:sz w:val="16"/>
          <w:szCs w:val="16"/>
          <w:i w:val="1"/>
          <w:iCs w:val="1"/>
          <w:color w:val="auto"/>
        </w:rPr>
        <w:t>Fair-Value Measurements</w:t>
      </w:r>
      <w:r>
        <w:rPr>
          <w:rFonts w:ascii="Arial" w:cs="Arial" w:eastAsia="Arial" w:hAnsi="Arial"/>
          <w:sz w:val="16"/>
          <w:szCs w:val="16"/>
          <w:color w:val="auto"/>
        </w:rPr>
        <w:t xml:space="preserve"> in our Annual Report on Form 10-K for further information regarding our accounting principles and valuation methodology utilized.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Notes Payable and Line of Credit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Notes payable and line of credit on March 31, 2012 and December 31, 2011 were composed of the following:</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99"/>
              </w:rPr>
              <w:t>Amount Outstanding</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gridSpan w:val="2"/>
            <w:vMerge w:val="continue"/>
          </w:tcPr>
          <w:p>
            <w:pPr>
              <w:spacing w:after="0"/>
              <w:rPr>
                <w:sz w:val="12"/>
                <w:szCs w:val="12"/>
                <w:color w:val="auto"/>
              </w:rPr>
            </w:pPr>
          </w:p>
        </w:tc>
        <w:tc>
          <w:tcPr>
            <w:tcW w:w="162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March 31, 2012</w:t>
            </w:r>
          </w:p>
        </w:tc>
        <w:tc>
          <w:tcPr>
            <w:tcW w:w="1980" w:type="dxa"/>
            <w:vAlign w:val="bottom"/>
            <w:gridSpan w:val="3"/>
          </w:tcPr>
          <w:p>
            <w:pPr>
              <w:ind w:left="880"/>
              <w:spacing w:after="0" w:line="142" w:lineRule="exact"/>
              <w:rPr>
                <w:sz w:val="20"/>
                <w:szCs w:val="20"/>
                <w:color w:val="auto"/>
              </w:rPr>
            </w:pPr>
            <w:r>
              <w:rPr>
                <w:rFonts w:ascii="Arial" w:cs="Arial" w:eastAsia="Arial" w:hAnsi="Arial"/>
                <w:sz w:val="14"/>
                <w:szCs w:val="14"/>
                <w:b w:val="1"/>
                <w:bCs w:val="1"/>
                <w:color w:val="auto"/>
                <w:w w:val="85"/>
              </w:rPr>
              <w:t>December 31,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U.S. Bank Term Loan Facility</w:t>
            </w:r>
            <w:r>
              <w:rPr>
                <w:rFonts w:ascii="Arial" w:cs="Arial" w:eastAsia="Arial" w:hAnsi="Arial"/>
                <w:sz w:val="11"/>
                <w:szCs w:val="11"/>
                <w:color w:val="auto"/>
              </w:rPr>
              <w:t>(1)</w:t>
            </w:r>
          </w:p>
        </w:tc>
        <w:tc>
          <w:tcPr>
            <w:tcW w:w="1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12,200</w:t>
            </w:r>
          </w:p>
        </w:tc>
        <w:tc>
          <w:tcPr>
            <w:tcW w:w="8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U.S. Bank Revolving Credit Line</w:t>
            </w:r>
            <w:r>
              <w:rPr>
                <w:rFonts w:ascii="Arial" w:cs="Arial" w:eastAsia="Arial" w:hAnsi="Arial"/>
                <w:sz w:val="11"/>
                <w:szCs w:val="11"/>
                <w:color w:val="auto"/>
              </w:rPr>
              <w:t>(2)</w:t>
            </w:r>
          </w:p>
        </w:tc>
        <w:tc>
          <w:tcPr>
            <w:tcW w:w="1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8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8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14,200</w:t>
            </w:r>
          </w:p>
        </w:tc>
        <w:tc>
          <w:tcPr>
            <w:tcW w:w="13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100" w:hanging="452"/>
        <w:spacing w:after="0" w:line="267" w:lineRule="auto"/>
        <w:tabs>
          <w:tab w:leader="none" w:pos="460" w:val="left"/>
        </w:tabs>
        <w:numPr>
          <w:ilvl w:val="0"/>
          <w:numId w:val="8"/>
        </w:numPr>
        <w:rPr>
          <w:rFonts w:ascii="Arial" w:cs="Arial" w:eastAsia="Arial" w:hAnsi="Arial"/>
          <w:sz w:val="20"/>
          <w:szCs w:val="20"/>
          <w:color w:val="auto"/>
          <w:vertAlign w:val="superscript"/>
        </w:rPr>
      </w:pPr>
      <w:r>
        <w:rPr>
          <w:rFonts w:ascii="Arial" w:cs="Arial" w:eastAsia="Arial" w:hAnsi="Arial"/>
          <w:sz w:val="16"/>
          <w:szCs w:val="16"/>
          <w:color w:val="auto"/>
        </w:rPr>
        <w:t>Under the U.S. Bank term loan, we may elect to pay interest based on the bank’s prime rate or LIBOR plus a fixed margin of 1.5%. The applicable LIBOR (1, 3, 6, or 12-month LIBOR) corresponds with the loan period we select. On March 31, 2012, the 1-month LIBOR plus the fixed margin was approximately 1.7% and the bank’s prime rate was 3.25%. If a LIBOR rate loan is prepaid prior to the completion of the loan period, the Company must pay the bank the difference between the interest the bank would have earned had prepayment not occurred and the interest the bank actually earned.</w:t>
      </w:r>
    </w:p>
    <w:p>
      <w:pPr>
        <w:ind w:left="460" w:hanging="452"/>
        <w:spacing w:after="0" w:line="256" w:lineRule="auto"/>
        <w:tabs>
          <w:tab w:leader="none" w:pos="460" w:val="left"/>
        </w:tabs>
        <w:numPr>
          <w:ilvl w:val="0"/>
          <w:numId w:val="8"/>
        </w:numPr>
        <w:rPr>
          <w:rFonts w:ascii="Arial" w:cs="Arial" w:eastAsia="Arial" w:hAnsi="Arial"/>
          <w:sz w:val="21"/>
          <w:szCs w:val="21"/>
          <w:color w:val="auto"/>
          <w:vertAlign w:val="superscript"/>
        </w:rPr>
      </w:pPr>
      <w:r>
        <w:rPr>
          <w:rFonts w:ascii="Arial" w:cs="Arial" w:eastAsia="Arial" w:hAnsi="Arial"/>
          <w:sz w:val="17"/>
          <w:szCs w:val="17"/>
          <w:color w:val="auto"/>
        </w:rPr>
        <w:t>Under the U.S. Bank secured revolving credit line, we may elect to pay interest based on the bank’s prime rate or LIBOR plus a fixed margin of 1.8%. The applicable LIBOR (1, 3, 6, or 12-month LIBOR) corresponds with the loan period we select. At March 31, 2012, the 1-month LIBOR plus the fixed margin was approximately 2.0% and the bank’s prime rate was 3.25%. If a LIBOR rate loan is prepaid prior to the completion of the loan period, we must pay the bank the difference between the interest the bank would have earned had prepayment not occurred and the interest the bank actually earned. We may prepay prime rate loans in whole or in part at any time without a premium or penalty.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-1265555</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Our total interest expense on borrowings was $0.1 million during each of the three months ended March 31, 2012 and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utilize our estimated annual effective tax rate to determine our provision for income taxes for interim periods. The income tax provision is computed by taking the estimated annual effective tax rate and multiplying it by the year-to-date pre-tax book income. We recorded income tax expense of $0.3 million and $0.6 million for the three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months ended March 31, 2012 and 2011, respectively. Our effective tax rate was 16.4% and 24.4% during the three months ended March 31, 2012 and 2011, respectively. The decline in our effective tax rate is due to the reversal of unrecognized tax benefits originally recorded in 2008 and 2009 which amounted to $0.2 million.</w:t>
      </w:r>
    </w:p>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On March 31, 2012, we had gross unrecognized tax benefits of approximately $5.4 million, including interest and penalties, of which approximately $4.8 million would affect the annual effective tax rate if these tax benefits are realized. Further, we are unaware of any positions for which it is reasonably possible that the total amount of unrecognized tax benefits will significantly increase within the next twelve months. However, based on federal, state and foreign statute expirations in various jurisdictions, we anticipate a decrease in unrecognized tax benefits of approximately $0.1 million within the next twelve months.</w:t>
      </w:r>
    </w:p>
    <w:p>
      <w:pPr>
        <w:spacing w:after="0" w:line="113"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of $0.2 million on March 31, 2012 and December 31, 2011 are included in our unrecognized tax benefits.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file income tax returns in the U.S. federal jurisdiction, and in various state and foreign jurisdictions. On March 31, 2012, the open statutes of limitations in our significant tax jurisdictions are as follows: federal 2008 through 2011, state 2007 through 2011, and non-U.S. 2005 through 2011. On March 31, 2012, our gross unrecognized tax benefits of $5.4 million, which included $0.2 million of interest, are classified as long term because we do not anticipate the payment of cash related to those unrecognized tax benefits within one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our Annual Report on Form 10-K for further information regarding our accounting principles.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Accrued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on March 31, 2012 and December 31, 2011 are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88"/>
              </w:rPr>
              <w:t>March 31, 2012</w:t>
            </w:r>
          </w:p>
        </w:tc>
        <w:tc>
          <w:tcPr>
            <w:tcW w:w="2080" w:type="dxa"/>
            <w:vAlign w:val="bottom"/>
            <w:gridSpan w:val="4"/>
          </w:tcPr>
          <w:p>
            <w:pPr>
              <w:ind w:left="880"/>
              <w:spacing w:after="0"/>
              <w:rPr>
                <w:sz w:val="20"/>
                <w:szCs w:val="20"/>
                <w:color w:val="auto"/>
              </w:rPr>
            </w:pPr>
            <w:r>
              <w:rPr>
                <w:rFonts w:ascii="Arial" w:cs="Arial" w:eastAsia="Arial" w:hAnsi="Arial"/>
                <w:sz w:val="14"/>
                <w:szCs w:val="14"/>
                <w:b w:val="1"/>
                <w:bCs w:val="1"/>
                <w:color w:val="auto"/>
                <w:w w:val="93"/>
              </w:rPr>
              <w:t>December 31, 2011</w:t>
            </w:r>
          </w:p>
        </w:tc>
      </w:tr>
      <w:tr>
        <w:trPr>
          <w:trHeight w:val="210"/>
        </w:trPr>
        <w:tc>
          <w:tcPr>
            <w:tcW w:w="5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Accrued social insurance</w:t>
            </w:r>
            <w:r>
              <w:rPr>
                <w:rFonts w:ascii="Arial" w:cs="Arial" w:eastAsia="Arial" w:hAnsi="Arial"/>
                <w:sz w:val="11"/>
                <w:szCs w:val="11"/>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19,956</w:t>
            </w:r>
          </w:p>
        </w:tc>
        <w:tc>
          <w:tcPr>
            <w:tcW w:w="8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Accrued salary/wages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4,482</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4,084</w:t>
            </w: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Accrued vacation/holiday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Accrued bonus</w:t>
            </w:r>
            <w:r>
              <w:rPr>
                <w:rFonts w:ascii="Arial" w:cs="Arial" w:eastAsia="Arial" w:hAnsi="Arial"/>
                <w:sz w:val="11"/>
                <w:szCs w:val="11"/>
                <w:color w:val="auto"/>
              </w:rPr>
              <w:t>(2)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615</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Accrued commission</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Accrued medical insurance claims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388</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compensation</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8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18"/>
                <w:szCs w:val="18"/>
                <w:color w:val="auto"/>
              </w:rPr>
            </w:pPr>
          </w:p>
        </w:tc>
      </w:tr>
      <w:tr>
        <w:trPr>
          <w:trHeight w:val="222"/>
        </w:trPr>
        <w:tc>
          <w:tcPr>
            <w:tcW w:w="5700" w:type="dxa"/>
            <w:vAlign w:val="bottom"/>
          </w:tcPr>
          <w:p>
            <w:pPr>
              <w:ind w:left="440"/>
              <w:spacing w:after="0"/>
              <w:rPr>
                <w:sz w:val="20"/>
                <w:szCs w:val="20"/>
                <w:color w:val="auto"/>
              </w:rPr>
            </w:pPr>
            <w:r>
              <w:rPr>
                <w:rFonts w:ascii="Arial" w:cs="Arial" w:eastAsia="Arial" w:hAnsi="Arial"/>
                <w:sz w:val="18"/>
                <w:szCs w:val="18"/>
                <w:color w:val="auto"/>
              </w:rPr>
              <w:t>Total accrued compensation</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29,111</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29,204</w:t>
            </w:r>
          </w:p>
        </w:tc>
        <w:tc>
          <w:tcPr>
            <w:tcW w:w="10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60" w:hanging="452"/>
        <w:spacing w:after="0" w:line="241"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Effective January 1, 2008, the Chinese Labor Contract Law was enacted in the People’s Republic of China (“PRC”). This law mandated that PRC employers remit the applicable social insurance payments to their local government. Social insurance is composed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March 31, 2012 and December 31, 2011.</w:t>
      </w:r>
    </w:p>
    <w:p>
      <w:pPr>
        <w:spacing w:after="0" w:line="1" w:lineRule="exact"/>
        <w:rPr>
          <w:rFonts w:ascii="Arial" w:cs="Arial" w:eastAsia="Arial" w:hAnsi="Arial"/>
          <w:sz w:val="22"/>
          <w:szCs w:val="22"/>
          <w:color w:val="auto"/>
          <w:vertAlign w:val="superscript"/>
        </w:rPr>
      </w:pPr>
    </w:p>
    <w:p>
      <w:pPr>
        <w:ind w:left="460" w:right="280" w:hanging="452"/>
        <w:spacing w:after="0" w:line="239"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Accrued bonus contains an accrual for an extra month of salary (“13</w:t>
      </w:r>
      <w:r>
        <w:rPr>
          <w:rFonts w:ascii="Arial" w:cs="Arial" w:eastAsia="Arial" w:hAnsi="Arial"/>
          <w:sz w:val="11"/>
          <w:szCs w:val="11"/>
          <w:color w:val="auto"/>
        </w:rPr>
        <w:t>th</w:t>
      </w:r>
      <w:r>
        <w:rPr>
          <w:rFonts w:ascii="Arial" w:cs="Arial" w:eastAsia="Arial" w:hAnsi="Arial"/>
          <w:sz w:val="18"/>
          <w:szCs w:val="18"/>
          <w:color w:val="auto"/>
        </w:rPr>
        <w:t xml:space="preserve"> month salary”) to be paid to employees in certain geographies where it is the customary business practice. This 13</w:t>
      </w:r>
      <w:r>
        <w:rPr>
          <w:rFonts w:ascii="Arial" w:cs="Arial" w:eastAsia="Arial" w:hAnsi="Arial"/>
          <w:sz w:val="11"/>
          <w:szCs w:val="11"/>
          <w:color w:val="auto"/>
        </w:rPr>
        <w:t>th</w:t>
      </w:r>
      <w:r>
        <w:rPr>
          <w:rFonts w:ascii="Arial" w:cs="Arial" w:eastAsia="Arial" w:hAnsi="Arial"/>
          <w:sz w:val="18"/>
          <w:szCs w:val="18"/>
          <w:color w:val="auto"/>
        </w:rPr>
        <w:t xml:space="preserve"> month salary is paid to these employees if they remain employed with us through December 31 of each year. The total accrued for the 13</w:t>
      </w:r>
      <w:r>
        <w:rPr>
          <w:rFonts w:ascii="Arial" w:cs="Arial" w:eastAsia="Arial" w:hAnsi="Arial"/>
          <w:sz w:val="11"/>
          <w:szCs w:val="11"/>
          <w:color w:val="auto"/>
        </w:rPr>
        <w:t>th</w:t>
      </w:r>
      <w:r>
        <w:rPr>
          <w:rFonts w:ascii="Arial" w:cs="Arial" w:eastAsia="Arial" w:hAnsi="Arial"/>
          <w:sz w:val="18"/>
          <w:szCs w:val="18"/>
          <w:color w:val="auto"/>
        </w:rPr>
        <w:t xml:space="preserve"> month salary is $0.2 million and $0.4 million on March 31, 2012 and December 31, 2011, respectively. The remaining accrued bonus for 2012 is the estimated amount that will be paid to non-executive and executive level employees. Executive management was not paid bonuses related to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-1393190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Other Accrued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on March 31, 2012 and December 31, 2011 are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00" w:type="dxa"/>
            <w:vAlign w:val="bottom"/>
            <w:gridSpan w:val="3"/>
          </w:tcPr>
          <w:p>
            <w:pPr>
              <w:ind w:left="1400"/>
              <w:spacing w:after="0"/>
              <w:rPr>
                <w:sz w:val="20"/>
                <w:szCs w:val="20"/>
                <w:color w:val="auto"/>
              </w:rPr>
            </w:pPr>
            <w:r>
              <w:rPr>
                <w:rFonts w:ascii="Arial" w:cs="Arial" w:eastAsia="Arial" w:hAnsi="Arial"/>
                <w:sz w:val="14"/>
                <w:szCs w:val="14"/>
                <w:b w:val="1"/>
                <w:bCs w:val="1"/>
                <w:color w:val="auto"/>
                <w:w w:val="89"/>
              </w:rPr>
              <w:t>March 31,</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2012</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 xml:space="preserve">Amount due to CG International Holdings Limited </w:t>
            </w:r>
            <w:r>
              <w:rPr>
                <w:rFonts w:ascii="Arial" w:cs="Arial" w:eastAsia="Arial" w:hAnsi="Arial"/>
                <w:sz w:val="11"/>
                <w:szCs w:val="11"/>
                <w:color w:val="auto"/>
              </w:rPr>
              <w:t>(1)</w:t>
            </w:r>
          </w:p>
        </w:tc>
        <w:tc>
          <w:tcPr>
            <w:tcW w:w="1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2,138</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Freight</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1,899</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 xml:space="preserve">Tooling </w:t>
            </w:r>
            <w:r>
              <w:rPr>
                <w:rFonts w:ascii="Arial" w:cs="Arial" w:eastAsia="Arial" w:hAnsi="Arial"/>
                <w:sz w:val="11"/>
                <w:szCs w:val="11"/>
                <w:color w:val="auto"/>
              </w:rPr>
              <w:t>(2)</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661</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Duties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Advertising and marketing</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405</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Third-party commissions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288</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Property, plant, and equipment </w:t>
            </w:r>
            <w:r>
              <w:rPr>
                <w:rFonts w:ascii="Arial" w:cs="Arial" w:eastAsia="Arial" w:hAnsi="Arial"/>
                <w:sz w:val="11"/>
                <w:szCs w:val="11"/>
                <w:color w:val="auto"/>
              </w:rPr>
              <w:t>(3)</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Interest</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Sales taxes and VAT</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w:t>
            </w:r>
          </w:p>
        </w:tc>
        <w:tc>
          <w:tcPr>
            <w:tcW w:w="1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2,091</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other accrued expenses</w:t>
            </w:r>
          </w:p>
        </w:tc>
        <w:tc>
          <w:tcPr>
            <w:tcW w:w="152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9,481</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340" w:hanging="452"/>
        <w:spacing w:after="0" w:line="235" w:lineRule="auto"/>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We made an additional payment of $1.0 million to CG International Holdings Limited during April 2012 related to the $5.0 million holdback that was originally recorded as of the acquisition date. See Note 21 to the consolidated financial statements included in our Annual Report on Form 10-K for the year ended December 31, 2011 for further information regarding our acquisition of Enson.</w:t>
      </w:r>
    </w:p>
    <w:p>
      <w:pPr>
        <w:spacing w:after="0" w:line="1" w:lineRule="exact"/>
        <w:rPr>
          <w:rFonts w:ascii="Arial" w:cs="Arial" w:eastAsia="Arial" w:hAnsi="Arial"/>
          <w:sz w:val="22"/>
          <w:szCs w:val="22"/>
          <w:color w:val="auto"/>
          <w:vertAlign w:val="superscript"/>
        </w:rPr>
      </w:pPr>
    </w:p>
    <w:p>
      <w:pPr>
        <w:ind w:left="460" w:hanging="452"/>
        <w:spacing w:after="0" w:line="205" w:lineRule="auto"/>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The tooling accrual balance relates to unearned revenue for tooling that will be sold to customers.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The property, plant and equipment accrual balance relates to amounts capitalized within 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indemnify our directors and officers to the maximum extent permitted under the laws of the State of Delaware and we have entered into Indemnification Agreements with each of our directors and officers. In addition, we insure our individual directors and officers against certain claims and attorney’s fees and related expenses incurred in connection with the defense of such claims. The amounts and types of coverage may vary from period to period as dictated by market conditions. Management is not aware of any matters that require indemnification of its directors or officers.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Price Provisions and Other Anti-Takeover Measures</w:t>
      </w:r>
    </w:p>
    <w:p>
      <w:pPr>
        <w:spacing w:after="0" w:line="9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Our Restated Certificate of Incorporation, as amended, contains certain provisions restricting business combinations with interested stockholders under certain circumstances and imposing higher voting requirements for the approval of certain transactions (“fair price” provisions). Any of these provisions may delay or prevent a change in control.</w:t>
      </w:r>
    </w:p>
    <w:p>
      <w:pPr>
        <w:spacing w:after="0" w:line="140"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“fair price” provisions require that holders of at least two-thirds of our outstanding shares of voting stock approve certain business combinations and significant transactions with interested stockholders.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liability for product warranty claim costs are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-7620</wp:posOffset>
            </wp:positionV>
            <wp:extent cx="5575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Three Months Ended March 31, 2012</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Three Months Ended March 31,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7"/>
              </w:rPr>
              <w:t>Accruals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49"/>
        </w:trPr>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84"/>
              </w:rPr>
              <w:t>(Reductions)</w:t>
            </w:r>
          </w:p>
        </w:tc>
        <w:tc>
          <w:tcPr>
            <w:tcW w:w="148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Settlements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9"/>
        </w:trPr>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for</w:t>
            </w:r>
          </w:p>
        </w:tc>
        <w:tc>
          <w:tcPr>
            <w:tcW w:w="148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7"/>
              </w:rPr>
              <w:t>(in Cash or</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9"/>
        </w:trPr>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Balance at</w:t>
            </w:r>
          </w:p>
        </w:tc>
        <w:tc>
          <w:tcPr>
            <w:tcW w:w="800" w:type="dxa"/>
            <w:vAlign w:val="bottom"/>
          </w:tcPr>
          <w:p>
            <w:pPr>
              <w:spacing w:after="0"/>
              <w:rPr>
                <w:sz w:val="12"/>
                <w:szCs w:val="12"/>
                <w:color w:val="auto"/>
              </w:rPr>
            </w:pPr>
          </w:p>
        </w:tc>
        <w:tc>
          <w:tcPr>
            <w:tcW w:w="158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Warranties</w:t>
            </w:r>
          </w:p>
        </w:tc>
        <w:tc>
          <w:tcPr>
            <w:tcW w:w="100" w:type="dxa"/>
            <w:vAlign w:val="bottom"/>
          </w:tcPr>
          <w:p>
            <w:pPr>
              <w:spacing w:after="0"/>
              <w:rPr>
                <w:sz w:val="12"/>
                <w:szCs w:val="12"/>
                <w:color w:val="auto"/>
              </w:rPr>
            </w:pPr>
          </w:p>
        </w:tc>
        <w:tc>
          <w:tcPr>
            <w:tcW w:w="13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6"/>
              </w:rPr>
              <w:t>in</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9"/>
        </w:trPr>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Beginning</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1"/>
              </w:rPr>
              <w:t>Issued</w:t>
            </w:r>
          </w:p>
        </w:tc>
        <w:tc>
          <w:tcPr>
            <w:tcW w:w="100" w:type="dxa"/>
            <w:vAlign w:val="bottom"/>
          </w:tcPr>
          <w:p>
            <w:pPr>
              <w:spacing w:after="0"/>
              <w:rPr>
                <w:sz w:val="12"/>
                <w:szCs w:val="12"/>
                <w:color w:val="auto"/>
              </w:rPr>
            </w:pPr>
          </w:p>
        </w:tc>
        <w:tc>
          <w:tcPr>
            <w:tcW w:w="13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4"/>
              </w:rPr>
              <w:t>Kind)</w:t>
            </w: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Balance at</w:t>
            </w:r>
          </w:p>
        </w:tc>
      </w:tr>
      <w:tr>
        <w:trPr>
          <w:trHeight w:val="149"/>
        </w:trPr>
        <w:tc>
          <w:tcPr>
            <w:tcW w:w="100" w:type="dxa"/>
            <w:vAlign w:val="bottom"/>
          </w:tcPr>
          <w:p>
            <w:pPr>
              <w:spacing w:after="0"/>
              <w:rPr>
                <w:sz w:val="12"/>
                <w:szCs w:val="12"/>
                <w:color w:val="auto"/>
              </w:rPr>
            </w:pPr>
          </w:p>
        </w:tc>
        <w:tc>
          <w:tcPr>
            <w:tcW w:w="520" w:type="dxa"/>
            <w:vAlign w:val="bottom"/>
          </w:tcPr>
          <w:p>
            <w:pPr>
              <w:jc w:val="right"/>
              <w:ind w:right="182"/>
              <w:spacing w:after="0" w:line="149" w:lineRule="exact"/>
              <w:rPr>
                <w:sz w:val="20"/>
                <w:szCs w:val="20"/>
                <w:color w:val="auto"/>
              </w:rPr>
            </w:pPr>
            <w:r>
              <w:rPr>
                <w:rFonts w:ascii="Arial" w:cs="Arial" w:eastAsia="Arial" w:hAnsi="Arial"/>
                <w:sz w:val="14"/>
                <w:szCs w:val="14"/>
                <w:b w:val="1"/>
                <w:bCs w:val="1"/>
                <w:color w:val="auto"/>
              </w:rPr>
              <w:t>of</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During</w:t>
            </w:r>
          </w:p>
        </w:tc>
        <w:tc>
          <w:tcPr>
            <w:tcW w:w="100" w:type="dxa"/>
            <w:vAlign w:val="bottom"/>
          </w:tcPr>
          <w:p>
            <w:pPr>
              <w:spacing w:after="0"/>
              <w:rPr>
                <w:sz w:val="12"/>
                <w:szCs w:val="12"/>
                <w:color w:val="auto"/>
              </w:rPr>
            </w:pPr>
          </w:p>
        </w:tc>
        <w:tc>
          <w:tcPr>
            <w:tcW w:w="13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During</w:t>
            </w:r>
          </w:p>
        </w:tc>
        <w:tc>
          <w:tcPr>
            <w:tcW w:w="100" w:type="dxa"/>
            <w:vAlign w:val="bottom"/>
          </w:tcPr>
          <w:p>
            <w:pPr>
              <w:spacing w:after="0"/>
              <w:rPr>
                <w:sz w:val="12"/>
                <w:szCs w:val="12"/>
                <w:color w:val="auto"/>
              </w:rPr>
            </w:pPr>
          </w:p>
        </w:tc>
        <w:tc>
          <w:tcPr>
            <w:tcW w:w="50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w w:val="87"/>
              </w:rPr>
              <w:t>End of</w:t>
            </w:r>
          </w:p>
        </w:tc>
      </w:tr>
      <w:tr>
        <w:trPr>
          <w:trHeight w:val="161"/>
        </w:trPr>
        <w:tc>
          <w:tcPr>
            <w:tcW w:w="100" w:type="dxa"/>
            <w:vAlign w:val="bottom"/>
          </w:tcPr>
          <w:p>
            <w:pPr>
              <w:spacing w:after="0"/>
              <w:rPr>
                <w:sz w:val="14"/>
                <w:szCs w:val="14"/>
                <w:color w:val="auto"/>
              </w:rPr>
            </w:pPr>
          </w:p>
        </w:tc>
        <w:tc>
          <w:tcPr>
            <w:tcW w:w="520" w:type="dxa"/>
            <w:vAlign w:val="bottom"/>
          </w:tcPr>
          <w:p>
            <w:pPr>
              <w:jc w:val="right"/>
              <w:ind w:right="42"/>
              <w:spacing w:after="0"/>
              <w:rPr>
                <w:sz w:val="20"/>
                <w:szCs w:val="20"/>
                <w:color w:val="auto"/>
              </w:rPr>
            </w:pPr>
            <w:r>
              <w:rPr>
                <w:rFonts w:ascii="Arial" w:cs="Arial" w:eastAsia="Arial" w:hAnsi="Arial"/>
                <w:sz w:val="14"/>
                <w:szCs w:val="14"/>
                <w:b w:val="1"/>
                <w:bCs w:val="1"/>
                <w:color w:val="auto"/>
                <w:w w:val="87"/>
              </w:rPr>
              <w:t>Period</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7"/>
              </w:rPr>
              <w:t>the Period</w:t>
            </w:r>
          </w:p>
        </w:tc>
        <w:tc>
          <w:tcPr>
            <w:tcW w:w="148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87"/>
              </w:rPr>
              <w:t>the Period</w:t>
            </w:r>
          </w:p>
        </w:tc>
        <w:tc>
          <w:tcPr>
            <w:tcW w:w="100" w:type="dxa"/>
            <w:vAlign w:val="bottom"/>
          </w:tcPr>
          <w:p>
            <w:pPr>
              <w:spacing w:after="0"/>
              <w:rPr>
                <w:sz w:val="14"/>
                <w:szCs w:val="14"/>
                <w:color w:val="auto"/>
              </w:rPr>
            </w:pPr>
          </w:p>
        </w:tc>
        <w:tc>
          <w:tcPr>
            <w:tcW w:w="500" w:type="dxa"/>
            <w:vAlign w:val="bottom"/>
          </w:tcPr>
          <w:p>
            <w:pPr>
              <w:jc w:val="right"/>
              <w:ind w:right="22"/>
              <w:spacing w:after="0"/>
              <w:rPr>
                <w:sz w:val="20"/>
                <w:szCs w:val="20"/>
                <w:color w:val="auto"/>
              </w:rPr>
            </w:pPr>
            <w:r>
              <w:rPr>
                <w:rFonts w:ascii="Arial" w:cs="Arial" w:eastAsia="Arial" w:hAnsi="Arial"/>
                <w:sz w:val="14"/>
                <w:szCs w:val="14"/>
                <w:b w:val="1"/>
                <w:bCs w:val="1"/>
                <w:color w:val="auto"/>
                <w:w w:val="87"/>
              </w:rPr>
              <w:t>Period</w:t>
            </w:r>
          </w:p>
        </w:tc>
      </w:tr>
      <w:tr>
        <w:trPr>
          <w:trHeight w:val="201"/>
        </w:trPr>
        <w:tc>
          <w:tcPr>
            <w:tcW w:w="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w:t>
            </w:r>
          </w:p>
        </w:tc>
        <w:tc>
          <w:tcPr>
            <w:tcW w:w="8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ind w:left="420"/>
              <w:spacing w:after="0" w:line="201"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4"/>
              <w:spacing w:after="0" w:line="201"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w:t>
            </w:r>
          </w:p>
        </w:tc>
      </w:tr>
      <w:tr>
        <w:trPr>
          <w:trHeight w:val="222"/>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color w:val="auto"/>
              </w:rPr>
              <w:t>(27)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-1936115</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-281305</wp:posOffset>
            </wp:positionV>
            <wp:extent cx="666369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452" w:lineRule="exact"/>
        <w:rPr>
          <w:sz w:val="20"/>
          <w:szCs w:val="20"/>
          <w:color w:val="auto"/>
        </w:rPr>
      </w:pPr>
    </w:p>
    <w:p>
      <w:pPr>
        <w:sectPr>
          <w:pgSz w:w="11900" w:h="16838" w:orient="portrait"/>
          <w:cols w:equalWidth="0" w:num="2">
            <w:col w:w="5460" w:space="320"/>
            <w:col w:w="5640"/>
          </w:cols>
          <w:pgMar w:left="240" w:top="459" w:right="239" w:bottom="1440" w:gutter="0" w:footer="0" w:header="0"/>
        </w:sectPr>
      </w:pPr>
    </w:p>
    <w:p>
      <w:pPr>
        <w:ind w:right="40"/>
        <w:spacing w:after="0" w:line="288" w:lineRule="auto"/>
        <w:rPr>
          <w:sz w:val="20"/>
          <w:szCs w:val="20"/>
          <w:color w:val="auto"/>
        </w:rPr>
      </w:pPr>
      <w:r>
        <w:rPr>
          <w:rFonts w:ascii="Arial" w:cs="Arial" w:eastAsia="Arial" w:hAnsi="Arial"/>
          <w:sz w:val="16"/>
          <w:szCs w:val="16"/>
          <w:color w:val="auto"/>
        </w:rPr>
        <w:t>On July 15, 2011, we filed a lawsuit against Logitech, Inc., Logitech International S.A. and Logitech Europe S.A. in the United States District Court, Central District of California (Universal Electronics Inc. v. Logitech, Inc., Logitech International S.A. and Logitech Europe S.A., SACV 11-1056-JVS(ANx)) alleging that the Logitech companies are infringing seventeen of our patents related to remote control technology. We have alleged that this complaint relates to multiple Logitech remote control products, including the Harmony H300, H650, H700, H900, One, H1100, Logitech Revue (for Google TV), Harmony remote apps for iOS and Android platforms, and other applications and/or programming for touch screen mobile devices. We are seeking monetary relief for the infringement, including enhanced damages due to the willfulness of the Logitech companies’ actions, injunctive relief to enjoin the Logitech companies from further infringing, including contributory infringement and/or inducing infringement, and attorney’s fees. In its answer, filed on November 3, 2011, the Logitech companies generally denied all of our allegations of infringement and counterclaimed that we are infringing five of their patents. On November 24, 2011, we answered the Logitech companies’ counterclaims, generally denying all of their allegations of infringement, and we are vigorously defending ourselves against these counterclaims.</w:t>
      </w:r>
    </w:p>
    <w:p>
      <w:pPr>
        <w:spacing w:after="0" w:line="336"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On March 2, 2012, we filed a lawsuit against Universal Remote Control, Inc. (“URC”) in the United States District Court, Central District of California (Universal Electronics Inc. v. Universal Remote Control, Inc., SACV12-0039 AG (JPRx)) alleging that URC is infringing, directly and indirectly, four of our patents related to remote control technology. We have alleged that this complaint relates to multiple URC remote control products, including the URC model numbers UR5U-9000L, WR7 and other remote controls with different model names or numbers, but with substantially the same designs, features, and functionalities. We are seeking monetary relief for the infringement, including enhanced damages due to the willfulness of URC’s actions, injunctive relief to enjoin URC from further infringing, including contributory infringement and/or inducing infringement, and attorney’s fees. URC has not yet answered our complaint.</w:t>
      </w:r>
    </w:p>
    <w:p>
      <w:pPr>
        <w:spacing w:after="0" w:line="14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There are no other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financial condition or results of operations. Moreover, we believe that our products do not infringe any third parties’ patents or other intellectual property rights.</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Deferred Compensation Plan</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adopted a non-qualified deferred compensation plan for the benefit of a select group of highly compensated employees. For each plan year a participant may elect to defer compensation in fixed dollar amounts or percentages subject to the minimums and maximums established under the plan. Generally, an election to defer compensation is irrevocable for the entire plan year. A participant is always fully vested in their elective deferrals and may direct these funds into various investment options available under the plan. These investment options are utilized for measurement purposes only, and may not represent the actual investment made by us. In this respect, the participant is an unsecured creditor of ours. On March 31, 2012 and December 31, 2011, the amounts deferred under the plan were immaterial to our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subsidiary in India maintains a defined benefit pension plan (“India Plan”) for local employees, which is consistent with local statutes and practices. The pension plan was adequately funded on March 31, 2012 and December 31, 2011 based on its latest actuarial report. The India Plan has an independent external manager that advises us of the appropriate funding contribution requirements to which we comply. At March 31, 2012, approximately 41 percent of our India subsidiary employees had qualified for eligibility. An individual must be employed by our India subsidiary for a minimum of five years before becoming eligible. Upon the termination, resignation or retirement of an eligible employee, we are liable to pay the employee an amount equal to 15 days salary for each full year of service completed. The total amount of liability outstanding at March 31, 2012 and December 31, 2011 for the India Plan is not material. During the three months ended March 31, 2012 and 2011, the net periodic benefit costs were also not 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Treasury Stock</w:t>
      </w:r>
    </w:p>
    <w:p>
      <w:pPr>
        <w:spacing w:after="0" w:line="96"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During the three months ended March 31, 2012 and 2011, we repurchased 17,261 and 13,222 shares of our common stock at a cost of $0.3 million and $0.4 million, respectively. Repurchased shares are recorded as shares held in treasury at cost. We generally hold these shares for future use as our management and Board of Directors deem appropriate, including compensating our outside directors. During the three months ended March 31, 2012 and 2011, we issued 7,500 and 7,500 shares, respectively, to outside directors for services performed (see Note 13).</w:t>
      </w:r>
    </w:p>
    <w:p>
      <w:pPr>
        <w:spacing w:after="0" w:line="113"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On February 11, 2010, our Board of Directors authorized management to repurchase up to 1,000,000 shares of our issued and outstanding common stock. As of March 31, 2012, we have repurchased 947,351 shares of our common stock under this authorization, leaving 52,649 shares available for repurchase.</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On October 26, 2011, our Board of Directors authorized management to repurchase an additional 1,000,000 shares of our issued and outstanding common stock.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have not repurchased any shares under the Board authorization approved on October 26, 2011.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Business Segment and Foreign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9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for the three months ended March 31, 2012 and 2011 were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6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34,170</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860"/>
              <w:spacing w:after="0"/>
              <w:rPr>
                <w:sz w:val="20"/>
                <w:szCs w:val="20"/>
                <w:color w:val="auto"/>
              </w:rPr>
            </w:pPr>
            <w:r>
              <w:rPr>
                <w:rFonts w:ascii="Arial" w:cs="Arial" w:eastAsia="Arial" w:hAnsi="Arial"/>
                <w:sz w:val="18"/>
                <w:szCs w:val="18"/>
                <w:color w:val="auto"/>
              </w:rPr>
              <w:t>People’s Republic of China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15,211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Argentina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860"/>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Brazil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86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France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86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1,848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Israel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860"/>
              <w:spacing w:after="0"/>
              <w:rPr>
                <w:sz w:val="20"/>
                <w:szCs w:val="20"/>
                <w:color w:val="auto"/>
              </w:rPr>
            </w:pPr>
            <w:r>
              <w:rPr>
                <w:rFonts w:ascii="Arial" w:cs="Arial" w:eastAsia="Arial" w:hAnsi="Arial"/>
                <w:sz w:val="18"/>
                <w:szCs w:val="18"/>
                <w:color w:val="auto"/>
              </w:rPr>
              <w:t>Italy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Japan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860"/>
              <w:spacing w:after="0"/>
              <w:rPr>
                <w:sz w:val="20"/>
                <w:szCs w:val="20"/>
                <w:color w:val="auto"/>
              </w:rPr>
            </w:pPr>
            <w:r>
              <w:rPr>
                <w:rFonts w:ascii="Arial" w:cs="Arial" w:eastAsia="Arial" w:hAnsi="Arial"/>
                <w:sz w:val="18"/>
                <w:szCs w:val="18"/>
                <w:color w:val="auto"/>
              </w:rPr>
              <w:t>Korea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2,724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Malaysia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860"/>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Portugal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860"/>
              <w:spacing w:after="0"/>
              <w:rPr>
                <w:sz w:val="20"/>
                <w:szCs w:val="20"/>
                <w:color w:val="auto"/>
              </w:rPr>
            </w:pPr>
            <w:r>
              <w:rPr>
                <w:rFonts w:ascii="Arial" w:cs="Arial" w:eastAsia="Arial" w:hAnsi="Arial"/>
                <w:sz w:val="18"/>
                <w:szCs w:val="18"/>
                <w:color w:val="auto"/>
              </w:rPr>
              <w:t>Singapore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South Africa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860"/>
              <w:spacing w:after="0"/>
              <w:rPr>
                <w:sz w:val="20"/>
                <w:szCs w:val="20"/>
                <w:color w:val="auto"/>
              </w:rPr>
            </w:pPr>
            <w:r>
              <w:rPr>
                <w:rFonts w:ascii="Arial" w:cs="Arial" w:eastAsia="Arial" w:hAnsi="Arial"/>
                <w:sz w:val="18"/>
                <w:szCs w:val="18"/>
                <w:color w:val="auto"/>
              </w:rPr>
              <w:t>Spain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Taiwan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860"/>
              <w:spacing w:after="0"/>
              <w:rPr>
                <w:sz w:val="20"/>
                <w:szCs w:val="20"/>
                <w:color w:val="auto"/>
              </w:rPr>
            </w:pPr>
            <w:r>
              <w:rPr>
                <w:rFonts w:ascii="Arial" w:cs="Arial" w:eastAsia="Arial" w:hAnsi="Arial"/>
                <w:sz w:val="18"/>
                <w:szCs w:val="18"/>
                <w:color w:val="auto"/>
              </w:rPr>
              <w:t>Thailand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5,766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United Kingdom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0" w:type="dxa"/>
            <w:vAlign w:val="bottom"/>
          </w:tcPr>
          <w:p>
            <w:pPr>
              <w:ind w:left="860"/>
              <w:spacing w:after="0"/>
              <w:rPr>
                <w:sz w:val="20"/>
                <w:szCs w:val="20"/>
                <w:color w:val="auto"/>
              </w:rPr>
            </w:pPr>
            <w:r>
              <w:rPr>
                <w:rFonts w:ascii="Arial" w:cs="Arial" w:eastAsia="Arial" w:hAnsi="Arial"/>
                <w:sz w:val="18"/>
                <w:szCs w:val="18"/>
                <w:color w:val="auto"/>
              </w:rPr>
              <w:t>All 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6,665</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international</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69,562</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00" w:type="dxa"/>
            <w:vAlign w:val="bottom"/>
          </w:tcPr>
          <w:p>
            <w:pPr>
              <w:spacing w:after="0"/>
              <w:rPr>
                <w:sz w:val="20"/>
                <w:szCs w:val="20"/>
                <w:color w:val="auto"/>
              </w:rPr>
            </w:pPr>
            <w:r>
              <w:rPr>
                <w:rFonts w:ascii="Arial" w:cs="Arial" w:eastAsia="Arial" w:hAnsi="Arial"/>
                <w:sz w:val="18"/>
                <w:szCs w:val="18"/>
                <w:color w:val="auto"/>
              </w:rPr>
              <w:t>Total net sales</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103,732</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Specific identification of the customer billing location was the basis used for attributing revenues from external customers to individual countries.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 information is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720" w:type="dxa"/>
            <w:vAlign w:val="bottom"/>
            <w:gridSpan w:val="3"/>
          </w:tcPr>
          <w:p>
            <w:pPr>
              <w:ind w:left="2120"/>
              <w:spacing w:after="0"/>
              <w:rPr>
                <w:sz w:val="20"/>
                <w:szCs w:val="20"/>
                <w:color w:val="auto"/>
              </w:rPr>
            </w:pPr>
            <w:r>
              <w:rPr>
                <w:rFonts w:ascii="Arial" w:cs="Arial" w:eastAsia="Arial" w:hAnsi="Arial"/>
                <w:sz w:val="14"/>
                <w:szCs w:val="14"/>
                <w:b w:val="1"/>
                <w:bCs w:val="1"/>
                <w:color w:val="auto"/>
                <w:w w:val="89"/>
              </w:rPr>
              <w:t>March 31,</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2012</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Long-lived tangible assets:</w:t>
            </w:r>
          </w:p>
        </w:tc>
        <w:tc>
          <w:tcPr>
            <w:tcW w:w="2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2220" w:type="dxa"/>
            <w:vAlign w:val="bottom"/>
            <w:gridSpan w:val="2"/>
          </w:tcPr>
          <w:p>
            <w:pPr>
              <w:ind w:left="21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3,556</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People’s Republic of China</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76,892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All other countries</w:t>
            </w:r>
          </w:p>
        </w:tc>
        <w:tc>
          <w:tcPr>
            <w:tcW w:w="2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2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84,215</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Stock-Based Compensation</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Stock-based compensation expense for each employee and director is presented in the same income statement caption as their cash compensation. Stock-based compensation expense by income statement caption for the three months ended March 31, 2012 and 2011 is the following:</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00" w:type="dxa"/>
            <w:vAlign w:val="bottom"/>
            <w:tcBorders>
              <w:bottom w:val="single" w:sz="8" w:color="CCEEFF"/>
            </w:tcBorders>
            <w:vMerge w:val="continue"/>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3"/>
              </w:rPr>
              <w:t>2012</w:t>
            </w:r>
          </w:p>
        </w:tc>
        <w:tc>
          <w:tcPr>
            <w:tcW w:w="4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7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1,127</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00" w:type="dxa"/>
            <w:vAlign w:val="bottom"/>
          </w:tcPr>
          <w:p>
            <w:pPr>
              <w:spacing w:after="0"/>
              <w:rPr>
                <w:sz w:val="20"/>
                <w:szCs w:val="20"/>
                <w:color w:val="auto"/>
              </w:rPr>
            </w:pPr>
            <w:r>
              <w:rPr>
                <w:rFonts w:ascii="Arial" w:cs="Arial" w:eastAsia="Arial" w:hAnsi="Arial"/>
                <w:sz w:val="18"/>
                <w:szCs w:val="18"/>
                <w:color w:val="auto"/>
                <w:w w:val="89"/>
              </w:rPr>
              <w:t>Stock-based compensation expense before income taxes</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1,197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000" w:type="dxa"/>
            <w:vAlign w:val="bottom"/>
            <w:vMerge w:val="restart"/>
          </w:tcPr>
          <w:p>
            <w:pPr>
              <w:jc w:val="right"/>
              <w:ind w:right="2592"/>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0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Selling, general and administrative expense also includes pre-tax stock-based compensation related to stock option awards granted to outside directors of $0.01 million and $0.1 million for the three months ended March 31, 2012 and 2011, respectively. Selling, general and administrative expense includes stock-based compensation related to restricted stock awards granted to outside directors of $0.2 million and $0.1 million for the three months ended March 31, 2012 and 2011,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income tax benefit from the recognition of stock-based compensation for each of the three months ended March 31, 2012 and 2011 was $0.4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During the three months ended March 31, 2012, the Compensation Committee and Board of Directors granted 148,200 stock options to our Named Executive Officers with an aggregate grant date fair value of $1.4 million under various stock incentive plans. The stock options granted consisted of the following: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6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share amounts)</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5"/>
                <w:szCs w:val="15"/>
                <w:color w:val="auto"/>
              </w:rPr>
            </w:pPr>
          </w:p>
        </w:tc>
        <w:tc>
          <w:tcPr>
            <w:tcW w:w="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Grant</w:t>
            </w:r>
          </w:p>
        </w:tc>
        <w:tc>
          <w:tcPr>
            <w:tcW w:w="4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8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4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Option</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Date</w:t>
            </w:r>
          </w:p>
        </w:tc>
        <w:tc>
          <w:tcPr>
            <w:tcW w:w="4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160" w:type="dxa"/>
            <w:vAlign w:val="bottom"/>
            <w:gridSpan w:val="2"/>
            <w:vMerge w:val="continue"/>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Fair</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Grant Date</w:t>
            </w: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Options</w:t>
            </w:r>
          </w:p>
        </w:tc>
        <w:tc>
          <w:tcPr>
            <w:tcW w:w="200" w:type="dxa"/>
            <w:vAlign w:val="bottom"/>
          </w:tcPr>
          <w:p>
            <w:pPr>
              <w:spacing w:after="0"/>
              <w:rPr>
                <w:sz w:val="12"/>
                <w:szCs w:val="12"/>
                <w:color w:val="auto"/>
              </w:rPr>
            </w:pPr>
          </w:p>
        </w:tc>
        <w:tc>
          <w:tcPr>
            <w:tcW w:w="7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Value</w:t>
            </w:r>
          </w:p>
        </w:tc>
        <w:tc>
          <w:tcPr>
            <w:tcW w:w="4700" w:type="dxa"/>
            <w:vAlign w:val="bottom"/>
          </w:tcPr>
          <w:p>
            <w:pPr>
              <w:ind w:left="1940"/>
              <w:spacing w:after="0" w:line="129" w:lineRule="exact"/>
              <w:rPr>
                <w:sz w:val="20"/>
                <w:szCs w:val="20"/>
                <w:color w:val="auto"/>
              </w:rPr>
            </w:pPr>
            <w:r>
              <w:rPr>
                <w:rFonts w:ascii="Arial" w:cs="Arial" w:eastAsia="Arial" w:hAnsi="Arial"/>
                <w:sz w:val="14"/>
                <w:szCs w:val="14"/>
                <w:b w:val="1"/>
                <w:bCs w:val="1"/>
                <w:color w:val="auto"/>
              </w:rPr>
              <w:t>Vesting Period</w:t>
            </w:r>
          </w:p>
        </w:tc>
        <w:tc>
          <w:tcPr>
            <w:tcW w:w="0" w:type="dxa"/>
            <w:vAlign w:val="bottom"/>
          </w:tcPr>
          <w:p>
            <w:pPr>
              <w:spacing w:after="0"/>
              <w:rPr>
                <w:sz w:val="1"/>
                <w:szCs w:val="1"/>
                <w:color w:val="auto"/>
              </w:rPr>
            </w:pPr>
          </w:p>
        </w:tc>
      </w:tr>
      <w:tr>
        <w:trPr>
          <w:trHeight w:val="20"/>
        </w:trPr>
        <w:tc>
          <w:tcPr>
            <w:tcW w:w="82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February 8, 2012</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148,200</w:t>
            </w:r>
          </w:p>
        </w:tc>
        <w:tc>
          <w:tcPr>
            <w:tcW w:w="2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1,430</w:t>
            </w:r>
          </w:p>
        </w:tc>
        <w:tc>
          <w:tcPr>
            <w:tcW w:w="200" w:type="dxa"/>
            <w:vAlign w:val="bottom"/>
            <w:shd w:val="clear" w:color="auto" w:fill="CCEEFF"/>
          </w:tcPr>
          <w:p>
            <w:pPr>
              <w:spacing w:after="0"/>
              <w:rPr>
                <w:sz w:val="17"/>
                <w:szCs w:val="17"/>
                <w:color w:val="auto"/>
              </w:rPr>
            </w:pPr>
          </w:p>
        </w:tc>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3-Year Vesting Period (8.33% each quarter)</w:t>
            </w: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148,200</w:t>
            </w:r>
          </w:p>
        </w:tc>
        <w:tc>
          <w:tcPr>
            <w:tcW w:w="90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1,430</w:t>
            </w:r>
          </w:p>
        </w:tc>
        <w:tc>
          <w:tcPr>
            <w:tcW w:w="4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During the quarter ended March 31, 2012 we recognized $0.1 million of pre-tax stock-based compensation expense related to our 2012 stock option grants.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assumptions we utilized in the Black-Scholes option pricing model and the resulting weighted average fair values of stock option grants were the following:</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47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7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00" w:type="dxa"/>
            <w:vAlign w:val="bottom"/>
          </w:tcPr>
          <w:p>
            <w:pPr>
              <w:jc w:val="right"/>
              <w:ind w:right="46"/>
              <w:spacing w:after="0" w:line="142" w:lineRule="exact"/>
              <w:rPr>
                <w:sz w:val="20"/>
                <w:szCs w:val="20"/>
                <w:color w:val="auto"/>
              </w:rPr>
            </w:pPr>
            <w:r>
              <w:rPr>
                <w:rFonts w:ascii="Arial" w:cs="Arial" w:eastAsia="Arial" w:hAnsi="Arial"/>
                <w:sz w:val="14"/>
                <w:szCs w:val="14"/>
                <w:b w:val="1"/>
                <w:bCs w:val="1"/>
                <w:color w:val="auto"/>
              </w:rPr>
              <w:t>2012</w:t>
            </w:r>
          </w:p>
        </w:tc>
        <w:tc>
          <w:tcPr>
            <w:tcW w:w="700" w:type="dxa"/>
            <w:vAlign w:val="bottom"/>
          </w:tcPr>
          <w:p>
            <w:pPr>
              <w:spacing w:after="0"/>
              <w:rPr>
                <w:sz w:val="12"/>
                <w:szCs w:val="12"/>
                <w:color w:val="auto"/>
              </w:rPr>
            </w:pPr>
          </w:p>
        </w:tc>
        <w:tc>
          <w:tcPr>
            <w:tcW w:w="54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r>
      <w:tr>
        <w:trPr>
          <w:trHeight w:val="210"/>
        </w:trPr>
        <w:tc>
          <w:tcPr>
            <w:tcW w:w="4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Weighted average fair value of grants</w:t>
            </w:r>
            <w:r>
              <w:rPr>
                <w:rFonts w:ascii="Arial" w:cs="Arial" w:eastAsia="Arial" w:hAnsi="Arial"/>
                <w:sz w:val="11"/>
                <w:szCs w:val="11"/>
                <w:color w:val="auto"/>
              </w:rPr>
              <w:t>(1)</w:t>
            </w:r>
          </w:p>
        </w:tc>
        <w:tc>
          <w:tcPr>
            <w:tcW w:w="19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$ 9.65</w:t>
            </w:r>
          </w:p>
        </w:tc>
        <w:tc>
          <w:tcPr>
            <w:tcW w:w="7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$12.78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180" w:type="dxa"/>
            <w:vAlign w:val="bottom"/>
            <w:gridSpan w:val="3"/>
          </w:tcPr>
          <w:p>
            <w:pPr>
              <w:jc w:val="right"/>
              <w:ind w:right="492"/>
              <w:spacing w:after="0"/>
              <w:rPr>
                <w:sz w:val="20"/>
                <w:szCs w:val="20"/>
                <w:color w:val="auto"/>
              </w:rPr>
            </w:pPr>
            <w:r>
              <w:rPr>
                <w:rFonts w:ascii="Arial" w:cs="Arial" w:eastAsia="Arial" w:hAnsi="Arial"/>
                <w:sz w:val="18"/>
                <w:szCs w:val="18"/>
                <w:color w:val="auto"/>
              </w:rPr>
              <w:t>0.86%</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2.04%</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18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55.25%</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52.04%</w:t>
            </w:r>
          </w:p>
        </w:tc>
      </w:t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Expected life in years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5.14</w:t>
            </w:r>
          </w:p>
        </w:tc>
        <w:tc>
          <w:tcPr>
            <w:tcW w:w="7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620" w:right="2380" w:hanging="5612"/>
        <w:spacing w:after="0" w:line="387" w:lineRule="auto"/>
        <w:tabs>
          <w:tab w:leader="none" w:pos="448"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The weighted average fair value of grants was calculated utilizing the stock options granted during each respective period. 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three months ended March 31, 2012 was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Remaining</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1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Average</w:t>
            </w: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Options</w:t>
            </w:r>
          </w:p>
        </w:tc>
        <w:tc>
          <w:tcPr>
            <w:tcW w:w="11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Exercise</w:t>
            </w: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4"/>
              </w:rPr>
              <w:t>(thousands)</w:t>
            </w:r>
          </w:p>
        </w:tc>
        <w:tc>
          <w:tcPr>
            <w:tcW w:w="120" w:type="dxa"/>
            <w:vAlign w:val="bottom"/>
          </w:tcPr>
          <w:p>
            <w:pPr>
              <w:spacing w:after="0"/>
              <w:rPr>
                <w:sz w:val="14"/>
                <w:szCs w:val="14"/>
                <w:color w:val="auto"/>
              </w:rPr>
            </w:pPr>
          </w:p>
        </w:tc>
        <w:tc>
          <w:tcPr>
            <w:tcW w:w="10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Price</w:t>
            </w:r>
          </w:p>
        </w:tc>
        <w:tc>
          <w:tcPr>
            <w:tcW w:w="13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(In years)</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4"/>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on December 31, 2011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5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148</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20.09</w:t>
            </w: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Forfeited/cancelled/expired</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16.17</w:t>
            </w: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Outstanding on March 31, 2012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on March 31, 2012</w:t>
            </w: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19.77</w:t>
            </w:r>
          </w:p>
        </w:tc>
        <w:tc>
          <w:tcPr>
            <w:tcW w:w="580" w:type="dxa"/>
            <w:vAlign w:val="bottom"/>
          </w:tcPr>
          <w:p>
            <w:pPr>
              <w:spacing w:after="0" w:line="20" w:lineRule="exact"/>
              <w:rPr>
                <w:sz w:val="1"/>
                <w:szCs w:val="1"/>
                <w:color w:val="auto"/>
              </w:rPr>
            </w:pPr>
          </w:p>
        </w:tc>
        <w:tc>
          <w:tcPr>
            <w:tcW w:w="1300" w:type="dxa"/>
            <w:vAlign w:val="bottom"/>
            <w:gridSpan w:val="2"/>
            <w:vMerge w:val="restart"/>
          </w:tcPr>
          <w:p>
            <w:pPr>
              <w:jc w:val="right"/>
              <w:ind w:right="600"/>
              <w:spacing w:after="0"/>
              <w:rPr>
                <w:sz w:val="20"/>
                <w:szCs w:val="20"/>
                <w:color w:val="auto"/>
              </w:rPr>
            </w:pPr>
            <w:r>
              <w:rPr>
                <w:rFonts w:ascii="Arial" w:cs="Arial" w:eastAsia="Arial" w:hAnsi="Arial"/>
                <w:sz w:val="18"/>
                <w:szCs w:val="18"/>
                <w:color w:val="auto"/>
              </w:rPr>
              <w:t>5.29</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4,192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40" w:type="dxa"/>
            <w:vAlign w:val="bottom"/>
            <w:gridSpan w:val="2"/>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1,557</w:t>
            </w:r>
          </w:p>
        </w:tc>
        <w:tc>
          <w:tcPr>
            <w:tcW w:w="6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Exercisable on March 31, 2012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aggregate intrinsic value in the table above represents the total pre-tax value that option holders would have received had all option holders exercised their options on March 31, 2012. The aggregate intrinsic value is the difference between the closing price of Universal Electronics Inc.’s common stock on the last trading day of the first quarter of 2012 and the option exercise price, multiplied by the number of in-the-money options. This amount will change based on the fair market value of our stock. The total intrinsic value of options exercised for the three months ended March 31, 2012 and 2011, was $0.2 million and $0.1 million, respectively.</w:t>
      </w:r>
    </w:p>
    <w:p>
      <w:pPr>
        <w:spacing w:after="0" w:line="14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At March 31, 2012, there was $3.3 million of unrecognized pre-tax stock-based compensation expense related to non-vested stock options which we expect to recognize over a weighted-average period of 2.2 years.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During the three months ended March 31, 2012, the Compensation Committee and Board of Directors granted 71,300 restricted stock awards to our Named Executive Officers with an aggregate grant date fair value of $1.4 million under the 2010 Stock Incentive Plan. The restricted stock awards consisted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share amounts)</w:t>
            </w:r>
          </w:p>
        </w:tc>
        <w:tc>
          <w:tcPr>
            <w:tcW w:w="9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8"/>
              </w:rPr>
              <w:t>Number of</w:t>
            </w: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Grant</w:t>
            </w:r>
          </w:p>
        </w:tc>
        <w:tc>
          <w:tcPr>
            <w:tcW w:w="3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0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Restricted Stock</w:t>
            </w:r>
          </w:p>
        </w:tc>
        <w:tc>
          <w:tcPr>
            <w:tcW w:w="9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Shares</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Date</w:t>
            </w:r>
          </w:p>
        </w:tc>
        <w:tc>
          <w:tcPr>
            <w:tcW w:w="3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120" w:type="dxa"/>
            <w:vAlign w:val="bottom"/>
            <w:gridSpan w:val="2"/>
            <w:vMerge w:val="continue"/>
          </w:tcPr>
          <w:p>
            <w:pPr>
              <w:spacing w:after="0"/>
              <w:rPr>
                <w:sz w:val="11"/>
                <w:szCs w:val="11"/>
                <w:color w:val="auto"/>
              </w:rPr>
            </w:pPr>
          </w:p>
        </w:tc>
        <w:tc>
          <w:tcPr>
            <w:tcW w:w="96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Underlying</w:t>
            </w:r>
          </w:p>
        </w:tc>
        <w:tc>
          <w:tcPr>
            <w:tcW w:w="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Fair</w:t>
            </w:r>
          </w:p>
        </w:tc>
        <w:tc>
          <w:tcPr>
            <w:tcW w:w="3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Grant Date</w:t>
            </w:r>
          </w:p>
        </w:tc>
        <w:tc>
          <w:tcPr>
            <w:tcW w:w="960" w:type="dxa"/>
            <w:vAlign w:val="bottom"/>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86"/>
              </w:rPr>
              <w:t>Options</w:t>
            </w: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Value</w:t>
            </w:r>
          </w:p>
        </w:tc>
        <w:tc>
          <w:tcPr>
            <w:tcW w:w="320" w:type="dxa"/>
            <w:vAlign w:val="bottom"/>
          </w:tcPr>
          <w:p>
            <w:pPr>
              <w:spacing w:after="0"/>
              <w:rPr>
                <w:sz w:val="12"/>
                <w:szCs w:val="12"/>
                <w:color w:val="auto"/>
              </w:rPr>
            </w:pPr>
          </w:p>
        </w:tc>
        <w:tc>
          <w:tcPr>
            <w:tcW w:w="4520" w:type="dxa"/>
            <w:vAlign w:val="bottom"/>
          </w:tcPr>
          <w:p>
            <w:pPr>
              <w:ind w:left="1840"/>
              <w:spacing w:after="0" w:line="129" w:lineRule="exact"/>
              <w:rPr>
                <w:sz w:val="20"/>
                <w:szCs w:val="20"/>
                <w:color w:val="auto"/>
              </w:rPr>
            </w:pPr>
            <w:r>
              <w:rPr>
                <w:rFonts w:ascii="Arial" w:cs="Arial" w:eastAsia="Arial" w:hAnsi="Arial"/>
                <w:sz w:val="14"/>
                <w:szCs w:val="14"/>
                <w:b w:val="1"/>
                <w:bCs w:val="1"/>
                <w:color w:val="auto"/>
              </w:rPr>
              <w:t>Vesting Period</w:t>
            </w:r>
          </w:p>
        </w:tc>
        <w:tc>
          <w:tcPr>
            <w:tcW w:w="0" w:type="dxa"/>
            <w:vAlign w:val="bottom"/>
          </w:tcPr>
          <w:p>
            <w:pPr>
              <w:spacing w:after="0"/>
              <w:rPr>
                <w:sz w:val="1"/>
                <w:szCs w:val="1"/>
                <w:color w:val="auto"/>
              </w:rPr>
            </w:pPr>
          </w:p>
        </w:tc>
      </w:tr>
      <w:tr>
        <w:trPr>
          <w:trHeight w:val="20"/>
        </w:trPr>
        <w:tc>
          <w:tcPr>
            <w:tcW w:w="1020" w:type="dxa"/>
            <w:vAlign w:val="bottom"/>
            <w:tcBorders>
              <w:top w:val="single" w:sz="8" w:color="auto"/>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February 8, 2012</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71,300</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1,432</w:t>
            </w:r>
          </w:p>
        </w:tc>
        <w:tc>
          <w:tcPr>
            <w:tcW w:w="320" w:type="dxa"/>
            <w:vAlign w:val="bottom"/>
            <w:shd w:val="clear" w:color="auto" w:fill="CCEEFF"/>
          </w:tcPr>
          <w:p>
            <w:pPr>
              <w:spacing w:after="0"/>
              <w:rPr>
                <w:sz w:val="17"/>
                <w:szCs w:val="17"/>
                <w:color w:val="auto"/>
              </w:rPr>
            </w:pPr>
          </w:p>
        </w:tc>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3-Year Vesting Period (8.33% each quarter)</w:t>
            </w:r>
          </w:p>
        </w:tc>
        <w:tc>
          <w:tcPr>
            <w:tcW w:w="0" w:type="dxa"/>
            <w:vAlign w:val="bottom"/>
          </w:tcPr>
          <w:p>
            <w:pPr>
              <w:spacing w:after="0"/>
              <w:rPr>
                <w:sz w:val="1"/>
                <w:szCs w:val="1"/>
                <w:color w:val="auto"/>
              </w:rPr>
            </w:pPr>
          </w:p>
        </w:tc>
      </w:tr>
      <w:tr>
        <w:trPr>
          <w:trHeight w:val="222"/>
        </w:trPr>
        <w:tc>
          <w:tcPr>
            <w:tcW w:w="10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71,300</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1,432</w:t>
            </w:r>
          </w:p>
        </w:tc>
        <w:tc>
          <w:tcPr>
            <w:tcW w:w="3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During the three months ended March 31, 2012, we recognized $0.1 million of pre-tax stock-based compensation expense related to our 2012 restricted stock award grants.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Non-vested restricted stock award activity during the three months ended March 31, 2012 (including restricted stock issued to directors as described in Note 11)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was the following:</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Granted</w:t>
            </w:r>
          </w:p>
        </w:tc>
        <w:tc>
          <w:tcPr>
            <w:tcW w:w="110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100" w:type="dxa"/>
            <w:vAlign w:val="bottom"/>
            <w:gridSpan w:val="3"/>
          </w:tcPr>
          <w:p>
            <w:pPr>
              <w:jc w:val="center"/>
              <w:ind w:left="1539"/>
              <w:spacing w:after="0"/>
              <w:rPr>
                <w:sz w:val="20"/>
                <w:szCs w:val="20"/>
                <w:color w:val="auto"/>
              </w:rPr>
            </w:pPr>
            <w:r>
              <w:rPr>
                <w:rFonts w:ascii="Arial" w:cs="Arial" w:eastAsia="Arial" w:hAnsi="Arial"/>
                <w:sz w:val="14"/>
                <w:szCs w:val="14"/>
                <w:b w:val="1"/>
                <w:bCs w:val="1"/>
                <w:color w:val="auto"/>
                <w:w w:val="84"/>
              </w:rPr>
              <w:t>(thousands)</w:t>
            </w:r>
          </w:p>
        </w:tc>
        <w:tc>
          <w:tcPr>
            <w:tcW w:w="34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Non-vested on December 31, 2011</w:t>
            </w:r>
          </w:p>
        </w:tc>
        <w:tc>
          <w:tcPr>
            <w:tcW w:w="20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Granted</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Forfeited</w:t>
            </w:r>
          </w:p>
        </w:tc>
        <w:tc>
          <w:tcPr>
            <w:tcW w:w="202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Non-vested on March 31, 2012</w:t>
            </w:r>
          </w:p>
        </w:tc>
        <w:tc>
          <w:tcPr>
            <w:tcW w:w="20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At March 31, 2012, we expect to recognize $4.9 million of unrecognized pre-tax stock-based compensation expense related to non-vested restricted stock awards over a weighted-average period of 2.2 years.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2 under the caption </w:t>
      </w:r>
      <w:r>
        <w:rPr>
          <w:rFonts w:ascii="Arial" w:cs="Arial" w:eastAsia="Arial" w:hAnsi="Arial"/>
          <w:sz w:val="16"/>
          <w:szCs w:val="16"/>
          <w:i w:val="1"/>
          <w:iCs w:val="1"/>
          <w:color w:val="auto"/>
        </w:rPr>
        <w:t>Stock-Based Compensation</w:t>
      </w:r>
      <w:r>
        <w:rPr>
          <w:rFonts w:ascii="Arial" w:cs="Arial" w:eastAsia="Arial" w:hAnsi="Arial"/>
          <w:sz w:val="16"/>
          <w:szCs w:val="16"/>
          <w:color w:val="auto"/>
        </w:rPr>
        <w:t xml:space="preserve"> in our Annual Report on Form 10-K for further information regarding our accounting principles.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Other Expense, Net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expense, net for the three months ended March 31, 2012 and 2011 are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1"/>
        </w:trPr>
        <w:tc>
          <w:tcPr>
            <w:tcW w:w="6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jc w:val="right"/>
              <w:ind w:right="23"/>
              <w:spacing w:after="0"/>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2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3"/>
              </w:rPr>
              <w:t>2012</w:t>
            </w: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gain on foreign currency exchange contracts</w:t>
            </w:r>
            <w:r>
              <w:rPr>
                <w:rFonts w:ascii="Arial" w:cs="Arial" w:eastAsia="Arial" w:hAnsi="Arial"/>
                <w:sz w:val="11"/>
                <w:szCs w:val="11"/>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loss on foreign currency exchange transactions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rPr>
              <w:t>(449)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20" w:type="dxa"/>
            <w:vAlign w:val="bottom"/>
          </w:tcPr>
          <w:p>
            <w:pPr>
              <w:spacing w:after="0"/>
              <w:rPr>
                <w:sz w:val="20"/>
                <w:szCs w:val="20"/>
                <w:color w:val="auto"/>
              </w:rPr>
            </w:pPr>
            <w:r>
              <w:rPr>
                <w:rFonts w:ascii="Arial" w:cs="Arial" w:eastAsia="Arial" w:hAnsi="Arial"/>
                <w:sz w:val="18"/>
                <w:szCs w:val="18"/>
                <w:color w:val="auto"/>
              </w:rPr>
              <w:t>Other expense, net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rPr>
              <w:t>(324)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This represents the losses incurred on foreign currency hedging derivatives (see Note 16 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which includes the dilutive effect of stock options and restricted stock grants. Dilutive potential common shares for all periods presented are computed utilizing the treasury stock method.</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computation of diluted earnings per common share for the three months ended March 31, 2012 and 2011, we have excluded 707,023 and 378,232 stock options, respectively, with exercise prices greater than the average market price of the underlying common stock, because their inclusion would have been anti-dilutive. Furthermore, for the three months ended March 31, 2012 and 2011, we have excluded 156,542 and 1,476 of unvested shares of restricted stock, respectively, whose combined unamortized fair value and excess tax benefits were greater in each of those periods than the average market price of the underlying common stock, as their effect would be anti-dilutive.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for the three months ended March 31, 2012 and 2011 are calculated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6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per-share amounts)</w:t>
            </w: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tcBorders>
              <w:top w:val="single" w:sz="8" w:color="CCEEFF"/>
            </w:tcBorders>
            <w:shd w:val="clear" w:color="auto" w:fill="CCEEFF"/>
          </w:tcPr>
          <w:p>
            <w:pPr>
              <w:jc w:val="center"/>
              <w:ind w:right="352"/>
              <w:spacing w:after="0" w:line="196" w:lineRule="exact"/>
              <w:rPr>
                <w:sz w:val="20"/>
                <w:szCs w:val="20"/>
                <w:color w:val="auto"/>
              </w:rPr>
            </w:pPr>
            <w:r>
              <w:rPr>
                <w:rFonts w:ascii="Arial" w:cs="Arial" w:eastAsia="Arial" w:hAnsi="Arial"/>
                <w:sz w:val="18"/>
                <w:szCs w:val="18"/>
                <w:b w:val="1"/>
                <w:bCs w:val="1"/>
                <w:color w:val="auto"/>
                <w:w w:val="96"/>
              </w:rPr>
              <w:t>BASIC</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1,632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14,871</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14,976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2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00" w:type="dxa"/>
            <w:vAlign w:val="bottom"/>
            <w:shd w:val="clear" w:color="auto" w:fill="CCEEFF"/>
          </w:tcPr>
          <w:p>
            <w:pPr>
              <w:jc w:val="center"/>
              <w:ind w:right="332"/>
              <w:spacing w:after="0"/>
              <w:rPr>
                <w:sz w:val="20"/>
                <w:szCs w:val="20"/>
                <w:color w:val="auto"/>
              </w:rPr>
            </w:pPr>
            <w:r>
              <w:rPr>
                <w:rFonts w:ascii="Arial" w:cs="Arial" w:eastAsia="Arial" w:hAnsi="Arial"/>
                <w:sz w:val="18"/>
                <w:szCs w:val="18"/>
                <w:b w:val="1"/>
                <w:bCs w:val="1"/>
                <w:color w:val="auto"/>
              </w:rPr>
              <w:t>DILUTED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1,632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for basic</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14,871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on a diluted basis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15,108</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2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Derivatives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Measured at Fair Value on a Recurring Basis</w:t>
      </w:r>
    </w:p>
    <w:p>
      <w:pPr>
        <w:spacing w:after="0" w:line="9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are exposed to market risks from foreign currency exchange rates, which may adversely affect our operating results and financial position. Our foreign currency exposures are primarily concentrated in the Argentine Peso, Brazilian Real, British Pound, Chinese Yuan Renminbi, Euro, Hong Kong dollar, Indian Rupee, and Singapore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dollar. We periodically enter into foreign currency exchange contracts with terms normally lasting less than nine months to protect against the adverse effects that exchange rate fluctuations may have on our foreign currency denominated receivables, payables, cash flows and reported income. Derivative financial instruments are used to manage risk and are not used for trading or other speculative purposes. We do not use leveraged derivative financial instruments and these derivatives have not qualified for hedge accounting.</w:t>
      </w:r>
    </w:p>
    <w:p>
      <w:pPr>
        <w:spacing w:after="0" w:line="14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gains and losses on both the derivatives and the foreign currency-denominated balances are recorded as foreign exchange transaction gains or losses and are classified in other expense, net. Derivatives are recorded on the balance sheet at fair value. The estimated fair values of our derivative financial instruments represent the amount required to enter into offsetting contracts with similar remaining maturities based on quoted market prices.</w:t>
      </w:r>
    </w:p>
    <w:p>
      <w:pPr>
        <w:spacing w:after="0" w:line="107" w:lineRule="exact"/>
        <w:rPr>
          <w:sz w:val="20"/>
          <w:szCs w:val="20"/>
          <w:color w:val="auto"/>
        </w:rPr>
      </w:pPr>
    </w:p>
    <w:p>
      <w:pPr>
        <w:jc w:val="both"/>
        <w:ind w:right="80"/>
        <w:spacing w:after="0" w:line="370" w:lineRule="auto"/>
        <w:rPr>
          <w:sz w:val="20"/>
          <w:szCs w:val="20"/>
          <w:color w:val="auto"/>
        </w:rPr>
      </w:pPr>
      <w:r>
        <w:rPr>
          <w:rFonts w:ascii="Arial" w:cs="Arial" w:eastAsia="Arial" w:hAnsi="Arial"/>
          <w:sz w:val="15"/>
          <w:szCs w:val="15"/>
          <w:color w:val="auto"/>
        </w:rPr>
        <w:t xml:space="preserve">We have determined that the fair value of our derivatives is derived from level 2 inputs in the fair value hierarchy. See Note 2 under the captions </w:t>
      </w:r>
      <w:r>
        <w:rPr>
          <w:rFonts w:ascii="Arial" w:cs="Arial" w:eastAsia="Arial" w:hAnsi="Arial"/>
          <w:sz w:val="15"/>
          <w:szCs w:val="15"/>
          <w:i w:val="1"/>
          <w:iCs w:val="1"/>
          <w:color w:val="auto"/>
        </w:rPr>
        <w:t>Derivatives</w:t>
      </w:r>
      <w:r>
        <w:rPr>
          <w:rFonts w:ascii="Arial" w:cs="Arial" w:eastAsia="Arial" w:hAnsi="Arial"/>
          <w:sz w:val="15"/>
          <w:szCs w:val="15"/>
          <w:color w:val="auto"/>
        </w:rPr>
        <w:t xml:space="preserve"> and </w:t>
      </w:r>
      <w:r>
        <w:rPr>
          <w:rFonts w:ascii="Arial" w:cs="Arial" w:eastAsia="Arial" w:hAnsi="Arial"/>
          <w:sz w:val="15"/>
          <w:szCs w:val="15"/>
          <w:i w:val="1"/>
          <w:iCs w:val="1"/>
          <w:color w:val="auto"/>
        </w:rPr>
        <w:t xml:space="preserve">Fair-Value Measurements </w:t>
      </w:r>
      <w:r>
        <w:rPr>
          <w:rFonts w:ascii="Arial" w:cs="Arial" w:eastAsia="Arial" w:hAnsi="Arial"/>
          <w:sz w:val="15"/>
          <w:szCs w:val="15"/>
          <w:color w:val="auto"/>
        </w:rPr>
        <w:t>in our Annual Report on Form 10-K for further information concerning the accounting principles and valuation methodology utilized.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financial assets that were accounted for at fair value on a recurring basis on March 31, 2012:</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40" w:type="dxa"/>
            <w:vAlign w:val="bottom"/>
            <w:gridSpan w:val="4"/>
          </w:tcPr>
          <w:p>
            <w:pPr>
              <w:ind w:left="100"/>
              <w:spacing w:after="0"/>
              <w:rPr>
                <w:sz w:val="20"/>
                <w:szCs w:val="20"/>
                <w:color w:val="auto"/>
              </w:rPr>
            </w:pPr>
            <w:r>
              <w:rPr>
                <w:rFonts w:ascii="Arial" w:cs="Arial" w:eastAsia="Arial" w:hAnsi="Arial"/>
                <w:sz w:val="14"/>
                <w:szCs w:val="14"/>
                <w:b w:val="1"/>
                <w:bCs w:val="1"/>
                <w:color w:val="auto"/>
                <w:w w:val="94"/>
              </w:rPr>
              <w:t>Fair Value Measurement Using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Quoted Prices in</w:t>
            </w:r>
          </w:p>
        </w:tc>
        <w:tc>
          <w:tcPr>
            <w:tcW w:w="760" w:type="dxa"/>
            <w:vAlign w:val="bottom"/>
          </w:tcPr>
          <w:p>
            <w:pPr>
              <w:spacing w:after="0"/>
              <w:rPr>
                <w:sz w:val="12"/>
                <w:szCs w:val="12"/>
                <w:color w:val="auto"/>
              </w:rPr>
            </w:pPr>
          </w:p>
        </w:tc>
        <w:tc>
          <w:tcPr>
            <w:tcW w:w="12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760" w:type="dxa"/>
            <w:vAlign w:val="bottom"/>
          </w:tcPr>
          <w:p>
            <w:pPr>
              <w:spacing w:after="0"/>
              <w:rPr>
                <w:sz w:val="12"/>
                <w:szCs w:val="12"/>
                <w:color w:val="auto"/>
              </w:rPr>
            </w:pPr>
          </w:p>
        </w:tc>
        <w:tc>
          <w:tcPr>
            <w:tcW w:w="12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2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34"/>
        </w:trPr>
        <w:tc>
          <w:tcPr>
            <w:tcW w:w="48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78"/>
              </w:rPr>
              <w:t>Assets</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740"/>
              <w:spacing w:after="0" w:line="135" w:lineRule="exact"/>
              <w:rPr>
                <w:sz w:val="20"/>
                <w:szCs w:val="20"/>
                <w:color w:val="auto"/>
              </w:rPr>
            </w:pPr>
            <w:r>
              <w:rPr>
                <w:rFonts w:ascii="Arial" w:cs="Arial" w:eastAsia="Arial" w:hAnsi="Arial"/>
                <w:sz w:val="14"/>
                <w:szCs w:val="14"/>
                <w:b w:val="1"/>
                <w:bCs w:val="1"/>
                <w:color w:val="auto"/>
                <w:w w:val="85"/>
              </w:rPr>
              <w:t>Inputs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49"/>
        </w:trPr>
        <w:tc>
          <w:tcPr>
            <w:tcW w:w="4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Description</w:t>
            </w: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March 31, 2012</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4"/>
              <w:spacing w:after="0" w:line="129" w:lineRule="exact"/>
              <w:rPr>
                <w:sz w:val="20"/>
                <w:szCs w:val="20"/>
                <w:color w:val="auto"/>
              </w:rPr>
            </w:pPr>
            <w:r>
              <w:rPr>
                <w:rFonts w:ascii="Arial" w:cs="Arial" w:eastAsia="Arial" w:hAnsi="Arial"/>
                <w:sz w:val="14"/>
                <w:szCs w:val="14"/>
                <w:b w:val="1"/>
                <w:bCs w:val="1"/>
                <w:color w:val="auto"/>
                <w:w w:val="87"/>
              </w:rPr>
              <w:t>(Level 1)</w:t>
            </w:r>
          </w:p>
        </w:tc>
        <w:tc>
          <w:tcPr>
            <w:tcW w:w="760" w:type="dxa"/>
            <w:vAlign w:val="bottom"/>
          </w:tcPr>
          <w:p>
            <w:pPr>
              <w:spacing w:after="0"/>
              <w:rPr>
                <w:sz w:val="12"/>
                <w:szCs w:val="12"/>
                <w:color w:val="auto"/>
              </w:rPr>
            </w:pPr>
          </w:p>
        </w:tc>
        <w:tc>
          <w:tcPr>
            <w:tcW w:w="1280" w:type="dxa"/>
            <w:vAlign w:val="bottom"/>
            <w:gridSpan w:val="3"/>
          </w:tcPr>
          <w:p>
            <w:pPr>
              <w:jc w:val="center"/>
              <w:ind w:right="640"/>
              <w:spacing w:after="0" w:line="129" w:lineRule="exact"/>
              <w:rPr>
                <w:sz w:val="20"/>
                <w:szCs w:val="20"/>
                <w:color w:val="auto"/>
              </w:rPr>
            </w:pPr>
            <w:r>
              <w:rPr>
                <w:rFonts w:ascii="Arial" w:cs="Arial" w:eastAsia="Arial" w:hAnsi="Arial"/>
                <w:sz w:val="14"/>
                <w:szCs w:val="14"/>
                <w:b w:val="1"/>
                <w:bCs w:val="1"/>
                <w:color w:val="auto"/>
                <w:w w:val="91"/>
              </w:rPr>
              <w:t>(Level 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Foreign currency exchange futures contracts</w:t>
            </w:r>
          </w:p>
        </w:tc>
        <w:tc>
          <w:tcPr>
            <w:tcW w:w="4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w:t>
            </w:r>
          </w:p>
        </w:tc>
        <w:tc>
          <w:tcPr>
            <w:tcW w:w="7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ind w:left="60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85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held foreign currency exchange contracts which resulted in a net pre-tax gain of approximately $0.04 million and a net pre-tax gain of $0.3 million for the three months ended March 31, 2012 and 2011,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Futures Contracts</w:t>
      </w:r>
    </w:p>
    <w:p>
      <w:pPr>
        <w:spacing w:after="0" w:line="9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We held one USD/Euro futures contract with a notional value of $6.0 million and a forward rate of $1.3148 USD/Euro at March 31, 2012. We held the Euro position on this contract, which settled on April 20, 2012. The gain on this contract as of March 31, 2012 was $85 thousand and is included in prepaid expenses and other current assets. This contract was settled at a loss of $30 thousand resulting in a loss of $115 thousand in April 2012.</w:t>
      </w:r>
    </w:p>
    <w:p>
      <w:pPr>
        <w:spacing w:after="0" w:line="107" w:lineRule="exact"/>
        <w:rPr>
          <w:sz w:val="20"/>
          <w:szCs w:val="20"/>
          <w:color w:val="auto"/>
        </w:rPr>
      </w:pPr>
    </w:p>
    <w:p>
      <w:pPr>
        <w:jc w:val="both"/>
        <w:ind w:right="100"/>
        <w:spacing w:after="0" w:line="335" w:lineRule="auto"/>
        <w:rPr>
          <w:sz w:val="20"/>
          <w:szCs w:val="20"/>
          <w:color w:val="auto"/>
        </w:rPr>
      </w:pPr>
      <w:r>
        <w:rPr>
          <w:rFonts w:ascii="Arial" w:cs="Arial" w:eastAsia="Arial" w:hAnsi="Arial"/>
          <w:sz w:val="15"/>
          <w:szCs w:val="15"/>
          <w:color w:val="auto"/>
        </w:rPr>
        <w:t>We held one USD/Chinese Yuan Renminbi futures contract with a notional value of $10.0 million and a forward rate of CNY 6.353 CNY/USD at December 31, 2011. We held the USD position on this contract, which settled on January 13, 2012. The gain on this contract as of December 31, 2011 was $46 thousand and is included in prepaid expenses and other current assets. This contract was settled at a gain of $59 thousand resulting in a gain of $13 thousand in January 2012.</w:t>
      </w:r>
    </w:p>
    <w:p>
      <w:pPr>
        <w:spacing w:after="0" w:line="8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held one USD/Euro futures contract with a notional value of $6.5 million and a forward rate of $1.3091 USD/Euro at December 31, 2011. We held the Euro position on this contract, which settled on January 20, 2012. The loss on this contract as of December 31, 2011 was $67 thousand and is included in other accrued expenses. This contract was settled at a loss of $125 thousand resulting in a loss of $58 thousand in January 2012.</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following discussion should be read in conjunction with the Consolidated Financial Statements and the related notes that appear elsewhere in this document.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develop and manufacture a broad line of pre-programmed universal wireless control products, and audio-video accessories that are marketed to enhance home entertainment systems. Our customers operate in the consumer electronics market and include OEMs, subscription broadcasters, international retailers, custom installers, North American retailers, private labels, and companies in the computing industry. We also sell integrated circuits, on which our software and IR code database is embedded, to OEMs that manufacture wireless control devices, cable converters or satellite receivers for resale in their products. We believe that our universal remote control database contains device codes that are capable of controlling virtually all IR controlled TVs, DVD players, cable converters, CD players, audio components and satellite receivers, as well as most other infrared remote controlled devices worldwide.</w:t>
      </w:r>
    </w:p>
    <w:p>
      <w:pPr>
        <w:spacing w:after="0" w:line="12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Beginning in 1986 and continuing today, we have compiled an extensive IR code library that covers over 636,100 individual device functions and over 4,500 individual consumer electronic equipment brand names. Our library is regularly updated with new IR codes used in newly introduced video and audio devices. All such IR codes are captured from the original manufacturer’s remote control devices or manufacturer’s specifications to ensure the accuracy and integrity of the database. We have also developed patented technologies that provide the capability to easily upgrade the memory of the wireless control device by adding IR codes from the library that were not originally included.</w:t>
      </w:r>
    </w:p>
    <w:p>
      <w:pPr>
        <w:spacing w:after="0" w:line="14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We operate as one business segment. We have 24 international subsidiaries located in Argentina, Cayman Islands, France, Germany, Hong Kong (6), India, Italy, the Netherlands, Singapore, Spain, Brazil, British Virgin Islands (3), People’s Republic of China (4) and the United Kingdom.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three months ended March 31, 2012:</w:t>
      </w:r>
    </w:p>
    <w:p>
      <w:pPr>
        <w:spacing w:after="0" w:line="90" w:lineRule="exact"/>
        <w:rPr>
          <w:sz w:val="20"/>
          <w:szCs w:val="20"/>
          <w:color w:val="auto"/>
        </w:rPr>
      </w:pPr>
    </w:p>
    <w:p>
      <w:pPr>
        <w:ind w:left="900" w:right="7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net sales decreased 1.9% from $105.7 million for the three months ended March 31, 2011 to $103.7 million for the three months ended March 31, 2012.</w:t>
      </w:r>
    </w:p>
    <w:p>
      <w:pPr>
        <w:spacing w:after="0" w:line="50" w:lineRule="exact"/>
        <w:rPr>
          <w:rFonts w:ascii="Arial" w:cs="Arial" w:eastAsia="Arial" w:hAnsi="Arial"/>
          <w:sz w:val="18"/>
          <w:szCs w:val="18"/>
          <w:color w:val="auto"/>
        </w:rPr>
      </w:pPr>
    </w:p>
    <w:p>
      <w:pPr>
        <w:ind w:left="900" w:hanging="325"/>
        <w:spacing w:after="0" w:line="287"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operating income for the first three months of 2012 decreased 8.8% to $2.3 million from $2.5 million in the first three months of 2011. Our operating margin percentage decreased from 2.4% in the first three month of 2011 to 2.2% in the first three months of 2012. Our gross margin percentage improved from 26.1% in the first three months of 2011 to 27.3% in the first three months of 2012. This improvement is due primarily to the fact that we experienced a temporal shortage of labor at our factories in China in the first quarter of 2011 which resulted in manufacturing inefficiencies as well as fewer units produced internally versus by third party manufacturers. This issue was rectified in the second quarter of 2011 and has subsequently not been an issue. The increase in our gross margin rate was offset by an increase in operating expenses. Operating expenses, as a percent of sales, increased from 23.7% in the first quarter of 2011 to 25.1% in the first quarter of 2012. The increase in operating expenses is due primarily to severance costs incurred as we continue to restructure our organization as a result of our acquisition of Enson, as well as increased third party legal fees. We are currently involved in litigation related to protecting our intellectual property, notably the Logitech lawsuit (see Note 10 contained in the “Notes to the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2012 include the following:</w:t>
      </w:r>
    </w:p>
    <w:p>
      <w:pPr>
        <w:spacing w:after="0" w:line="9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develop industry-leading technologies and products with attractive gross margins in order to improve profitability;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further penetrate the growing Asian and Latin American subscription broadcasting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share with existing customers;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the utilization of Enson’s factories by becoming less dependent on third party contract manufacturers;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place more operations, logistics, quality, program management, engineering, sales, and marketing personnel in the Asia region;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17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 for sales returns and doubtful accounts, warranties, inventory valuation, business combination purchase price allocations, our review for impairment of long-lived assets, intangible assets and goodwill, income taxes and stock-based compensation expense. Actual results may differ from these judgments and estimates, and they may be adjusted as more information becomes available. Any adjustment may be significant.</w:t>
      </w:r>
    </w:p>
    <w:p>
      <w:pPr>
        <w:spacing w:after="0" w:line="10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three months ended March 31, 2012 to the items that we disclosed as our critical accounting policies and estimates in Item 7, “Management’s Discussion and Analysis of Financial Condition and Results of Operations” contained in our Annual Report on Form 10-K for our fiscal year ended December 31,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See Note 1 contained in the “Notes to the Consolidated Financial Statements” for a discussion of new and recently adopted accounting pronouncements.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as a percentage of net sales for the three months ended March 31, 2012 and 2011 were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Borders>
              <w:bottom w:val="single" w:sz="8" w:color="CCEEFF"/>
            </w:tcBorders>
          </w:tcPr>
          <w:p>
            <w:pPr>
              <w:spacing w:after="0"/>
              <w:rPr>
                <w:sz w:val="14"/>
                <w:szCs w:val="14"/>
                <w:color w:val="auto"/>
              </w:rPr>
            </w:pPr>
          </w:p>
        </w:tc>
        <w:tc>
          <w:tcPr>
            <w:tcW w:w="32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3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Cost of sales</w:t>
            </w:r>
          </w:p>
        </w:tc>
        <w:tc>
          <w:tcPr>
            <w:tcW w:w="32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6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2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6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6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Interest expense, net</w:t>
            </w:r>
          </w:p>
        </w:tc>
        <w:tc>
          <w:tcPr>
            <w:tcW w:w="4340" w:type="dxa"/>
            <w:vAlign w:val="bottom"/>
            <w:gridSpan w:val="3"/>
          </w:tcPr>
          <w:p>
            <w:pPr>
              <w:jc w:val="right"/>
              <w:ind w:right="540"/>
              <w:spacing w:after="0"/>
              <w:rPr>
                <w:sz w:val="20"/>
                <w:szCs w:val="20"/>
                <w:color w:val="auto"/>
              </w:rPr>
            </w:pPr>
            <w:r>
              <w:rPr>
                <w:rFonts w:ascii="Arial" w:cs="Arial" w:eastAsia="Arial" w:hAnsi="Arial"/>
                <w:sz w:val="18"/>
                <w:szCs w:val="18"/>
                <w:color w:val="auto"/>
              </w:rPr>
              <w:t>(0.0)</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3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(0.3)</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1"/>
        </w:trPr>
        <w:tc>
          <w:tcPr>
            <w:tcW w:w="368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32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(0.3)</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3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gridSpan w:val="2"/>
            <w:vMerge w:val="continue"/>
          </w:tcPr>
          <w:p>
            <w:pPr>
              <w:spacing w:after="0"/>
              <w:rPr>
                <w:sz w:val="19"/>
                <w:szCs w:val="19"/>
                <w:color w:val="auto"/>
              </w:rPr>
            </w:pPr>
          </w:p>
        </w:tc>
        <w:tc>
          <w:tcPr>
            <w:tcW w:w="328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280" w:type="dxa"/>
            <w:vAlign w:val="bottom"/>
            <w:vMerge w:val="restart"/>
          </w:tcPr>
          <w:p>
            <w:pPr>
              <w:jc w:val="right"/>
              <w:ind w:right="2452"/>
              <w:spacing w:after="0"/>
              <w:rPr>
                <w:sz w:val="20"/>
                <w:szCs w:val="20"/>
                <w:color w:val="auto"/>
              </w:rPr>
            </w:pPr>
            <w:r>
              <w:rPr>
                <w:rFonts w:ascii="Arial" w:cs="Arial" w:eastAsia="Arial" w:hAnsi="Arial"/>
                <w:sz w:val="18"/>
                <w:szCs w:val="18"/>
                <w:color w:val="auto"/>
              </w:rPr>
              <w:t>24</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2012 versus Three Months Ended March 31,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sales by our Business and Consumer lines for the three months ended March 31, 2012 and 2011 were the following:</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(millions)</w:t>
            </w:r>
          </w:p>
        </w:tc>
        <w:tc>
          <w:tcPr>
            <w:tcW w:w="5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 of total</w:t>
            </w: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(millions)</w:t>
            </w:r>
          </w:p>
        </w:tc>
        <w:tc>
          <w:tcPr>
            <w:tcW w:w="5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 of total</w:t>
            </w:r>
          </w:p>
        </w:tc>
        <w:tc>
          <w:tcPr>
            <w:tcW w:w="200" w:type="dxa"/>
            <w:vAlign w:val="bottom"/>
            <w:tcBorders>
              <w:bottom w:val="single" w:sz="8" w:color="CCEEFF"/>
            </w:tcBorders>
          </w:tcPr>
          <w:p>
            <w:pPr>
              <w:spacing w:after="0"/>
              <w:rPr>
                <w:sz w:val="12"/>
                <w:szCs w:val="12"/>
                <w:color w:val="auto"/>
              </w:rPr>
            </w:pPr>
          </w:p>
        </w:tc>
      </w:tr>
      <w:tr>
        <w:trPr>
          <w:trHeight w:val="196"/>
        </w:trPr>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Business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92.4</w:t>
            </w:r>
          </w:p>
        </w:tc>
        <w:tc>
          <w:tcPr>
            <w:tcW w:w="1780" w:type="dxa"/>
            <w:vAlign w:val="bottom"/>
            <w:gridSpan w:val="3"/>
          </w:tcPr>
          <w:p>
            <w:pPr>
              <w:jc w:val="right"/>
              <w:ind w:right="500"/>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95.3</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90.2%</w:t>
            </w: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5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5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r>
      <w:tr>
        <w:trPr>
          <w:trHeight w:val="222"/>
        </w:trPr>
        <w:tc>
          <w:tcPr>
            <w:tcW w:w="5160" w:type="dxa"/>
            <w:vAlign w:val="bottom"/>
          </w:tcPr>
          <w:p>
            <w:pPr>
              <w:spacing w:after="0"/>
              <w:rPr>
                <w:sz w:val="20"/>
                <w:szCs w:val="20"/>
                <w:color w:val="auto"/>
              </w:rPr>
            </w:pPr>
            <w:r>
              <w:rPr>
                <w:rFonts w:ascii="Arial" w:cs="Arial" w:eastAsia="Arial" w:hAnsi="Arial"/>
                <w:sz w:val="18"/>
                <w:szCs w:val="18"/>
                <w:color w:val="auto"/>
              </w:rPr>
              <w:t>Total net sales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103.7</w:t>
            </w:r>
          </w:p>
        </w:tc>
        <w:tc>
          <w:tcPr>
            <w:tcW w:w="1780" w:type="dxa"/>
            <w:vAlign w:val="bottom"/>
            <w:gridSpan w:val="3"/>
          </w:tcPr>
          <w:p>
            <w:pPr>
              <w:jc w:val="right"/>
              <w:ind w:right="50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105.7</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Net sales for the first quarter of 2012 were $103.7 million, a decrease of 1.9% compared to $105.7 million for the first quarter of 2011. Net income for the first quarter of 2012 was $1.6 million or $0.11 per diluted share compared to $1.8 million or $0.12 per diluted share for the first quarter of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Net sales in our Business lines </w:t>
      </w:r>
      <w:r>
        <w:rPr>
          <w:rFonts w:ascii="Arial" w:cs="Arial" w:eastAsia="Arial" w:hAnsi="Arial"/>
          <w:sz w:val="16"/>
          <w:szCs w:val="16"/>
          <w:color w:val="auto"/>
        </w:rPr>
        <w:t>(subscription broadcasting, OEM, and computing companies) were approximately 89% of net sales in the first three months of</w:t>
      </w:r>
      <w:r>
        <w:rPr>
          <w:rFonts w:ascii="Arial" w:cs="Arial" w:eastAsia="Arial" w:hAnsi="Arial"/>
          <w:sz w:val="16"/>
          <w:szCs w:val="16"/>
          <w:i w:val="1"/>
          <w:iCs w:val="1"/>
          <w:color w:val="auto"/>
        </w:rPr>
        <w:t xml:space="preserve"> </w:t>
      </w:r>
      <w:r>
        <w:rPr>
          <w:rFonts w:ascii="Arial" w:cs="Arial" w:eastAsia="Arial" w:hAnsi="Arial"/>
          <w:sz w:val="16"/>
          <w:szCs w:val="16"/>
          <w:color w:val="auto"/>
        </w:rPr>
        <w:t>2012 compared to approximately 90% in the first three quarters of 2011. Net sales in our business lines for the three months ended March 31, 2012 decreased by approximately 3% to $92.4 million from $95.3 million in the first three months of 2011. Net sales in subscription broadcasting have remained strong in North America as well as EMEA and have grown significantly, on a percentage basis, in Latin America, specifically Brazil. Offsetting the growth in subscription broadcasting is a decrease in net sales within the consumer electronics channel. The prolonged sluggish global economy has had an adverse effect on television sales, which, in turn, directly affects our sales into the consumer electronics channel.</w:t>
      </w:r>
    </w:p>
    <w:p>
      <w:pPr>
        <w:spacing w:after="0" w:line="12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Net sales in our Consumer lines </w:t>
      </w:r>
      <w:r>
        <w:rPr>
          <w:rFonts w:ascii="Arial" w:cs="Arial" w:eastAsia="Arial" w:hAnsi="Arial"/>
          <w:sz w:val="16"/>
          <w:szCs w:val="16"/>
          <w:color w:val="auto"/>
        </w:rPr>
        <w:t>(</w:t>
      </w:r>
      <w:r>
        <w:rPr>
          <w:rFonts w:ascii="Arial" w:cs="Arial" w:eastAsia="Arial" w:hAnsi="Arial"/>
          <w:sz w:val="16"/>
          <w:szCs w:val="16"/>
          <w:i w:val="1"/>
          <w:iCs w:val="1"/>
          <w:color w:val="auto"/>
        </w:rPr>
        <w:t>One For All</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retail, private label, custom installers, and direct import) were approximately 11% of net sales for the first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of 2012 compared to approximately 10% for the first three months of 2011. Net sales in our Consumer lines during the first three months of 2012 increased by 9% to $11.3 million from $10.4 million during the same period in 2011. International retail sales increased from $9.6 million in the first three months of 2011 to $10.7 million during the first three months of 2012 due primarily to increased sales in Latin America. Partially offsetting these increases was a $0.2 million decrease in North American retail sales, from $0.7 million to $0.5 million.</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for the first three months of 2012 was $28.3 million compared to $27.6 million during the first three months of 2011. Gross profit as a percent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increased to 27.3% during the first three months of 2012 from 26.1% during the first three months of 2011. The improvement in our gross margin percentage is due primarily to the fact that we experienced a temporal shortage of labor at our factories in China in the first quarter of 2011 which resulted in manufacturing inefficiencies as well as fewer units produced internally versus by third party manufacturers. This issue was rectified in the second quarter of 2011 and has subsequently not been an issue.</w:t>
      </w:r>
    </w:p>
    <w:p>
      <w:pPr>
        <w:spacing w:after="0" w:line="143"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increased 6.3% from $3.3 million during the first quarter of 2011 to $3.5 million during the first quarter of 2012.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is primarily due to additional labor dedicated to general research &amp; development activities in an effort to continue to develop new products and technologies.</w:t>
      </w:r>
    </w:p>
    <w:p>
      <w:pPr>
        <w:spacing w:after="0" w:line="14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i w:val="1"/>
          <w:iCs w:val="1"/>
          <w:color w:val="auto"/>
        </w:rPr>
        <w:t xml:space="preserve">Selling, general and administrative (“SG&amp;A”) expenses </w:t>
      </w:r>
      <w:r>
        <w:rPr>
          <w:rFonts w:ascii="Arial" w:cs="Arial" w:eastAsia="Arial" w:hAnsi="Arial"/>
          <w:sz w:val="16"/>
          <w:szCs w:val="16"/>
          <w:color w:val="auto"/>
        </w:rPr>
        <w:t>increased 3.5% from $21.8 million during the first quarter of 2011 to $22.6 million during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2012. SG&amp;A expenses increased by $0.4 million for severance costs incurred as we continue to restructure our organization as a result of our acquisition of Enson. Our Brazilian entity was fully staffed and operational in the first quarter of 2012 which resulted in an increase in SG&amp;A expenses of $0.3 million compared to the first quarter of 2011. In addition, legal expenses increased by $0.4 million as a result of litigation related to protecting our intellectual property. Partially offsetting these increases is a $0.3 million favorable currency effect due to the Euro weakening compared to the U.S. Dollar.</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interest expense </w:t>
      </w:r>
      <w:r>
        <w:rPr>
          <w:rFonts w:ascii="Arial" w:cs="Arial" w:eastAsia="Arial" w:hAnsi="Arial"/>
          <w:sz w:val="18"/>
          <w:szCs w:val="18"/>
          <w:color w:val="auto"/>
        </w:rPr>
        <w:t>was $37 thousand during the first quarter of 2012 compared to $85 thousand during the first quarter of 2011.</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i w:val="1"/>
          <w:iCs w:val="1"/>
          <w:color w:val="auto"/>
        </w:rPr>
        <w:t xml:space="preserve">Net other expense </w:t>
      </w:r>
      <w:r>
        <w:rPr>
          <w:rFonts w:ascii="Arial" w:cs="Arial" w:eastAsia="Arial" w:hAnsi="Arial"/>
          <w:sz w:val="18"/>
          <w:szCs w:val="18"/>
          <w:color w:val="auto"/>
        </w:rPr>
        <w:t>was $0.3 million during the first quarter of 2012 compared to net $34 thousand during the first quarter of 2011, which was driven by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losses.</w:t>
      </w:r>
    </w:p>
    <w:p>
      <w:pPr>
        <w:spacing w:after="0" w:line="1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was $0.3 million during the first quarter of 2012 compared to $0.6 million during the first quarter of 2011. Our effective tax rate was 16.4%</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first quarter of 2012 compared to 24.4% for the first quarter of 2011. The decrease in our effective tax rate is due to the reversal of unrecognized tax benefits originally recorded in 2008 and 2009 which amounted to $0.2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2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2040" w:type="dxa"/>
            <w:vAlign w:val="bottom"/>
            <w:gridSpan w:val="5"/>
          </w:tcPr>
          <w:p>
            <w:pPr>
              <w:spacing w:after="0"/>
              <w:rPr>
                <w:sz w:val="20"/>
                <w:szCs w:val="20"/>
                <w:color w:val="auto"/>
              </w:rPr>
            </w:pPr>
            <w:r>
              <w:rPr>
                <w:rFonts w:ascii="Arial" w:cs="Arial" w:eastAsia="Arial" w:hAnsi="Arial"/>
                <w:sz w:val="14"/>
                <w:szCs w:val="14"/>
                <w:b w:val="1"/>
                <w:bCs w:val="1"/>
                <w:color w:val="auto"/>
              </w:rPr>
              <w:t>Increase/(Decrease)</w:t>
            </w: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w w:val="92"/>
              </w:rPr>
              <w:t>Three months ended</w:t>
            </w:r>
          </w:p>
        </w:tc>
      </w:tr>
      <w:tr>
        <w:trPr>
          <w:trHeight w:val="161"/>
        </w:trPr>
        <w:tc>
          <w:tcPr>
            <w:tcW w:w="35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4"/>
                <w:szCs w:val="14"/>
                <w:color w:val="auto"/>
              </w:rPr>
            </w:pPr>
          </w:p>
        </w:tc>
        <w:tc>
          <w:tcPr>
            <w:tcW w:w="2120" w:type="dxa"/>
            <w:vAlign w:val="bottom"/>
            <w:gridSpan w:val="5"/>
          </w:tcPr>
          <w:p>
            <w:pPr>
              <w:ind w:left="140"/>
              <w:spacing w:after="0"/>
              <w:rPr>
                <w:sz w:val="20"/>
                <w:szCs w:val="20"/>
                <w:color w:val="auto"/>
              </w:rPr>
            </w:pPr>
            <w:r>
              <w:rPr>
                <w:rFonts w:ascii="Arial" w:cs="Arial" w:eastAsia="Arial" w:hAnsi="Arial"/>
                <w:sz w:val="14"/>
                <w:szCs w:val="14"/>
                <w:b w:val="1"/>
                <w:bCs w:val="1"/>
                <w:color w:val="auto"/>
              </w:rPr>
              <w:t>March 31, 2012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cash</w:t>
            </w:r>
          </w:p>
        </w:tc>
        <w:tc>
          <w:tcPr>
            <w:tcW w:w="12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2011</w:t>
            </w:r>
          </w:p>
        </w:tc>
      </w:tr>
      <w:tr>
        <w:trPr>
          <w:trHeight w:val="188"/>
        </w:trPr>
        <w:tc>
          <w:tcPr>
            <w:tcW w:w="35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Net cash (used for) provided by operating</w:t>
            </w:r>
          </w:p>
        </w:tc>
        <w:tc>
          <w:tcPr>
            <w:tcW w:w="5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activities</w:t>
            </w:r>
          </w:p>
        </w:tc>
        <w:tc>
          <w:tcPr>
            <w:tcW w:w="12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(2,025)</w:t>
            </w: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(2,173)</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(1,928)</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693</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(2,621)</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financing activities</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(1,328)</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5,984</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(7,312)</w:t>
            </w:r>
          </w:p>
        </w:tc>
      </w:tr>
      <w:tr>
        <w:trPr>
          <w:trHeight w:val="222"/>
        </w:trPr>
        <w:tc>
          <w:tcPr>
            <w:tcW w:w="35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221</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(403)</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9"/>
                <w:szCs w:val="19"/>
                <w:color w:val="auto"/>
              </w:rPr>
            </w:pPr>
          </w:p>
        </w:tc>
      </w:tr>
      <w:tr>
        <w:trPr>
          <w:trHeight w:val="345"/>
        </w:trPr>
        <w:tc>
          <w:tcPr>
            <w:tcW w:w="35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88"/>
              </w:rPr>
              <w:t>March 31, 2012</w:t>
            </w:r>
          </w:p>
        </w:tc>
        <w:tc>
          <w:tcPr>
            <w:tcW w:w="200" w:type="dxa"/>
            <w:vAlign w:val="bottom"/>
          </w:tcPr>
          <w:p>
            <w:pPr>
              <w:spacing w:after="0"/>
              <w:rPr>
                <w:sz w:val="24"/>
                <w:szCs w:val="24"/>
                <w:color w:val="auto"/>
              </w:rPr>
            </w:pPr>
          </w:p>
        </w:tc>
        <w:tc>
          <w:tcPr>
            <w:tcW w:w="1840" w:type="dxa"/>
            <w:vAlign w:val="bottom"/>
            <w:gridSpan w:val="4"/>
          </w:tcPr>
          <w:p>
            <w:pPr>
              <w:ind w:left="20"/>
              <w:spacing w:after="0"/>
              <w:rPr>
                <w:sz w:val="20"/>
                <w:szCs w:val="20"/>
                <w:color w:val="auto"/>
              </w:rPr>
            </w:pPr>
            <w:r>
              <w:rPr>
                <w:rFonts w:ascii="Arial" w:cs="Arial" w:eastAsia="Arial" w:hAnsi="Arial"/>
                <w:sz w:val="14"/>
                <w:szCs w:val="14"/>
                <w:b w:val="1"/>
                <w:bCs w:val="1"/>
                <w:color w:val="auto"/>
              </w:rPr>
              <w:t>Increase/(Decrease)</w:t>
            </w:r>
          </w:p>
        </w:tc>
        <w:tc>
          <w:tcPr>
            <w:tcW w:w="12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2011</w:t>
            </w:r>
          </w:p>
        </w:tc>
      </w:tr>
      <w:tr>
        <w:trPr>
          <w:trHeight w:val="210"/>
        </w:trPr>
        <w:tc>
          <w:tcPr>
            <w:tcW w:w="3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2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24,312</w:t>
            </w:r>
          </w:p>
        </w:tc>
        <w:tc>
          <w:tcPr>
            <w:tcW w:w="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3540" w:type="dxa"/>
            <w:vAlign w:val="bottom"/>
          </w:tcPr>
          <w:p>
            <w:pPr>
              <w:spacing w:after="0"/>
              <w:rPr>
                <w:sz w:val="20"/>
                <w:szCs w:val="20"/>
                <w:color w:val="auto"/>
              </w:rPr>
            </w:pPr>
            <w:r>
              <w:rPr>
                <w:rFonts w:ascii="Arial" w:cs="Arial" w:eastAsia="Arial" w:hAnsi="Arial"/>
                <w:sz w:val="18"/>
                <w:szCs w:val="18"/>
                <w:color w:val="auto"/>
              </w:rPr>
              <w:t>Working capital</w:t>
            </w: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91,875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7,114</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84,761</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Net cash (used for) provided by operating activities </w:t>
      </w:r>
      <w:r>
        <w:rPr>
          <w:rFonts w:ascii="Arial" w:cs="Arial" w:eastAsia="Arial" w:hAnsi="Arial"/>
          <w:sz w:val="18"/>
          <w:szCs w:val="18"/>
          <w:color w:val="auto"/>
        </w:rPr>
        <w:t>decreased by $2.1 million from cash inflows of $0.1 million during the first three months of 2011 to cash</w:t>
      </w:r>
      <w:r>
        <w:rPr>
          <w:rFonts w:ascii="Arial" w:cs="Arial" w:eastAsia="Arial" w:hAnsi="Arial"/>
          <w:sz w:val="18"/>
          <w:szCs w:val="18"/>
          <w:i w:val="1"/>
          <w:iCs w:val="1"/>
          <w:color w:val="auto"/>
        </w:rPr>
        <w:t xml:space="preserve"> </w:t>
      </w:r>
      <w:r>
        <w:rPr>
          <w:rFonts w:ascii="Arial" w:cs="Arial" w:eastAsia="Arial" w:hAnsi="Arial"/>
          <w:sz w:val="18"/>
          <w:szCs w:val="18"/>
          <w:color w:val="auto"/>
        </w:rPr>
        <w:t>outflows of $2.0 million during the first three months of 2012. During the first quarter of 2012, we paid $3.0 million of the $5.0 million holdback amount to CG International Holdings Limited relating to the acquisition of Enson. Other than this payment, working capital requirements in total remained relatively consistent with the prior year.</w:t>
      </w:r>
    </w:p>
    <w:p>
      <w:pPr>
        <w:spacing w:after="0" w:line="143"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decreased by $0.7 million from $2.6 million during the first three months of 2011 to $1.9 million during the first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2012. Cash outflows to purchase property, plant and equipment were $2.3 million for the three months ended March 31, 2011 compared to cash outflows of $1.7 million recorded during the three months ended March 31, 2012. The decrease in property, plant and equipment purchases is due to the completion of the capacity expansion at the Yang Zhou factory during 2011.</w:t>
      </w:r>
    </w:p>
    <w:p>
      <w:pPr>
        <w:spacing w:after="0" w:line="143"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i w:val="1"/>
          <w:iCs w:val="1"/>
          <w:color w:val="auto"/>
        </w:rPr>
        <w:t xml:space="preserve">Net cash used for financing activities </w:t>
      </w:r>
      <w:r>
        <w:rPr>
          <w:rFonts w:ascii="Arial" w:cs="Arial" w:eastAsia="Arial" w:hAnsi="Arial"/>
          <w:sz w:val="16"/>
          <w:szCs w:val="16"/>
          <w:color w:val="auto"/>
        </w:rPr>
        <w:t>decreased by $6.0 million from cash outflows of $7.3 million during the first three months of 2011 to cash outflows of $1.3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during the first three months of 2012. The decrease in cash used for financing activities was driven primarily by our net payments of $2.2 million on our term loan and credit facility with U.S. Bank during the first three months of 2012 compared to payments of $7.2 million during the first three months of 2011. In addition, proceeds from stock options exercised increased by $1.1 million for the first three months of 2012 compared to the first three months of 2011.</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first three months of 2012, we repurchased 17,261 shares of our common stock for $0.3 million compared to our repurchase of 13,222 shares of our common stock for $0.4 million during the first three months of 2011. We hold repurchased shares as treasury stock and they are available for reissue. Presently, except for using a small number of these treasury shares to compensate our outside board members, we have no plans to distribute these shares. However, we may change these plans if necessary to fulfill our on-going business objectives.</w:t>
      </w:r>
    </w:p>
    <w:p>
      <w:pPr>
        <w:spacing w:after="0" w:line="14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On February 11, 2010, our Board of Directors authorized management to continue repurchasing up to 1,000,000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March 31, 2012, we have repurchased 947,351 shares of our common stock under this authorization, leaving 52,649 shares available for repurchase.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On October 26, 2011, our Board of Directors authorized management to repurchase an additional 1,000,000 shares of our issued and outstanding common stock.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have not repurchased any shares under the Board authorization approved on October 26, 2011 as of March 31,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March 31, 2012, our contractual obligations were $85.6 million compared to $63.4 million reported in our Annual Report on Form 10-K as of December 31, 2011. The following table summarizes our contractual obligations on March 31, 2012 and the effect these obligations are expected to have on our liquidity and cash flow in future periods.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Payments Due by Period</w:t>
            </w: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7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5"/>
              </w:rPr>
              <w:t>Less than</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120"/>
              <w:spacing w:after="0" w:line="129" w:lineRule="exact"/>
              <w:rPr>
                <w:sz w:val="20"/>
                <w:szCs w:val="20"/>
                <w:color w:val="auto"/>
              </w:rPr>
            </w:pPr>
            <w:r>
              <w:rPr>
                <w:rFonts w:ascii="Arial" w:cs="Arial" w:eastAsia="Arial" w:hAnsi="Arial"/>
                <w:sz w:val="14"/>
                <w:szCs w:val="14"/>
                <w:b w:val="1"/>
                <w:bCs w:val="1"/>
                <w:color w:val="auto"/>
              </w:rPr>
              <w:t>1-3</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120"/>
              <w:spacing w:after="0" w:line="129" w:lineRule="exact"/>
              <w:rPr>
                <w:sz w:val="20"/>
                <w:szCs w:val="20"/>
                <w:color w:val="auto"/>
              </w:rPr>
            </w:pPr>
            <w:r>
              <w:rPr>
                <w:rFonts w:ascii="Arial" w:cs="Arial" w:eastAsia="Arial" w:hAnsi="Arial"/>
                <w:sz w:val="14"/>
                <w:szCs w:val="14"/>
                <w:b w:val="1"/>
                <w:bCs w:val="1"/>
                <w:color w:val="auto"/>
              </w:rPr>
              <w:t>4-5</w:t>
            </w:r>
          </w:p>
        </w:tc>
        <w:tc>
          <w:tcPr>
            <w:tcW w:w="300" w:type="dxa"/>
            <w:vAlign w:val="bottom"/>
          </w:tcPr>
          <w:p>
            <w:pPr>
              <w:spacing w:after="0"/>
              <w:rPr>
                <w:sz w:val="11"/>
                <w:szCs w:val="11"/>
                <w:color w:val="auto"/>
              </w:rPr>
            </w:pPr>
          </w:p>
        </w:tc>
        <w:tc>
          <w:tcPr>
            <w:tcW w:w="4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11"/>
                <w:szCs w:val="11"/>
                <w:color w:val="auto"/>
              </w:rPr>
            </w:pPr>
          </w:p>
        </w:tc>
      </w:tr>
      <w:tr>
        <w:trPr>
          <w:trHeight w:val="161"/>
        </w:trPr>
        <w:tc>
          <w:tcPr>
            <w:tcW w:w="74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480" w:type="dxa"/>
            <w:vAlign w:val="bottom"/>
          </w:tcPr>
          <w:p>
            <w:pPr>
              <w:jc w:val="right"/>
              <w:ind w:right="57"/>
              <w:spacing w:after="0"/>
              <w:rPr>
                <w:sz w:val="20"/>
                <w:szCs w:val="20"/>
                <w:color w:val="auto"/>
              </w:rPr>
            </w:pPr>
            <w:r>
              <w:rPr>
                <w:rFonts w:ascii="Arial" w:cs="Arial" w:eastAsia="Arial" w:hAnsi="Arial"/>
                <w:sz w:val="14"/>
                <w:szCs w:val="14"/>
                <w:b w:val="1"/>
                <w:bCs w:val="1"/>
                <w:color w:val="auto"/>
                <w:w w:val="95"/>
              </w:rPr>
              <w:t>Total</w:t>
            </w:r>
          </w:p>
        </w:tc>
        <w:tc>
          <w:tcPr>
            <w:tcW w:w="300" w:type="dxa"/>
            <w:vAlign w:val="bottom"/>
          </w:tcPr>
          <w:p>
            <w:pPr>
              <w:spacing w:after="0"/>
              <w:rPr>
                <w:sz w:val="14"/>
                <w:szCs w:val="14"/>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1 year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0"/>
              <w:spacing w:after="0"/>
              <w:rPr>
                <w:sz w:val="20"/>
                <w:szCs w:val="20"/>
                <w:color w:val="auto"/>
              </w:rPr>
            </w:pPr>
            <w:r>
              <w:rPr>
                <w:rFonts w:ascii="Arial" w:cs="Arial" w:eastAsia="Arial" w:hAnsi="Arial"/>
                <w:sz w:val="14"/>
                <w:szCs w:val="14"/>
                <w:b w:val="1"/>
                <w:bCs w:val="1"/>
                <w:color w:val="auto"/>
                <w:w w:val="89"/>
              </w:rPr>
              <w:t>Years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40"/>
              <w:spacing w:after="0"/>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14"/>
                <w:szCs w:val="14"/>
                <w:color w:val="auto"/>
              </w:rPr>
            </w:pPr>
          </w:p>
        </w:tc>
        <w:tc>
          <w:tcPr>
            <w:tcW w:w="5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5 years</w:t>
            </w:r>
          </w:p>
        </w:tc>
      </w:tr>
      <w:tr>
        <w:trPr>
          <w:trHeight w:val="196"/>
        </w:trPr>
        <w:tc>
          <w:tcPr>
            <w:tcW w:w="7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Contractual obligations:</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420" w:type="dxa"/>
            <w:vAlign w:val="bottom"/>
          </w:tcPr>
          <w:p>
            <w:pPr>
              <w:ind w:left="440"/>
              <w:spacing w:after="0"/>
              <w:rPr>
                <w:sz w:val="20"/>
                <w:szCs w:val="20"/>
                <w:color w:val="auto"/>
              </w:rPr>
            </w:pPr>
            <w:r>
              <w:rPr>
                <w:rFonts w:ascii="Arial" w:cs="Arial" w:eastAsia="Arial" w:hAnsi="Arial"/>
                <w:sz w:val="18"/>
                <w:szCs w:val="18"/>
                <w:color w:val="auto"/>
              </w:rPr>
              <w:t>Operating lease obligations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7,215</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$ 2,461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3,172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1,502</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1"/>
                <w:szCs w:val="11"/>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78,374</w:t>
            </w: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20,400</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56,100</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42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85,589</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$ 4,335</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23,572</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57,602</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Purchase obligations include contractual payments to purchase tooling assets and inventory.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Historically, we have utilized cash provided from operations as our primary source of liquidity, as internally generated cash flows have been sufficient to support our business operations, capital expenditures and discretionary share repurchases. We believe our current cash balances and anticipated cash flow to be generated from operations will be sufficient to cover cash outlays expected for at least the next twelve months; however, because our cash is located in various jurisdictions throughout the world, we may need to borrow from our line of credit until we are able to transfer cash among our various entities.</w:t>
      </w:r>
    </w:p>
    <w:p>
      <w:pPr>
        <w:spacing w:after="0" w:line="11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 are able to supplement this near-term liquidity, if necessary, with our credit line facility. Our liquidity is subject to various risks including the market risks identified in the section entitled “Qualitative and Quantitative Disclosures about Market Risk” in Item 3.</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82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1480" w:type="dxa"/>
            <w:vAlign w:val="bottom"/>
            <w:gridSpan w:val="3"/>
          </w:tcPr>
          <w:p>
            <w:pPr>
              <w:ind w:left="5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43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8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138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4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$ 24,312</w:t>
            </w:r>
          </w:p>
        </w:tc>
        <w:tc>
          <w:tcPr>
            <w:tcW w:w="5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29,372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Total debt</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14,200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16,400</w:t>
            </w: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Available borrowing resources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March 31, 2012, we had an outstanding balance of $12.2 million related to our U.S. Bank 1-year term loan facility. Our term loan, along with our line of credit and available cash, were utilized to finance the acquisition of Enson and to pay related transaction costs, fees, and expenses. Amounts paid or prepaid on the term loan may not be re-borrowed. The minimum principal payments for the term loan are $2.2 million each quarter, and began on January 5, 2011. On October 31, 2011, we extended the maturity date of this term loan to November 1, 2012.</w:t>
      </w:r>
    </w:p>
    <w:p>
      <w:pPr>
        <w:spacing w:after="0" w:line="143"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Our U.S. Bank credit agreement is secured by sixty-five percent of Enson. Amounts available for borrowing are reduced by the balance of any outstanding import letters of credit and are subject to certain quarterly financial covenants related to our cash flow, fixed charges, quick ratio, and net income. On March 2, 2012, we entered into an amendment adjusting the quick ratio effective December 31, 2011. We were not in breach of our debt covenants on March 31, 2012.</w:t>
      </w:r>
    </w:p>
    <w:p>
      <w:pPr>
        <w:spacing w:after="0" w:line="10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cash balances are held in numerous locations throughout the world, including substantial amounts held outside of the United States. The majority of our cash is held outside of the United States and may be repatriated to the United States but, under current law, would be subject to United States federal income taxes, less applicable foreign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tax credits. Repatriation of some foreign balances is restricted by local laws. We have not provided for the United States federal tax liability on these amounts for financial statement purposes as this cash is considered indefinitely reinvested outside of the United States. Our intent is to meet our domestic liquidity needs through ongoing cash flows, external borrowings, or both. We utilize a variety of tax planning strategies in an effort to ensure that our worldwide cash is available in the locations in which it is needed.</w:t>
      </w:r>
    </w:p>
    <w:p>
      <w:pPr>
        <w:spacing w:after="0" w:line="14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On March 31, 2012, we had approximately $2.0 million, $3.4 million, $15.6 million, $0.2 million and $3.1 million of cash and cash equivalents in the United States, Europe, Asia, Cayman Islands, and South America, respectively. On December 31, 2011, we had approximately $4.1 million, $7.6 million, $16.5 million, $0.1 million, and $1.1 million of cash and cash equivalents in the United States, Europe, Asia, Cayman Islands and South America, respectively. We attempt to mitigate our exposure to liquidity, credit and other relevant risks by placing our cash and cash equivalents with financial institutions we believe are high quality.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For further information regarding our credit facilities, see “ITEM 3. QUANTITATIVE AND QUALITATIVE DISCLOSURES ABOUT MARKET RISK.”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Other than the contractual obligations disclosed above, we do not participate in any off 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9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in “Management’s Discussion and Analysis of Financial Condition and Results of Operations,” as well as those discussed in our 2011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While we believe that the forward-looking statements made in this report are based on reasonable assumptions, the actual outcome of such statements is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effects of political unrest, war or terrorist activities may have on us or the economy; the economic environment’s effect on us or our customers; the growth of, acceptance of and the demand for our products and technologies in various markets and geographical regions, including cable, satellite, consumer electronics, retail, digital media/technology, CEDIA, and interactive TV industries not materializing or growing as we believed; our inability to add profitable complementary products which are accepted by the marketplace; our inability to attract and retain quality workforce at adequate levels in all regions of the world, and particularly Asia; our inability to continue to maintain our operating costs at acceptable levels through our cost containment efforts; our inability to realize tax benefits from various tax projects initiated from time to time; our inability to continue selling our products or licensing our technologies at higher or profitable margins; our inability to obtain orders or maintain our order volume with new and existing customers; the possible dilutive effect our stock incentive programs may have on our earnings per share and stock price;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7"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are exposed to interest rate risk related to our debt. We may withdraw either U.S. dollars or foreign currencies from our credit facilities. Our market risk exposures in connection with the debt are primarily U.S. dollar LIBOR-based floating interest. On March 31, 2012, we had an outstanding balance of $12.2 million related to our U.S. Bank 1-year term loan facility. The term loan maturity date is November 1, 2012, after extending the term for an additional 12 months effective October 31, 2011. Under the U.S. Bank term loan, we may elect to pay interest based on the bank’s prime rate or LIBOR plus a fixed margin of 1.5%. The applicable LIBOR (1, 3, 6, or 12-month LIBOR) corresponds with the loan period we select. At March 31, 2012, the 1-month LIBOR plus the fixed margin was approximately 1.7%, and the bank’s prime rate was 3.25%. If a LIBOR rate loan is prepaid prior to the completion of the loan period, we must pay the bank the difference between the interest the bank would have earned had prepayment not occurred and the interest the bank actually earned. We may prepay prime rate loans in whole or in part at any time without a premium or penalty.</w:t>
      </w:r>
    </w:p>
    <w:p>
      <w:pPr>
        <w:spacing w:after="0" w:line="118"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On March 31, 2012, we had an outstanding balance of $2.0 million related to our U.S. Bank secured revolving credit line. Under the U.S. Bank secured revolving credit line, we may elect to pay interest based on the bank’s prime rate or LIBOR plus a fixed margin of 1.8%. The applicable LIBOR (1, 3, 6, or 12-month LIBOR) corresponds with the loan period we select. At March 31, 2012, the 1-month LIBOR plus the fixed margin was 2.0%, and the bank’s prime rate was</w:t>
      </w:r>
    </w:p>
    <w:p>
      <w:pPr>
        <w:spacing w:after="0" w:line="1"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3.25%. If a LIBOR rate loan is prepaid prior to the completion of the loan period, we must pay the bank the difference between the interest the bank would have earned had prepayment not occurred and the interest the bank actually earned. We may prepay prime rate loans in whole or in part at any time without a premium or penalty.</w:t>
      </w:r>
    </w:p>
    <w:p>
      <w:pPr>
        <w:spacing w:after="0" w:line="14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At March 31, 2012, we had wholly-owned subsidiaries in Argentina, Brazil, Cayman Islands, France, Germany, Hong Kong, India, Italy, the Netherlands, People’s Republic of China, Singapore, Spain, and the United Kingdom. We are exposed to foreign currency exchange rate risk inherent in our sales commitments, anticipated sales, anticipated purchases, assets and liabilities denominated in currencies other than the U.S. dollar. The most significant foreign currencies to our operations for the three months ended March 31, 2012 were the Argentine Peso, Brazilian Real, British Pound, Chinese Yuan Renminbi, Euro, Hong Kong dollar, Indian Rupee, and Singapore dollar. For most currencies, we are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sensitivity of earnings and cash flows to the variability in exchange rates is assessed by applying an approximate range of potential rate fluctuations to our assets, obligations and projected results of operations denominated in foreign currency with all other variables held constant. The analysis covers all of our foreign currency contracts offset by the underlying exposures. Based on our overall foreign currency rate exposure at March 31, 2012, we believe that movements in foreign currency rates may have a material affect on our financial position. We estimate that if the exchange rates for the Euro, British Pound, Chinese Yuan Renminbi, Indian Rupee, and Singapore dollar relative to the U.S. dollar fluctuate 10% from March 31, 2012, net income and total cash flows in the second quarter of 2012 will fluctuate by approximately $3.1 million and $2.0 million,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2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 There were no changes in our internal control over financial reporting that occurred during the most recent fiscal quarter that have materially affected, or are reasonably likely to materially affect, our internal control over financial reporting.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information set forth above under Note 10 — Commitments and Contingencies — Litigation contained in the “Notes to the Consolidated Financial Statements”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reader should carefully consider, in connection with the other information in this report, the factors discussed in Part I, “Item 1A: Risk Factors” on pages 10 through 20 of the Company’s 2011 Annual Report on Form 10-K incorporated herein by reference. These factors may cause our actual results to differ materially from those stated in forward-looking statements contained in this document and elsewhere.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March 31, 2012, we did not sell any equity securities that were not registered under the Securities Act of 1933.</w:t>
      </w:r>
    </w:p>
    <w:p>
      <w:pPr>
        <w:spacing w:after="0" w:line="17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On February 11, 2010, our Board of Directors authorized management to continue repurchasing up to an additional 1,000,000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At March 31, 2012, we have purchased 947,351 shares of our common stock, leaving 52,649 shares available for purchase under this authorization. On October 26, 2011, our Board of Directors authorized management to repurchase an additional 1,000,000 shares of our issued and outstanding common stock. We have not repurchased any shares under the Board authorization approved on October 26, 2011. Repurchase information for the first quarter of 2012 is set forth by month in the following table:</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9"/>
              </w:rPr>
              <w:t>Total Number of</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9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Shares</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Maximum Number of</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9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Purchased as Part of</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 that May Yet</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280" w:type="dxa"/>
            <w:vAlign w:val="bottom"/>
          </w:tcPr>
          <w:p>
            <w:pPr>
              <w:spacing w:after="0"/>
              <w:rPr>
                <w:sz w:val="12"/>
                <w:szCs w:val="12"/>
                <w:color w:val="auto"/>
              </w:rPr>
            </w:pPr>
          </w:p>
        </w:tc>
        <w:tc>
          <w:tcPr>
            <w:tcW w:w="13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Average</w:t>
            </w:r>
          </w:p>
        </w:tc>
        <w:tc>
          <w:tcPr>
            <w:tcW w:w="19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Be Purchased</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3960" w:type="dxa"/>
            <w:vAlign w:val="bottom"/>
            <w:vMerge w:val="restart"/>
          </w:tcPr>
          <w:p>
            <w:pPr>
              <w:spacing w:after="0"/>
              <w:rPr>
                <w:sz w:val="12"/>
                <w:szCs w:val="12"/>
                <w:color w:val="auto"/>
              </w:rPr>
            </w:pPr>
          </w:p>
        </w:tc>
        <w:tc>
          <w:tcPr>
            <w:tcW w:w="12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of Shares</w:t>
            </w:r>
          </w:p>
        </w:tc>
        <w:tc>
          <w:tcPr>
            <w:tcW w:w="280" w:type="dxa"/>
            <w:vAlign w:val="bottom"/>
          </w:tcPr>
          <w:p>
            <w:pPr>
              <w:spacing w:after="0"/>
              <w:rPr>
                <w:sz w:val="12"/>
                <w:szCs w:val="12"/>
                <w:color w:val="auto"/>
              </w:rPr>
            </w:pPr>
          </w:p>
        </w:tc>
        <w:tc>
          <w:tcPr>
            <w:tcW w:w="1320" w:type="dxa"/>
            <w:vAlign w:val="bottom"/>
            <w:gridSpan w:val="3"/>
          </w:tcPr>
          <w:p>
            <w:pPr>
              <w:jc w:val="right"/>
              <w:ind w:right="720"/>
              <w:spacing w:after="0" w:line="149" w:lineRule="exact"/>
              <w:rPr>
                <w:sz w:val="20"/>
                <w:szCs w:val="20"/>
                <w:color w:val="auto"/>
              </w:rPr>
            </w:pPr>
            <w:r>
              <w:rPr>
                <w:rFonts w:ascii="Arial" w:cs="Arial" w:eastAsia="Arial" w:hAnsi="Arial"/>
                <w:sz w:val="14"/>
                <w:szCs w:val="14"/>
                <w:b w:val="1"/>
                <w:bCs w:val="1"/>
                <w:color w:val="auto"/>
                <w:w w:val="85"/>
              </w:rPr>
              <w:t>Price Paid</w:t>
            </w:r>
          </w:p>
        </w:tc>
        <w:tc>
          <w:tcPr>
            <w:tcW w:w="19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Plans or</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Under the Plans or</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3960" w:type="dxa"/>
            <w:vAlign w:val="bottom"/>
            <w:vMerge w:val="continue"/>
          </w:tcPr>
          <w:p>
            <w:pPr>
              <w:spacing w:after="0"/>
              <w:rPr>
                <w:sz w:val="14"/>
                <w:szCs w:val="14"/>
                <w:color w:val="auto"/>
              </w:rPr>
            </w:pPr>
          </w:p>
        </w:tc>
        <w:tc>
          <w:tcPr>
            <w:tcW w:w="1260" w:type="dxa"/>
            <w:vAlign w:val="bottom"/>
            <w:gridSpan w:val="3"/>
          </w:tcPr>
          <w:p>
            <w:pPr>
              <w:jc w:val="center"/>
              <w:ind w:right="420"/>
              <w:spacing w:after="0" w:line="148" w:lineRule="exact"/>
              <w:rPr>
                <w:sz w:val="20"/>
                <w:szCs w:val="20"/>
                <w:color w:val="auto"/>
              </w:rPr>
            </w:pPr>
            <w:r>
              <w:rPr>
                <w:rFonts w:ascii="Arial" w:cs="Arial" w:eastAsia="Arial" w:hAnsi="Arial"/>
                <w:sz w:val="14"/>
                <w:szCs w:val="14"/>
                <w:b w:val="1"/>
                <w:bCs w:val="1"/>
                <w:color w:val="auto"/>
                <w:w w:val="83"/>
              </w:rPr>
              <w:t>Purchased</w:t>
            </w:r>
          </w:p>
        </w:tc>
        <w:tc>
          <w:tcPr>
            <w:tcW w:w="280" w:type="dxa"/>
            <w:vAlign w:val="bottom"/>
          </w:tcPr>
          <w:p>
            <w:pPr>
              <w:spacing w:after="0"/>
              <w:rPr>
                <w:sz w:val="14"/>
                <w:szCs w:val="14"/>
                <w:color w:val="auto"/>
              </w:rPr>
            </w:pPr>
          </w:p>
        </w:tc>
        <w:tc>
          <w:tcPr>
            <w:tcW w:w="1320" w:type="dxa"/>
            <w:vAlign w:val="bottom"/>
            <w:gridSpan w:val="3"/>
          </w:tcPr>
          <w:p>
            <w:pPr>
              <w:jc w:val="right"/>
              <w:ind w:right="740"/>
              <w:spacing w:after="0" w:line="148" w:lineRule="exact"/>
              <w:rPr>
                <w:sz w:val="20"/>
                <w:szCs w:val="20"/>
                <w:color w:val="auto"/>
              </w:rPr>
            </w:pPr>
            <w:r>
              <w:rPr>
                <w:rFonts w:ascii="Arial" w:cs="Arial" w:eastAsia="Arial" w:hAnsi="Arial"/>
                <w:sz w:val="14"/>
                <w:szCs w:val="14"/>
                <w:b w:val="1"/>
                <w:bCs w:val="1"/>
                <w:color w:val="auto"/>
                <w:w w:val="86"/>
              </w:rPr>
              <w:t>per Share</w:t>
            </w:r>
          </w:p>
        </w:tc>
        <w:tc>
          <w:tcPr>
            <w:tcW w:w="1920" w:type="dxa"/>
            <w:vAlign w:val="bottom"/>
            <w:gridSpan w:val="2"/>
          </w:tcPr>
          <w:p>
            <w:pPr>
              <w:jc w:val="center"/>
              <w:ind w:right="720"/>
              <w:spacing w:after="0" w:line="148" w:lineRule="exact"/>
              <w:rPr>
                <w:sz w:val="20"/>
                <w:szCs w:val="20"/>
                <w:color w:val="auto"/>
              </w:rPr>
            </w:pPr>
            <w:r>
              <w:rPr>
                <w:rFonts w:ascii="Arial" w:cs="Arial" w:eastAsia="Arial" w:hAnsi="Arial"/>
                <w:sz w:val="14"/>
                <w:szCs w:val="14"/>
                <w:b w:val="1"/>
                <w:bCs w:val="1"/>
                <w:color w:val="auto"/>
                <w:w w:val="85"/>
              </w:rPr>
              <w:t>Programs</w:t>
            </w:r>
          </w:p>
        </w:tc>
        <w:tc>
          <w:tcPr>
            <w:tcW w:w="13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Programs</w:t>
            </w: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January 1, 2012 – January 31, 2012</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12,490</w:t>
            </w: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17.38</w:t>
            </w:r>
          </w:p>
        </w:tc>
        <w:tc>
          <w:tcPr>
            <w:tcW w:w="7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12,490</w:t>
            </w:r>
          </w:p>
        </w:tc>
        <w:tc>
          <w:tcPr>
            <w:tcW w:w="7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1,057,420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February 1, 2012 – February 28, 2012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19.63</w:t>
            </w:r>
          </w:p>
        </w:tc>
        <w:tc>
          <w:tcPr>
            <w:tcW w:w="720" w:type="dxa"/>
            <w:vAlign w:val="bottom"/>
          </w:tcPr>
          <w:p>
            <w:pPr>
              <w:spacing w:after="0"/>
              <w:rPr>
                <w:sz w:val="18"/>
                <w:szCs w:val="18"/>
                <w:color w:val="auto"/>
              </w:rPr>
            </w:pPr>
          </w:p>
        </w:tc>
        <w:tc>
          <w:tcPr>
            <w:tcW w:w="1920" w:type="dxa"/>
            <w:vAlign w:val="bottom"/>
            <w:gridSpan w:val="2"/>
          </w:tcPr>
          <w:p>
            <w:pPr>
              <w:jc w:val="right"/>
              <w:ind w:right="720"/>
              <w:spacing w:after="0"/>
              <w:rPr>
                <w:sz w:val="20"/>
                <w:szCs w:val="20"/>
                <w:color w:val="auto"/>
              </w:rPr>
            </w:pPr>
            <w:r>
              <w:rPr>
                <w:rFonts w:ascii="Arial" w:cs="Arial" w:eastAsia="Arial" w:hAnsi="Arial"/>
                <w:sz w:val="18"/>
                <w:szCs w:val="18"/>
                <w:color w:val="auto"/>
              </w:rPr>
              <w:t>97</w:t>
            </w:r>
          </w:p>
        </w:tc>
        <w:tc>
          <w:tcPr>
            <w:tcW w:w="1260" w:type="dxa"/>
            <w:vAlign w:val="bottom"/>
          </w:tcPr>
          <w:p>
            <w:pPr>
              <w:jc w:val="right"/>
              <w:spacing w:after="0"/>
              <w:rPr>
                <w:sz w:val="20"/>
                <w:szCs w:val="20"/>
                <w:color w:val="auto"/>
              </w:rPr>
            </w:pPr>
            <w:r>
              <w:rPr>
                <w:rFonts w:ascii="Arial" w:cs="Arial" w:eastAsia="Arial" w:hAnsi="Arial"/>
                <w:sz w:val="18"/>
                <w:szCs w:val="18"/>
                <w:color w:val="auto"/>
              </w:rPr>
              <w:t>1,057,323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2012 – March 31, 2012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19.26</w:t>
            </w:r>
          </w:p>
        </w:tc>
        <w:tc>
          <w:tcPr>
            <w:tcW w:w="7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4,674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Total First Quarter 2012</w:t>
            </w: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w w:val="97"/>
              </w:rPr>
              <w:t>17.90</w:t>
            </w:r>
          </w:p>
        </w:tc>
        <w:tc>
          <w:tcPr>
            <w:tcW w:w="7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gridSpan w:val="2"/>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17,261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1920" w:type="dxa"/>
            <w:vAlign w:val="bottom"/>
            <w:gridSpan w:val="2"/>
          </w:tcPr>
          <w:p>
            <w:pPr>
              <w:jc w:val="right"/>
              <w:ind w:right="720"/>
              <w:spacing w:after="0"/>
              <w:rPr>
                <w:sz w:val="20"/>
                <w:szCs w:val="20"/>
                <w:color w:val="auto"/>
              </w:rPr>
            </w:pPr>
            <w:r>
              <w:rPr>
                <w:rFonts w:ascii="Arial" w:cs="Arial" w:eastAsia="Arial" w:hAnsi="Arial"/>
                <w:sz w:val="18"/>
                <w:szCs w:val="18"/>
                <w:color w:val="auto"/>
              </w:rPr>
              <w:t>17,261</w:t>
            </w:r>
          </w:p>
        </w:tc>
        <w:tc>
          <w:tcPr>
            <w:tcW w:w="1260" w:type="dxa"/>
            <w:vAlign w:val="bottom"/>
          </w:tcPr>
          <w:p>
            <w:pPr>
              <w:jc w:val="right"/>
              <w:spacing w:after="0"/>
              <w:rPr>
                <w:sz w:val="20"/>
                <w:szCs w:val="20"/>
                <w:color w:val="auto"/>
              </w:rPr>
            </w:pPr>
            <w:r>
              <w:rPr>
                <w:rFonts w:ascii="Arial" w:cs="Arial" w:eastAsia="Arial" w:hAnsi="Arial"/>
                <w:sz w:val="18"/>
                <w:szCs w:val="18"/>
                <w:color w:val="auto"/>
              </w:rPr>
              <w:t>1,052,649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8" w:lineRule="exact"/>
        <w:rPr>
          <w:sz w:val="20"/>
          <w:szCs w:val="20"/>
          <w:color w:val="auto"/>
        </w:rPr>
      </w:pPr>
    </w:p>
    <w:tbl>
      <w:tblPr>
        <w:tblLayout w:type="fixed"/>
        <w:tblInd w:w="180" w:type="dxa"/>
        <w:tblCellMar>
          <w:top w:w="0" w:type="dxa"/>
          <w:left w:w="0" w:type="dxa"/>
          <w:bottom w:w="0" w:type="dxa"/>
          <w:right w:w="0" w:type="dxa"/>
        </w:tblCellMar>
      </w:tblPr>
      <w:tr>
        <w:trPr>
          <w:trHeight w:val="222"/>
        </w:trPr>
        <w:tc>
          <w:tcPr>
            <w:tcW w:w="700" w:type="dxa"/>
            <w:vAlign w:val="bottom"/>
          </w:tcPr>
          <w:p>
            <w:pPr>
              <w:jc w:val="right"/>
              <w:ind w:right="292"/>
              <w:spacing w:after="0"/>
              <w:rPr>
                <w:sz w:val="20"/>
                <w:szCs w:val="20"/>
                <w:color w:val="auto"/>
              </w:rPr>
            </w:pPr>
            <w:r>
              <w:rPr>
                <w:rFonts w:ascii="Arial" w:cs="Arial" w:eastAsia="Arial" w:hAnsi="Arial"/>
                <w:sz w:val="18"/>
                <w:szCs w:val="18"/>
                <w:color w:val="auto"/>
                <w:w w:val="85"/>
              </w:rPr>
              <w:t>31.1</w:t>
            </w:r>
          </w:p>
        </w:tc>
        <w:tc>
          <w:tcPr>
            <w:tcW w:w="10320" w:type="dxa"/>
            <w:vAlign w:val="bottom"/>
          </w:tcPr>
          <w:p>
            <w:pPr>
              <w:ind w:left="380"/>
              <w:spacing w:after="0"/>
              <w:rPr>
                <w:sz w:val="20"/>
                <w:szCs w:val="20"/>
                <w:color w:val="auto"/>
              </w:rPr>
            </w:pPr>
            <w:r>
              <w:rPr>
                <w:rFonts w:ascii="Arial" w:cs="Arial" w:eastAsia="Arial" w:hAnsi="Arial"/>
                <w:sz w:val="18"/>
                <w:szCs w:val="18"/>
                <w:color w:val="auto"/>
                <w:w w:val="98"/>
              </w:rPr>
              <w:t>Rule 13a-14(a) Certifications of Paul D. Arling, Chief Executive Officer (principal executive officer) of Universal Electronics Inc.</w:t>
            </w:r>
          </w:p>
        </w:tc>
      </w:tr>
      <w:tr>
        <w:trPr>
          <w:trHeight w:val="318"/>
        </w:trPr>
        <w:tc>
          <w:tcPr>
            <w:tcW w:w="700" w:type="dxa"/>
            <w:vAlign w:val="bottom"/>
          </w:tcPr>
          <w:p>
            <w:pPr>
              <w:jc w:val="right"/>
              <w:ind w:right="292"/>
              <w:spacing w:after="0"/>
              <w:rPr>
                <w:sz w:val="20"/>
                <w:szCs w:val="20"/>
                <w:color w:val="auto"/>
              </w:rPr>
            </w:pPr>
            <w:r>
              <w:rPr>
                <w:rFonts w:ascii="Arial" w:cs="Arial" w:eastAsia="Arial" w:hAnsi="Arial"/>
                <w:sz w:val="18"/>
                <w:szCs w:val="18"/>
                <w:color w:val="auto"/>
                <w:w w:val="85"/>
              </w:rPr>
              <w:t>31.2</w:t>
            </w:r>
          </w:p>
        </w:tc>
        <w:tc>
          <w:tcPr>
            <w:tcW w:w="10320" w:type="dxa"/>
            <w:vAlign w:val="bottom"/>
          </w:tcPr>
          <w:p>
            <w:pPr>
              <w:ind w:left="380"/>
              <w:spacing w:after="0"/>
              <w:rPr>
                <w:sz w:val="20"/>
                <w:szCs w:val="20"/>
                <w:color w:val="auto"/>
              </w:rPr>
            </w:pPr>
            <w:r>
              <w:rPr>
                <w:rFonts w:ascii="Arial" w:cs="Arial" w:eastAsia="Arial" w:hAnsi="Arial"/>
                <w:sz w:val="18"/>
                <w:szCs w:val="18"/>
                <w:color w:val="auto"/>
                <w:w w:val="91"/>
              </w:rPr>
              <w:t>Rule 13a-14(a) Certifications of Bryan M. Hackworth, Chief Financial Officer (principal financial officer and principal accounting officer) of</w:t>
            </w:r>
          </w:p>
        </w:tc>
      </w:tr>
      <w:tr>
        <w:trPr>
          <w:trHeight w:val="222"/>
        </w:trPr>
        <w:tc>
          <w:tcPr>
            <w:tcW w:w="700" w:type="dxa"/>
            <w:vAlign w:val="bottom"/>
          </w:tcPr>
          <w:p>
            <w:pPr>
              <w:spacing w:after="0"/>
              <w:rPr>
                <w:sz w:val="19"/>
                <w:szCs w:val="19"/>
                <w:color w:val="auto"/>
              </w:rPr>
            </w:pPr>
          </w:p>
        </w:tc>
        <w:tc>
          <w:tcPr>
            <w:tcW w:w="10320" w:type="dxa"/>
            <w:vAlign w:val="bottom"/>
          </w:tcPr>
          <w:p>
            <w:pPr>
              <w:ind w:left="380"/>
              <w:spacing w:after="0"/>
              <w:rPr>
                <w:sz w:val="20"/>
                <w:szCs w:val="20"/>
                <w:color w:val="auto"/>
              </w:rPr>
            </w:pPr>
            <w:r>
              <w:rPr>
                <w:rFonts w:ascii="Arial" w:cs="Arial" w:eastAsia="Arial" w:hAnsi="Arial"/>
                <w:sz w:val="18"/>
                <w:szCs w:val="18"/>
                <w:color w:val="auto"/>
              </w:rPr>
              <w:t>Universal Electronics Inc.</w:t>
            </w:r>
          </w:p>
        </w:tc>
      </w:tr>
    </w:tbl>
    <w:p>
      <w:pPr>
        <w:spacing w:after="0" w:line="102" w:lineRule="exact"/>
        <w:rPr>
          <w:sz w:val="20"/>
          <w:szCs w:val="20"/>
          <w:color w:val="auto"/>
        </w:rPr>
      </w:pPr>
    </w:p>
    <w:p>
      <w:pPr>
        <w:ind w:left="1260" w:hanging="1076"/>
        <w:spacing w:after="0" w:line="259" w:lineRule="auto"/>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ectPr>
          <w:pgSz w:w="11900" w:h="16838" w:orient="portrait"/>
          <w:cols w:equalWidth="0" w:num="1">
            <w:col w:w="11340"/>
          </w:cols>
          <w:pgMar w:left="240" w:top="459" w:right="319" w:bottom="144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40" w:lineRule="exact"/>
        <w:rPr>
          <w:sz w:val="20"/>
          <w:szCs w:val="20"/>
          <w:color w:val="auto"/>
        </w:rPr>
      </w:pPr>
    </w:p>
    <w:p>
      <w:pPr>
        <w:sectPr>
          <w:pgSz w:w="11900" w:h="16838" w:orient="portrait"/>
          <w:cols w:equalWidth="0" w:num="2">
            <w:col w:w="680" w:space="580"/>
            <w:col w:w="1008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40" w:lineRule="exact"/>
        <w:rPr>
          <w:sz w:val="20"/>
          <w:szCs w:val="20"/>
          <w:color w:val="auto"/>
        </w:rPr>
      </w:pPr>
    </w:p>
    <w:p>
      <w:pPr>
        <w:sectPr>
          <w:pgSz w:w="11900" w:h="16838" w:orient="portrait"/>
          <w:cols w:equalWidth="0" w:num="2">
            <w:col w:w="740" w:space="520"/>
            <w:col w:w="1008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40" w:lineRule="exact"/>
        <w:rPr>
          <w:sz w:val="20"/>
          <w:szCs w:val="20"/>
          <w:color w:val="auto"/>
        </w:rPr>
      </w:pPr>
    </w:p>
    <w:p>
      <w:pPr>
        <w:sectPr>
          <w:pgSz w:w="11900" w:h="16838" w:orient="portrait"/>
          <w:cols w:equalWidth="0" w:num="2">
            <w:col w:w="760" w:space="500"/>
            <w:col w:w="1008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40" w:lineRule="exact"/>
        <w:rPr>
          <w:sz w:val="20"/>
          <w:szCs w:val="20"/>
          <w:color w:val="auto"/>
        </w:rPr>
      </w:pPr>
    </w:p>
    <w:p>
      <w:pPr>
        <w:sectPr>
          <w:pgSz w:w="11900" w:h="16838" w:orient="portrait"/>
          <w:cols w:equalWidth="0" w:num="2">
            <w:col w:w="760" w:space="500"/>
            <w:col w:w="1008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81" w:lineRule="exact"/>
        <w:rPr>
          <w:sz w:val="20"/>
          <w:szCs w:val="20"/>
          <w:color w:val="auto"/>
        </w:rPr>
      </w:pPr>
    </w:p>
    <w:p>
      <w:pPr>
        <w:sectPr>
          <w:pgSz w:w="11900" w:h="16838" w:orient="portrait"/>
          <w:cols w:equalWidth="0" w:num="2">
            <w:col w:w="720" w:space="540"/>
            <w:col w:w="10080"/>
          </w:cols>
          <w:pgMar w:left="240" w:top="459" w:right="319" w:bottom="1440" w:gutter="0" w:footer="0" w:header="0"/>
          <w:type w:val="continuous"/>
        </w:sectPr>
      </w:pPr>
    </w:p>
    <w:p>
      <w:pPr>
        <w:ind w:left="220" w:right="200" w:hanging="212"/>
        <w:spacing w:after="0" w:line="259"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459" w:right="31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tabs>
          <w:tab w:leader="none" w:pos="6020" w:val="left"/>
        </w:tabs>
        <w:rPr>
          <w:sz w:val="20"/>
          <w:szCs w:val="20"/>
          <w:color w:val="auto"/>
        </w:rPr>
      </w:pPr>
      <w:r>
        <w:rPr>
          <w:rFonts w:ascii="Arial" w:cs="Arial" w:eastAsia="Arial" w:hAnsi="Arial"/>
          <w:sz w:val="18"/>
          <w:szCs w:val="18"/>
          <w:color w:val="auto"/>
        </w:rPr>
        <w:t>Date: May 9, 2012</w:t>
      </w:r>
      <w:r>
        <w:rPr>
          <w:sz w:val="20"/>
          <w:szCs w:val="20"/>
          <w:color w:val="auto"/>
        </w:rPr>
        <w:tab/>
      </w:r>
      <w:r>
        <w:rPr>
          <w:rFonts w:ascii="Arial" w:cs="Arial" w:eastAsia="Arial" w:hAnsi="Arial"/>
          <w:sz w:val="16"/>
          <w:szCs w:val="16"/>
          <w:color w:val="auto"/>
        </w:rPr>
        <w:t>Universal Electronics Inc.</w:t>
      </w:r>
    </w:p>
    <w:p>
      <w:pPr>
        <w:spacing w:after="0" w:line="225" w:lineRule="exact"/>
        <w:rPr>
          <w:sz w:val="20"/>
          <w:szCs w:val="20"/>
          <w:color w:val="auto"/>
        </w:rPr>
      </w:pPr>
    </w:p>
    <w:p>
      <w:pPr>
        <w:ind w:left="7660"/>
        <w:spacing w:after="0"/>
        <w:tabs>
          <w:tab w:leader="none" w:pos="79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i w:val="1"/>
          <w:iCs w:val="1"/>
          <w:color w:val="auto"/>
        </w:rPr>
        <w:t>B</w:t>
      </w:r>
      <w:r>
        <w:rPr>
          <w:rFonts w:ascii="Arial" w:cs="Arial" w:eastAsia="Arial" w:hAnsi="Arial"/>
          <w:sz w:val="13"/>
          <w:szCs w:val="13"/>
          <w:i w:val="1"/>
          <w:iCs w:val="1"/>
          <w:color w:val="auto"/>
        </w:rPr>
        <w:t>RYAN</w:t>
      </w:r>
      <w:r>
        <w:rPr>
          <w:rFonts w:ascii="Arial" w:cs="Arial" w:eastAsia="Arial" w:hAnsi="Arial"/>
          <w:sz w:val="16"/>
          <w:szCs w:val="16"/>
          <w:i w:val="1"/>
          <w:iCs w:val="1"/>
          <w:color w:val="auto"/>
        </w:rPr>
        <w:t xml:space="preserve"> M. H</w:t>
      </w:r>
      <w:r>
        <w:rPr>
          <w:rFonts w:ascii="Arial" w:cs="Arial" w:eastAsia="Arial" w:hAnsi="Arial"/>
          <w:sz w:val="13"/>
          <w:szCs w:val="13"/>
          <w:i w:val="1"/>
          <w:iCs w:val="1"/>
          <w:color w:val="auto"/>
        </w:rPr>
        <w:t>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3395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jc w:val="center"/>
        <w:ind w:left="6180"/>
        <w:spacing w:after="0"/>
        <w:rPr>
          <w:sz w:val="20"/>
          <w:szCs w:val="20"/>
          <w:color w:val="auto"/>
        </w:rPr>
      </w:pPr>
      <w:r>
        <w:rPr>
          <w:rFonts w:ascii="Arial" w:cs="Arial" w:eastAsia="Arial" w:hAnsi="Arial"/>
          <w:sz w:val="14"/>
          <w:szCs w:val="14"/>
          <w:b w:val="1"/>
          <w:bCs w:val="1"/>
          <w:color w:val="auto"/>
        </w:rPr>
        <w:t>Bryan M. Hackworth</w:t>
      </w:r>
    </w:p>
    <w:p>
      <w:pPr>
        <w:jc w:val="center"/>
        <w:ind w:left="6180"/>
        <w:spacing w:after="0" w:line="223" w:lineRule="auto"/>
        <w:rPr>
          <w:sz w:val="20"/>
          <w:szCs w:val="20"/>
          <w:color w:val="auto"/>
        </w:rPr>
      </w:pPr>
      <w:r>
        <w:rPr>
          <w:rFonts w:ascii="Arial" w:cs="Arial" w:eastAsia="Arial" w:hAnsi="Arial"/>
          <w:sz w:val="14"/>
          <w:szCs w:val="14"/>
          <w:b w:val="1"/>
          <w:bCs w:val="1"/>
          <w:color w:val="auto"/>
        </w:rPr>
        <w:t>Chief Financial Officer (principal financial officer</w:t>
      </w:r>
    </w:p>
    <w:p>
      <w:pPr>
        <w:jc w:val="center"/>
        <w:ind w:left="6180"/>
        <w:spacing w:after="0"/>
        <w:rPr>
          <w:sz w:val="20"/>
          <w:szCs w:val="20"/>
          <w:color w:val="auto"/>
        </w:rPr>
      </w:pPr>
      <w:r>
        <w:rPr>
          <w:rFonts w:ascii="Arial" w:cs="Arial" w:eastAsia="Arial" w:hAnsi="Arial"/>
          <w:sz w:val="14"/>
          <w:szCs w:val="14"/>
          <w:b w:val="1"/>
          <w:bCs w:val="1"/>
          <w:color w:val="auto"/>
        </w:rPr>
        <w:t>and principal accounting officer)</w:t>
      </w:r>
    </w:p>
    <w:p>
      <w:pPr>
        <w:spacing w:after="0" w:line="12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40"/>
          </w:cols>
          <w:pgMar w:left="240" w:top="459" w:right="7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80" w:type="dxa"/>
        <w:tblCellMar>
          <w:top w:w="0" w:type="dxa"/>
          <w:left w:w="0" w:type="dxa"/>
          <w:bottom w:w="0" w:type="dxa"/>
          <w:right w:w="0" w:type="dxa"/>
        </w:tblCellMar>
      </w:tblPr>
      <w:tr>
        <w:trPr>
          <w:trHeight w:val="228"/>
        </w:trPr>
        <w:tc>
          <w:tcPr>
            <w:tcW w:w="680" w:type="dxa"/>
            <w:vAlign w:val="bottom"/>
          </w:tcPr>
          <w:p>
            <w:pPr>
              <w:spacing w:after="0"/>
              <w:rPr>
                <w:sz w:val="19"/>
                <w:szCs w:val="19"/>
                <w:color w:val="auto"/>
              </w:rPr>
            </w:pPr>
          </w:p>
        </w:tc>
        <w:tc>
          <w:tcPr>
            <w:tcW w:w="10440" w:type="dxa"/>
            <w:vAlign w:val="bottom"/>
            <w:gridSpan w:val="3"/>
          </w:tcPr>
          <w:p>
            <w:pPr>
              <w:ind w:left="428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Exhibit No</w:t>
            </w:r>
          </w:p>
        </w:tc>
        <w:tc>
          <w:tcPr>
            <w:tcW w:w="524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500" w:type="dxa"/>
            <w:vAlign w:val="bottom"/>
          </w:tcPr>
          <w:p>
            <w:pPr>
              <w:spacing w:after="0"/>
              <w:rPr>
                <w:sz w:val="24"/>
                <w:szCs w:val="24"/>
                <w:color w:val="auto"/>
              </w:rPr>
            </w:pPr>
          </w:p>
        </w:tc>
      </w:tr>
      <w:tr>
        <w:trPr>
          <w:trHeight w:val="316"/>
        </w:trPr>
        <w:tc>
          <w:tcPr>
            <w:tcW w:w="680" w:type="dxa"/>
            <w:vAlign w:val="bottom"/>
          </w:tcPr>
          <w:p>
            <w:pPr>
              <w:jc w:val="right"/>
              <w:ind w:right="179"/>
              <w:spacing w:after="0"/>
              <w:rPr>
                <w:sz w:val="20"/>
                <w:szCs w:val="20"/>
                <w:color w:val="auto"/>
              </w:rPr>
            </w:pPr>
            <w:r>
              <w:rPr>
                <w:rFonts w:ascii="Arial" w:cs="Arial" w:eastAsia="Arial" w:hAnsi="Arial"/>
                <w:sz w:val="18"/>
                <w:szCs w:val="18"/>
                <w:color w:val="auto"/>
              </w:rPr>
              <w:t>31.1</w:t>
            </w:r>
          </w:p>
        </w:tc>
        <w:tc>
          <w:tcPr>
            <w:tcW w:w="10440" w:type="dxa"/>
            <w:vAlign w:val="bottom"/>
            <w:gridSpan w:val="3"/>
          </w:tcPr>
          <w:p>
            <w:pPr>
              <w:ind w:left="500"/>
              <w:spacing w:after="0"/>
              <w:rPr>
                <w:sz w:val="20"/>
                <w:szCs w:val="20"/>
                <w:color w:val="auto"/>
              </w:rPr>
            </w:pPr>
            <w:r>
              <w:rPr>
                <w:rFonts w:ascii="Arial" w:cs="Arial" w:eastAsia="Arial" w:hAnsi="Arial"/>
                <w:sz w:val="18"/>
                <w:szCs w:val="18"/>
                <w:color w:val="auto"/>
                <w:w w:val="98"/>
              </w:rPr>
              <w:t>Rule 13a-14(a) Certifications of Paul D. Arling, Chief Executive Officer (principal executive officer) of Universal Electronics Inc.</w:t>
            </w:r>
          </w:p>
        </w:tc>
      </w:tr>
      <w:tr>
        <w:trPr>
          <w:trHeight w:val="318"/>
        </w:trPr>
        <w:tc>
          <w:tcPr>
            <w:tcW w:w="680" w:type="dxa"/>
            <w:vAlign w:val="bottom"/>
          </w:tcPr>
          <w:p>
            <w:pPr>
              <w:jc w:val="right"/>
              <w:ind w:right="179"/>
              <w:spacing w:after="0"/>
              <w:rPr>
                <w:sz w:val="20"/>
                <w:szCs w:val="20"/>
                <w:color w:val="auto"/>
              </w:rPr>
            </w:pPr>
            <w:r>
              <w:rPr>
                <w:rFonts w:ascii="Arial" w:cs="Arial" w:eastAsia="Arial" w:hAnsi="Arial"/>
                <w:sz w:val="18"/>
                <w:szCs w:val="18"/>
                <w:color w:val="auto"/>
              </w:rPr>
              <w:t>31.2</w:t>
            </w:r>
          </w:p>
        </w:tc>
        <w:tc>
          <w:tcPr>
            <w:tcW w:w="10440" w:type="dxa"/>
            <w:vAlign w:val="bottom"/>
            <w:gridSpan w:val="3"/>
          </w:tcPr>
          <w:p>
            <w:pPr>
              <w:ind w:left="500"/>
              <w:spacing w:after="0"/>
              <w:rPr>
                <w:sz w:val="20"/>
                <w:szCs w:val="20"/>
                <w:color w:val="auto"/>
              </w:rPr>
            </w:pPr>
            <w:r>
              <w:rPr>
                <w:rFonts w:ascii="Arial" w:cs="Arial" w:eastAsia="Arial" w:hAnsi="Arial"/>
                <w:sz w:val="18"/>
                <w:szCs w:val="18"/>
                <w:color w:val="auto"/>
                <w:w w:val="91"/>
              </w:rPr>
              <w:t>Rule 13a-14(a) Certifications of Bryan M. Hackworth, Chief Financial Officer (principal financial officer and principal accounting officer) of</w:t>
            </w:r>
          </w:p>
        </w:tc>
      </w:tr>
      <w:tr>
        <w:trPr>
          <w:trHeight w:val="222"/>
        </w:trPr>
        <w:tc>
          <w:tcPr>
            <w:tcW w:w="680" w:type="dxa"/>
            <w:vAlign w:val="bottom"/>
          </w:tcPr>
          <w:p>
            <w:pPr>
              <w:spacing w:after="0"/>
              <w:rPr>
                <w:sz w:val="19"/>
                <w:szCs w:val="19"/>
                <w:color w:val="auto"/>
              </w:rPr>
            </w:pPr>
          </w:p>
        </w:tc>
        <w:tc>
          <w:tcPr>
            <w:tcW w:w="10440" w:type="dxa"/>
            <w:vAlign w:val="bottom"/>
            <w:gridSpan w:val="3"/>
          </w:tcPr>
          <w:p>
            <w:pPr>
              <w:ind w:left="500"/>
              <w:spacing w:after="0"/>
              <w:rPr>
                <w:sz w:val="20"/>
                <w:szCs w:val="20"/>
                <w:color w:val="auto"/>
              </w:rPr>
            </w:pPr>
            <w:r>
              <w:rPr>
                <w:rFonts w:ascii="Arial" w:cs="Arial" w:eastAsia="Arial" w:hAnsi="Arial"/>
                <w:sz w:val="18"/>
                <w:szCs w:val="18"/>
                <w:color w:val="auto"/>
              </w:rPr>
              <w:t>Universal Electronics Inc.</w:t>
            </w:r>
          </w:p>
        </w:tc>
      </w:tr>
    </w:tbl>
    <w:p>
      <w:pPr>
        <w:spacing w:after="0" w:line="102" w:lineRule="exact"/>
        <w:rPr>
          <w:sz w:val="20"/>
          <w:szCs w:val="20"/>
          <w:color w:val="auto"/>
        </w:rPr>
      </w:pPr>
    </w:p>
    <w:p>
      <w:pPr>
        <w:ind w:left="1260" w:hanging="1076"/>
        <w:spacing w:after="0" w:line="259" w:lineRule="auto"/>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ectPr>
          <w:pgSz w:w="11900" w:h="16838" w:orient="portrait"/>
          <w:cols w:equalWidth="0" w:num="1">
            <w:col w:w="11340"/>
          </w:cols>
          <w:pgMar w:left="240" w:top="459" w:right="319" w:bottom="144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40" w:lineRule="exact"/>
        <w:rPr>
          <w:sz w:val="20"/>
          <w:szCs w:val="20"/>
          <w:color w:val="auto"/>
        </w:rPr>
      </w:pPr>
    </w:p>
    <w:p>
      <w:pPr>
        <w:sectPr>
          <w:pgSz w:w="11900" w:h="16838" w:orient="portrait"/>
          <w:cols w:equalWidth="0" w:num="2">
            <w:col w:w="680" w:space="580"/>
            <w:col w:w="1008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40" w:lineRule="exact"/>
        <w:rPr>
          <w:sz w:val="20"/>
          <w:szCs w:val="20"/>
          <w:color w:val="auto"/>
        </w:rPr>
      </w:pPr>
    </w:p>
    <w:p>
      <w:pPr>
        <w:sectPr>
          <w:pgSz w:w="11900" w:h="16838" w:orient="portrait"/>
          <w:cols w:equalWidth="0" w:num="2">
            <w:col w:w="740" w:space="520"/>
            <w:col w:w="1008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40" w:lineRule="exact"/>
        <w:rPr>
          <w:sz w:val="20"/>
          <w:szCs w:val="20"/>
          <w:color w:val="auto"/>
        </w:rPr>
      </w:pPr>
    </w:p>
    <w:p>
      <w:pPr>
        <w:sectPr>
          <w:pgSz w:w="11900" w:h="16838" w:orient="portrait"/>
          <w:cols w:equalWidth="0" w:num="2">
            <w:col w:w="760" w:space="500"/>
            <w:col w:w="1008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40" w:lineRule="exact"/>
        <w:rPr>
          <w:sz w:val="20"/>
          <w:szCs w:val="20"/>
          <w:color w:val="auto"/>
        </w:rPr>
      </w:pPr>
    </w:p>
    <w:p>
      <w:pPr>
        <w:sectPr>
          <w:pgSz w:w="11900" w:h="16838" w:orient="portrait"/>
          <w:cols w:equalWidth="0" w:num="2">
            <w:col w:w="760" w:space="500"/>
            <w:col w:w="1008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81" w:lineRule="exact"/>
        <w:rPr>
          <w:sz w:val="20"/>
          <w:szCs w:val="20"/>
          <w:color w:val="auto"/>
        </w:rPr>
      </w:pPr>
    </w:p>
    <w:p>
      <w:pPr>
        <w:sectPr>
          <w:pgSz w:w="11900" w:h="16838" w:orient="portrait"/>
          <w:cols w:equalWidth="0" w:num="2">
            <w:col w:w="720" w:space="540"/>
            <w:col w:w="10080"/>
          </w:cols>
          <w:pgMar w:left="240" w:top="459" w:right="319" w:bottom="1440" w:gutter="0" w:footer="0" w:header="0"/>
          <w:type w:val="continuous"/>
        </w:sectPr>
      </w:pPr>
    </w:p>
    <w:p>
      <w:pPr>
        <w:ind w:left="220" w:right="200" w:hanging="212"/>
        <w:spacing w:after="0" w:line="259" w:lineRule="auto"/>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459" w:right="319" w:bottom="1440" w:gutter="0" w:footer="0" w:header="0"/>
          <w:type w:val="continuous"/>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9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420" w:firstLine="443"/>
        <w:spacing w:after="0" w:line="259" w:lineRule="auto"/>
        <w:tabs>
          <w:tab w:leader="none" w:pos="107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900" w:firstLine="443"/>
        <w:spacing w:after="0" w:line="332" w:lineRule="auto"/>
        <w:tabs>
          <w:tab w:leader="none" w:pos="1078"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400" w:firstLine="443"/>
        <w:spacing w:after="0" w:line="332" w:lineRule="auto"/>
        <w:tabs>
          <w:tab w:leader="none" w:pos="1088"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 w:lineRule="exact"/>
        <w:rPr>
          <w:rFonts w:ascii="Arial" w:cs="Arial" w:eastAsia="Arial" w:hAnsi="Arial"/>
          <w:sz w:val="16"/>
          <w:szCs w:val="16"/>
          <w:color w:val="auto"/>
        </w:rPr>
      </w:pPr>
    </w:p>
    <w:p>
      <w:pPr>
        <w:ind w:left="460" w:right="64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50" w:lineRule="exact"/>
        <w:rPr>
          <w:rFonts w:ascii="Arial" w:cs="Arial" w:eastAsia="Arial" w:hAnsi="Arial"/>
          <w:sz w:val="18"/>
          <w:szCs w:val="18"/>
          <w:color w:val="auto"/>
        </w:rPr>
      </w:pPr>
    </w:p>
    <w:p>
      <w:pPr>
        <w:ind w:left="460" w:right="320" w:firstLine="443"/>
        <w:spacing w:after="0" w:line="268" w:lineRule="auto"/>
        <w:tabs>
          <w:tab w:leader="none" w:pos="107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08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May 9,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9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420" w:firstLine="443"/>
        <w:spacing w:after="0" w:line="259" w:lineRule="auto"/>
        <w:tabs>
          <w:tab w:leader="none" w:pos="107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900" w:firstLine="443"/>
        <w:spacing w:after="0" w:line="332" w:lineRule="auto"/>
        <w:tabs>
          <w:tab w:leader="none" w:pos="1078"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400" w:firstLine="443"/>
        <w:spacing w:after="0" w:line="332" w:lineRule="auto"/>
        <w:tabs>
          <w:tab w:leader="none" w:pos="1088"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 w:lineRule="exact"/>
        <w:rPr>
          <w:rFonts w:ascii="Arial" w:cs="Arial" w:eastAsia="Arial" w:hAnsi="Arial"/>
          <w:sz w:val="16"/>
          <w:szCs w:val="16"/>
          <w:color w:val="auto"/>
        </w:rPr>
      </w:pPr>
    </w:p>
    <w:p>
      <w:pPr>
        <w:ind w:left="460" w:right="64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50" w:lineRule="exact"/>
        <w:rPr>
          <w:rFonts w:ascii="Arial" w:cs="Arial" w:eastAsia="Arial" w:hAnsi="Arial"/>
          <w:sz w:val="18"/>
          <w:szCs w:val="18"/>
          <w:color w:val="auto"/>
        </w:rPr>
      </w:pPr>
    </w:p>
    <w:p>
      <w:pPr>
        <w:ind w:left="460" w:right="320" w:firstLine="443"/>
        <w:spacing w:after="0" w:line="268" w:lineRule="auto"/>
        <w:tabs>
          <w:tab w:leader="none" w:pos="107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08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May 9,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Bryan M. Hackworth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Pursuant to 18 U.S.C. Section 1350, as adopted pursuant to Section 906 of the Sarbanes-Oxley Act of 2002, each of the undersigned officers of Universal Electronics Inc. (the “Company”), hereby certifies that the (i) Company’s Form 10-Q for the fiscal quarter ended March 31, 2012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Dated: May 9, 2012</w:t>
            </w:r>
          </w:p>
        </w:tc>
        <w:tc>
          <w:tcPr>
            <w:tcW w:w="7760" w:type="dxa"/>
            <w:vAlign w:val="bottom"/>
            <w:gridSpan w:val="2"/>
          </w:tcPr>
          <w:p>
            <w:pPr>
              <w:ind w:left="226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Paul D. Arling</w:t>
            </w:r>
          </w:p>
        </w:tc>
      </w:tr>
      <w:tr>
        <w:trPr>
          <w:trHeight w:val="217"/>
        </w:trPr>
        <w:tc>
          <w:tcPr>
            <w:tcW w:w="3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Chief Executive Officer</w:t>
            </w:r>
          </w:p>
        </w:tc>
      </w:tr>
      <w:tr>
        <w:trPr>
          <w:trHeight w:val="425"/>
        </w:trPr>
        <w:tc>
          <w:tcPr>
            <w:tcW w:w="3660" w:type="dxa"/>
            <w:vAlign w:val="bottom"/>
          </w:tcPr>
          <w:p>
            <w:pPr>
              <w:spacing w:after="0"/>
              <w:rPr>
                <w:sz w:val="24"/>
                <w:szCs w:val="24"/>
                <w:color w:val="auto"/>
              </w:rPr>
            </w:pPr>
          </w:p>
        </w:tc>
        <w:tc>
          <w:tcPr>
            <w:tcW w:w="7760" w:type="dxa"/>
            <w:vAlign w:val="bottom"/>
            <w:gridSpan w:val="2"/>
          </w:tcPr>
          <w:p>
            <w:pPr>
              <w:ind w:left="226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Bryan M. Hackworth</w:t>
            </w:r>
          </w:p>
        </w:tc>
      </w:tr>
      <w:tr>
        <w:trPr>
          <w:trHeight w:val="217"/>
        </w:trPr>
        <w:tc>
          <w:tcPr>
            <w:tcW w:w="3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4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32"/>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32"/>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2019-12-09T08:29:36Z</dcterms:created>
  <dcterms:modified xsi:type="dcterms:W3CDTF">2019-12-09T08:29:36Z</dcterms:modified>
</cp:coreProperties>
</file>