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For the quarterly period ended March 31, 2017</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69" w:right="23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9" w:lineRule="exact"/>
        <w:rPr>
          <w:sz w:val="24"/>
          <w:szCs w:val="24"/>
          <w:color w:val="auto"/>
        </w:rPr>
      </w:pPr>
    </w:p>
    <w:p>
      <w:pPr>
        <w:sectPr>
          <w:pgSz w:w="11900" w:h="16838" w:orient="portrait"/>
          <w:cols w:equalWidth="0" w:num="2">
            <w:col w:w="3240" w:space="640"/>
            <w:col w:w="7540"/>
          </w:cols>
          <w:pgMar w:left="240" w:top="269"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Commission File Number: 0-21044</w:t>
      </w:r>
    </w:p>
    <w:p>
      <w:pPr>
        <w:spacing w:after="0" w:line="82"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_______________________________________</w:t>
      </w:r>
    </w:p>
    <w:p>
      <w:pPr>
        <w:sectPr>
          <w:pgSz w:w="11900" w:h="16838" w:orient="portrait"/>
          <w:cols w:equalWidth="0" w:num="1">
            <w:col w:w="11420"/>
          </w:cols>
          <w:pgMar w:left="240" w:top="269" w:right="2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UNIVERSAL ELECTRONICS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43"/>
        </w:trPr>
        <w:tc>
          <w:tcPr>
            <w:tcW w:w="2780" w:type="dxa"/>
            <w:vAlign w:val="bottom"/>
          </w:tcPr>
          <w:p>
            <w:pPr>
              <w:spacing w:after="0"/>
              <w:rPr>
                <w:sz w:val="21"/>
                <w:szCs w:val="21"/>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80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40" w:right="6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44"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14,432,883 shares of Common Stock, par value $0.01 per share, of the registrant were outstanding on May 5, 2017.</w:t>
      </w:r>
    </w:p>
    <w:p>
      <w:pPr>
        <w:sectPr>
          <w:pgSz w:w="11900" w:h="16838" w:orient="portrait"/>
          <w:cols w:equalWidth="0" w:num="1">
            <w:col w:w="11420"/>
          </w:cols>
          <w:pgMar w:left="240" w:top="2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50,611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4,623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124,592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131,535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129,879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5,960</w:t>
            </w:r>
          </w:p>
        </w:tc>
        <w:tc>
          <w:tcPr>
            <w:tcW w:w="0" w:type="dxa"/>
            <w:vAlign w:val="bottom"/>
          </w:tcPr>
          <w:p>
            <w:pPr>
              <w:spacing w:after="0"/>
              <w:rPr>
                <w:sz w:val="1"/>
                <w:szCs w:val="1"/>
                <w:color w:val="auto"/>
              </w:rPr>
            </w:pP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334,544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324,158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105,351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43,052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28,549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17,706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10,430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4,896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538,886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521,036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93,259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97,157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Line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49,987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31,876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35,580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24,410</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240,645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215,867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contingent consideration</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8,600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10,500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6,308</w:t>
            </w:r>
          </w:p>
        </w:tc>
        <w:tc>
          <w:tcPr>
            <w:tcW w:w="0" w:type="dxa"/>
            <w:vAlign w:val="bottom"/>
          </w:tcPr>
          <w:p>
            <w:pPr>
              <w:spacing w:after="0"/>
              <w:rPr>
                <w:sz w:val="1"/>
                <w:szCs w:val="1"/>
                <w:color w:val="auto"/>
              </w:rPr>
            </w:pP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262,616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240,526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0"/>
              </w:rPr>
              <w:t>Common stock, $0.01 par value, 50,000,000 shares authorized; 23,614,604 and 23,573,340 shares issued on March</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31, 2017 and December 31, 2016, respectively</w:t>
            </w:r>
          </w:p>
        </w:tc>
        <w:tc>
          <w:tcPr>
            <w:tcW w:w="2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250,481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w w:val="92"/>
              </w:rPr>
              <w:t>Treasury stock, at cost, 9,207,707 and 9,022,587 shares on March 31, 2017 and December 31, 2016, respectively</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(234,369)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(222,980)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(22,821)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277,222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275,594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280,510</w:t>
            </w:r>
          </w:p>
        </w:tc>
        <w:tc>
          <w:tcPr>
            <w:tcW w:w="0" w:type="dxa"/>
            <w:vAlign w:val="bottom"/>
          </w:tcPr>
          <w:p>
            <w:pPr>
              <w:spacing w:after="0"/>
              <w:rPr>
                <w:sz w:val="1"/>
                <w:szCs w:val="1"/>
                <w:color w:val="auto"/>
              </w:rPr>
            </w:pPr>
          </w:p>
        </w:tc>
      </w:tr>
      <w:tr>
        <w:trPr>
          <w:trHeight w:val="244"/>
        </w:trPr>
        <w:tc>
          <w:tcPr>
            <w:tcW w:w="790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538,886</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521,036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740" w:type="dxa"/>
            <w:vAlign w:val="bottom"/>
            <w:gridSpan w:val="4"/>
          </w:tcPr>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150,658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120,372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113,011</w:t>
            </w: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5,186</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Factory transition 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27,987</w:t>
            </w: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3,494</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Universal Electronics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2,721</w:t>
            </w:r>
          </w:p>
        </w:tc>
      </w:tr>
      <w:tr>
        <w:trPr>
          <w:trHeight w:val="311"/>
        </w:trPr>
        <w:tc>
          <w:tcPr>
            <w:tcW w:w="7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Earnings per share attributable to Universal Electronics Inc.:</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14,449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14,373</w:t>
            </w:r>
          </w:p>
        </w:tc>
      </w:tr>
      <w:tr>
        <w:trPr>
          <w:trHeight w:val="251"/>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14,637</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240" w:top="118" w:right="5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5"/>
              </w:rPr>
              <w:t>Three Months Ended March 31,</w:t>
            </w:r>
          </w:p>
        </w:tc>
        <w:tc>
          <w:tcPr>
            <w:tcW w:w="56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2,743</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1,383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1,368</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1,502</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4,111</w:t>
            </w:r>
          </w:p>
        </w:tc>
      </w:tr>
      <w:tr>
        <w:trPr>
          <w:trHeight w:val="27"/>
        </w:trPr>
        <w:tc>
          <w:tcPr>
            <w:tcW w:w="7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9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Comprehensive income attributable to Universal Electronics Inc.</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1,502</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4,089</w:t>
            </w:r>
          </w:p>
        </w:tc>
      </w:tr>
      <w:tr>
        <w:trPr>
          <w:trHeight w:val="20"/>
        </w:trPr>
        <w:tc>
          <w:tcPr>
            <w:tcW w:w="7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118" w:right="4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for) operating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2,743</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(used for) operating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7,645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5,929</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Provision for doubtful accounts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Provision for inventory write-downs</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756</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Tax benefit from exercise of stock options and vested restricted stock</w:t>
            </w: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616</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Excess tax benefit from stock-based compensation</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Shares issued for employee benefit plan</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345</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Employee and director stock-based compensation</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w:t>
            </w:r>
          </w:p>
        </w:tc>
      </w:tr>
      <w:tr>
        <w:trPr>
          <w:trHeight w:val="264"/>
        </w:trPr>
        <w:tc>
          <w:tcPr>
            <w:tcW w:w="8100" w:type="dxa"/>
            <w:vAlign w:val="bottom"/>
          </w:tcPr>
          <w:p>
            <w:pPr>
              <w:ind w:left="820"/>
              <w:spacing w:after="0"/>
              <w:rPr>
                <w:sz w:val="20"/>
                <w:szCs w:val="20"/>
                <w:color w:val="auto"/>
              </w:rPr>
            </w:pPr>
            <w:r>
              <w:rPr>
                <w:rFonts w:ascii="Arial" w:cs="Arial" w:eastAsia="Arial" w:hAnsi="Arial"/>
                <w:sz w:val="14"/>
                <w:szCs w:val="14"/>
                <w:color w:val="auto"/>
              </w:rPr>
              <w:t>Performance-based common stock warrants</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866</w:t>
            </w:r>
          </w:p>
        </w:tc>
      </w:tr>
      <w:tr>
        <w:trPr>
          <w:trHeight w:val="276"/>
        </w:trPr>
        <w:tc>
          <w:tcPr>
            <w:tcW w:w="81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00" w:type="dxa"/>
            <w:vAlign w:val="bottom"/>
          </w:tcPr>
          <w:p>
            <w:pPr>
              <w:ind w:left="1240"/>
              <w:spacing w:after="0"/>
              <w:rPr>
                <w:sz w:val="20"/>
                <w:szCs w:val="20"/>
                <w:color w:val="auto"/>
              </w:rPr>
            </w:pPr>
            <w:r>
              <w:rPr>
                <w:rFonts w:ascii="Arial" w:cs="Arial" w:eastAsia="Arial" w:hAnsi="Arial"/>
                <w:sz w:val="14"/>
                <w:szCs w:val="14"/>
                <w:color w:val="auto"/>
              </w:rPr>
              <w:t>Restricted cash</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4,623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12,255</w:t>
            </w:r>
          </w:p>
        </w:tc>
      </w:tr>
      <w:tr>
        <w:trPr>
          <w:trHeight w:val="264"/>
        </w:trPr>
        <w:tc>
          <w:tcPr>
            <w:tcW w:w="8100" w:type="dxa"/>
            <w:vAlign w:val="bottom"/>
          </w:tcPr>
          <w:p>
            <w:pPr>
              <w:ind w:left="1240"/>
              <w:spacing w:after="0"/>
              <w:rPr>
                <w:sz w:val="20"/>
                <w:szCs w:val="20"/>
                <w:color w:val="auto"/>
              </w:rPr>
            </w:pPr>
            <w:r>
              <w:rPr>
                <w:rFonts w:ascii="Arial" w:cs="Arial" w:eastAsia="Arial" w:hAnsi="Arial"/>
                <w:sz w:val="14"/>
                <w:szCs w:val="14"/>
                <w:color w:val="auto"/>
              </w:rPr>
              <w:t>Inventories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5,095</w:t>
            </w:r>
          </w:p>
        </w:tc>
      </w:tr>
      <w:tr>
        <w:trPr>
          <w:trHeight w:val="276"/>
        </w:trPr>
        <w:tc>
          <w:tcPr>
            <w:tcW w:w="81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r>
      <w:tr>
        <w:trPr>
          <w:trHeight w:val="264"/>
        </w:trPr>
        <w:tc>
          <w:tcPr>
            <w:tcW w:w="8100" w:type="dxa"/>
            <w:vAlign w:val="bottom"/>
          </w:tcPr>
          <w:p>
            <w:pPr>
              <w:ind w:left="1240"/>
              <w:spacing w:after="0"/>
              <w:rPr>
                <w:sz w:val="20"/>
                <w:szCs w:val="20"/>
                <w:color w:val="auto"/>
              </w:rPr>
            </w:pPr>
            <w:r>
              <w:rPr>
                <w:rFonts w:ascii="Arial" w:cs="Arial" w:eastAsia="Arial" w:hAnsi="Arial"/>
                <w:sz w:val="14"/>
                <w:szCs w:val="14"/>
                <w:color w:val="auto"/>
              </w:rPr>
              <w:t>Accounts payable and accrued expenses</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(16,182)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(22,900)</w:t>
            </w:r>
          </w:p>
        </w:tc>
      </w:tr>
      <w:tr>
        <w:trPr>
          <w:trHeight w:val="270"/>
        </w:trPr>
        <w:tc>
          <w:tcPr>
            <w:tcW w:w="810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Accrued income taxes</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w:t>
            </w:r>
          </w:p>
        </w:tc>
      </w:tr>
      <w:tr>
        <w:trPr>
          <w:trHeight w:val="250"/>
        </w:trPr>
        <w:tc>
          <w:tcPr>
            <w:tcW w:w="8100" w:type="dxa"/>
            <w:vAlign w:val="bottom"/>
          </w:tcPr>
          <w:p>
            <w:pPr>
              <w:ind w:left="600"/>
              <w:spacing w:after="0"/>
              <w:rPr>
                <w:sz w:val="20"/>
                <w:szCs w:val="20"/>
                <w:color w:val="auto"/>
              </w:rPr>
            </w:pPr>
            <w:r>
              <w:rPr>
                <w:rFonts w:ascii="Arial" w:cs="Arial" w:eastAsia="Arial" w:hAnsi="Arial"/>
                <w:sz w:val="14"/>
                <w:szCs w:val="14"/>
                <w:color w:val="auto"/>
              </w:rPr>
              <w:t>Net cash provided by (used for) operating activities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(7,930)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3,141</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for investing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Acquisition of property, plant, and equipment</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(6,460)</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(7,480)</w:t>
            </w:r>
          </w:p>
        </w:tc>
      </w:tr>
      <w:tr>
        <w:trPr>
          <w:trHeight w:val="270"/>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intangible assets</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r>
      <w:tr>
        <w:trPr>
          <w:trHeight w:val="196"/>
        </w:trPr>
        <w:tc>
          <w:tcPr>
            <w:tcW w:w="8100" w:type="dxa"/>
            <w:vAlign w:val="bottom"/>
          </w:tcPr>
          <w:p>
            <w:pPr>
              <w:ind w:left="600"/>
              <w:spacing w:after="0"/>
              <w:rPr>
                <w:sz w:val="20"/>
                <w:szCs w:val="20"/>
                <w:color w:val="auto"/>
              </w:rPr>
            </w:pPr>
            <w:r>
              <w:rPr>
                <w:rFonts w:ascii="Arial" w:cs="Arial" w:eastAsia="Arial" w:hAnsi="Arial"/>
                <w:sz w:val="14"/>
                <w:szCs w:val="14"/>
                <w:color w:val="auto"/>
              </w:rPr>
              <w:t>Net cash used for investing activities</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(6,870)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(8,044)</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for) financing activities:</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Borrowings under line of credit</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53,000</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42,987</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on line of credit</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(14,987)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(35,000)</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1,935</w:t>
            </w:r>
          </w:p>
        </w:tc>
      </w:tr>
      <w:tr>
        <w:trPr>
          <w:trHeight w:val="276"/>
        </w:trPr>
        <w:tc>
          <w:tcPr>
            <w:tcW w:w="8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purchased</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(11,389)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r>
      <w:tr>
        <w:trPr>
          <w:trHeight w:val="264"/>
        </w:trPr>
        <w:tc>
          <w:tcPr>
            <w:tcW w:w="8100" w:type="dxa"/>
            <w:vAlign w:val="bottom"/>
          </w:tcPr>
          <w:p>
            <w:pPr>
              <w:ind w:left="380"/>
              <w:spacing w:after="0"/>
              <w:rPr>
                <w:sz w:val="20"/>
                <w:szCs w:val="20"/>
                <w:color w:val="auto"/>
              </w:rPr>
            </w:pPr>
            <w:r>
              <w:rPr>
                <w:rFonts w:ascii="Arial" w:cs="Arial" w:eastAsia="Arial" w:hAnsi="Arial"/>
                <w:sz w:val="14"/>
                <w:szCs w:val="14"/>
                <w:color w:val="auto"/>
              </w:rPr>
              <w:t>Excess tax benefit from stock-based compensation</w:t>
            </w: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668</w:t>
            </w:r>
          </w:p>
        </w:tc>
      </w:tr>
      <w:tr>
        <w:trPr>
          <w:trHeight w:val="256"/>
        </w:trPr>
        <w:tc>
          <w:tcPr>
            <w:tcW w:w="81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financing activities</w:t>
            </w:r>
          </w:p>
        </w:tc>
        <w:tc>
          <w:tcPr>
            <w:tcW w:w="10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26,861</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8,866</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50,611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52,966</w:t>
            </w: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56,077</w:t>
            </w:r>
          </w:p>
        </w:tc>
      </w:tr>
      <w:tr>
        <w:trPr>
          <w:trHeight w:val="20"/>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4"/>
        </w:trPr>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information:</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2,925</w:t>
            </w:r>
          </w:p>
        </w:tc>
        <w:tc>
          <w:tcPr>
            <w:tcW w:w="10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2,933</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r>
    </w:tbl>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18" w:right="2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2017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2016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do not plan to early adopt ASU 2014-09. We are currently reviewing contract terms and assessing the impact of adopting this standard on our consolidated financial statements. While we are still in the process of conducting this analysis, the impact of this new guidance may accelerate revenue recognition for certain of our contractual arrangements, and the impact could be material. We expect to complete our assessment over the next six to nine months, during which time we will also select a transition method.</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The adoption of ASU 2015-11 did not have a material impact on our consolidated financial position or results of operations.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 retrospectively. We prospectively adopted ASU 2015-17 effective January 1, 2017, and thus prior period balance sheets have not been adjusted. The adoption of ASU 2015-17 has no impact on our consolidated results of operations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2016, the FASB issued ASU 2016-09,"Improvements to Employee Share-Based Payment Accounting", which amends Accounting Standards Codification ("ASC") 718, "Compensation - Stock Compensation". ASU 2016-09 requires excess tax benefits and tax deficiencies to be recorded as a discrete adjustment to income tax expense when stock awards vest or are settled, rather than in paid-in capital when they impact income taxes payable. This new guidance also requires cash flows related to excess tax benefits from stock-based compensation to be presented with other income tax cash flows in operating activities, rather than separately as a financing activity, in the statement of cash flows. Additionally, ASU 2016-09 impacts the calculation of diluted weighted-average shares under the treasury stock method as the assumed proceeds from an employee vesting in or exercising a stock-based award are no longer increased or decreased by the amount of excess tax benefits or deficiencies taken to paid-in capital. We elected to adopt the provisions of ASU 2016-09 prospectively effective January 1, 2017. We also made the accounting policy election, as allowed by ASU 2016-09, to account for forfeitures of stock-based awards as they occur, rather than estimating forfeitures. The cumulative effect of adopting ASU 2016-09 was an increase of $1.5 million to deferred tax assets and an increase to retained earnings of $1.5 million, as of January 1, 2017, as a result of recognizing previously unrecognized excess tax benefits from stock-based compensation. There was no cumulative effect impact related to the change in accounting policy to account for forfeitures of stock-based awards when they occur as a result of our minimal historical forfeitures experience.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Early adoption is permitted as long as all amendments are adopted in the same period. We are currently evaluating the impact that ASU 2016-15 will have on our consolidated financial statements.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changes the accounting for income tax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Early adoption is permitted. The impact of the adoption of ASU 2016-16 could be material depending on the size of any intra-entity transfers we may implement in future periods.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Early adoption is permitted. The adoption of ASU 2016-18 will modify our current disclosures by reclassifying certain amounts within the consolidated statement of cash flows, but is not expected to have a material effect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17,676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22,142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18,214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19,630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62,654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50,611</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a court order issued in a now settled litigation matter, we previously placed $4.6 million of cash into a collateralized surety bond. This bond had certain restrictions for liquidation and was therefore classified as restricted cash. On February 10, 2017, the $4.6 million surety bond was returned to us upon final settlement of the related litigation matter.</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pending sale of our Guangzhou factory in the PRC (Note 10), the buyer made a cash deposit of RMB 32 million ($4.6 million based on March 31, 2017 exchange rates) into an escrow account on September 29, 2016. Under the terms of the escrow account, these funds will not be paid to us until the close of the sale. Accordingly, this deposit is presented as long-term restricted cash within our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9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124,399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7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Net trade receivables</w:t>
            </w: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122,953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119,522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7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74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129,231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124,592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continu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gridSpan w:val="2"/>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7"/>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9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Additions (reductions) to costs and expenses</w:t>
            </w: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(Write-offs)/Foreign exchange effects</w:t>
            </w:r>
          </w:p>
        </w:tc>
        <w:tc>
          <w:tcPr>
            <w:tcW w:w="27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7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720" w:type="dxa"/>
            <w:vAlign w:val="bottom"/>
            <w:vMerge w:val="restart"/>
          </w:tcPr>
          <w:p>
            <w:pPr>
              <w:jc w:val="right"/>
              <w:ind w:right="2030"/>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March 31, 2017 and December 31, 2016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$0.4 million on March 31, 2017 and December 31, 2016, respectively. The value of these returned goods was included in our inventory balance at March 31, 2017 and December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8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1328"/>
              <w:spacing w:after="0"/>
              <w:rPr>
                <w:sz w:val="20"/>
                <w:szCs w:val="20"/>
                <w:color w:val="auto"/>
              </w:rPr>
            </w:pPr>
            <w:r>
              <w:rPr>
                <w:rFonts w:ascii="Arial" w:cs="Arial" w:eastAsia="Arial" w:hAnsi="Arial"/>
                <w:sz w:val="14"/>
                <w:szCs w:val="14"/>
                <w:b w:val="1"/>
                <w:bCs w:val="1"/>
                <w:color w:val="auto"/>
              </w:rPr>
              <w:t>2016</w:t>
            </w:r>
          </w:p>
        </w:tc>
      </w:tr>
      <w:tr>
        <w:trPr>
          <w:trHeight w:val="264"/>
        </w:trPr>
        <w:tc>
          <w:tcPr>
            <w:tcW w:w="48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42,247</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3"/>
              </w:rPr>
              <w:t>26.2%</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39,609</w:t>
            </w:r>
          </w:p>
        </w:tc>
        <w:tc>
          <w:tcPr>
            <w:tcW w:w="17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w w:val="93"/>
              </w:rPr>
              <w:t>26.3%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DIRECTV</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16,632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16,819</w:t>
            </w:r>
          </w:p>
        </w:tc>
        <w:tc>
          <w:tcPr>
            <w:tcW w:w="1760" w:type="dxa"/>
            <w:vAlign w:val="bottom"/>
            <w:gridSpan w:val="2"/>
          </w:tcPr>
          <w:p>
            <w:pPr>
              <w:ind w:left="1260"/>
              <w:spacing w:after="0"/>
              <w:rPr>
                <w:sz w:val="20"/>
                <w:szCs w:val="20"/>
                <w:color w:val="auto"/>
              </w:rPr>
            </w:pPr>
            <w:r>
              <w:rPr>
                <w:rFonts w:ascii="Arial" w:cs="Arial" w:eastAsia="Arial" w:hAnsi="Arial"/>
                <w:sz w:val="18"/>
                <w:szCs w:val="18"/>
                <w:color w:val="auto"/>
              </w:rPr>
              <w:t>11.2</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vMerge w:val="restart"/>
          </w:tcPr>
          <w:p>
            <w:pPr>
              <w:spacing w:after="0"/>
              <w:rPr>
                <w:sz w:val="13"/>
                <w:szCs w:val="13"/>
                <w:color w:val="auto"/>
              </w:rPr>
            </w:pP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5"/>
              </w:rPr>
              <w:t>$ (thousands)</w:t>
            </w:r>
          </w:p>
        </w:tc>
        <w:tc>
          <w:tcPr>
            <w:tcW w:w="18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 Net</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 Net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25,156</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3"/>
              </w:rPr>
              <w:t>19.5%</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7"/>
              </w:rPr>
              <w:t>19.0%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DIRECTV</w:t>
            </w:r>
          </w:p>
        </w:tc>
        <w:tc>
          <w:tcPr>
            <w:tcW w:w="18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15,299</w:t>
            </w:r>
          </w:p>
        </w:tc>
        <w:tc>
          <w:tcPr>
            <w:tcW w:w="320" w:type="dxa"/>
            <w:vAlign w:val="bottom"/>
          </w:tcPr>
          <w:p>
            <w:pPr>
              <w:spacing w:after="0"/>
              <w:rPr>
                <w:sz w:val="21"/>
                <w:szCs w:val="21"/>
                <w:color w:val="auto"/>
              </w:rPr>
            </w:pPr>
          </w:p>
        </w:tc>
        <w:tc>
          <w:tcPr>
            <w:tcW w:w="1380" w:type="dxa"/>
            <w:vAlign w:val="bottom"/>
          </w:tcPr>
          <w:p>
            <w:pPr>
              <w:ind w:left="88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12,878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ind w:left="88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 Net and Significant Supplier</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20" w:type="dxa"/>
            <w:vAlign w:val="bottom"/>
            <w:gridSpan w:val="2"/>
          </w:tcPr>
          <w:p>
            <w:pPr>
              <w:spacing w:after="0"/>
              <w:rPr>
                <w:sz w:val="20"/>
                <w:szCs w:val="20"/>
                <w:color w:val="auto"/>
              </w:rPr>
            </w:pPr>
            <w:r>
              <w:rPr>
                <w:rFonts w:ascii="Arial" w:cs="Arial" w:eastAsia="Arial" w:hAnsi="Arial"/>
                <w:sz w:val="18"/>
                <w:szCs w:val="18"/>
                <w:color w:val="auto"/>
              </w:rPr>
              <w:t>Inventories, net were as follows: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24"/>
                <w:szCs w:val="2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40,496</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15,046</w:t>
            </w:r>
          </w:p>
        </w:tc>
        <w:tc>
          <w:tcPr>
            <w:tcW w:w="0" w:type="dxa"/>
            <w:vAlign w:val="bottom"/>
          </w:tcPr>
          <w:p>
            <w:pPr>
              <w:spacing w:after="0"/>
              <w:rPr>
                <w:sz w:val="1"/>
                <w:szCs w:val="1"/>
                <w:color w:val="auto"/>
              </w:rPr>
            </w:pPr>
          </w:p>
        </w:tc>
      </w:tr>
      <w:tr>
        <w:trPr>
          <w:trHeight w:val="27"/>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69,666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80,119</w:t>
            </w:r>
          </w:p>
        </w:tc>
        <w:tc>
          <w:tcPr>
            <w:tcW w:w="0" w:type="dxa"/>
            <w:vAlign w:val="bottom"/>
          </w:tcPr>
          <w:p>
            <w:pPr>
              <w:spacing w:after="0"/>
              <w:rPr>
                <w:sz w:val="1"/>
                <w:szCs w:val="1"/>
                <w:color w:val="auto"/>
              </w:rPr>
            </w:pPr>
          </w:p>
        </w:tc>
      </w:tr>
      <w:tr>
        <w:trPr>
          <w:trHeight w:val="27"/>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131,535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129,879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vMerge w:val="restart"/>
          </w:tcPr>
          <w:p>
            <w:pPr>
              <w:jc w:val="right"/>
              <w:ind w:right="277"/>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3,045</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693</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3,292</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$27 thousand and $63 thousand for the three months ended March 31, 2017 and 2016,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purchase integrated circuits, components and finished goods from multiple sources. Texas Instruments provided $9.1 million, or 10.4%, of total inventory purchases during the three months ended March 31, 2017 and $8.5 million, or 10.8%, of total inventory purchases during the three months ended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Strategic Operations owns 40% of this vendor.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3"/>
                <w:szCs w:val="13"/>
                <w:color w:val="auto"/>
              </w:rPr>
            </w:pPr>
          </w:p>
        </w:tc>
        <w:tc>
          <w:tcPr>
            <w:tcW w:w="11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78"/>
        </w:trPr>
        <w:tc>
          <w:tcPr>
            <w:tcW w:w="5040" w:type="dxa"/>
            <w:vAlign w:val="bottom"/>
          </w:tcPr>
          <w:p>
            <w:pPr>
              <w:spacing w:after="0"/>
              <w:rPr>
                <w:sz w:val="20"/>
                <w:szCs w:val="20"/>
                <w:color w:val="auto"/>
              </w:rPr>
            </w:pPr>
            <w:r>
              <w:rPr>
                <w:rFonts w:ascii="Arial" w:cs="Arial" w:eastAsia="Arial" w:hAnsi="Arial"/>
                <w:sz w:val="18"/>
                <w:szCs w:val="18"/>
                <w:color w:val="auto"/>
              </w:rPr>
              <w:t>Total accounts payable to this supplier were as follows: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2017</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27,654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(16,344)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55,170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28,549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$11.2 million and $10.2 million at March 31, 2017 and December 31, 2016, respectively.</w:t>
      </w: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2"/>
                <w:szCs w:val="2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1,533</w:t>
            </w:r>
          </w:p>
        </w:tc>
        <w:tc>
          <w:tcPr>
            <w:tcW w:w="180" w:type="dxa"/>
            <w:vAlign w:val="bottom"/>
          </w:tcPr>
          <w:p>
            <w:pPr>
              <w:spacing w:after="0"/>
              <w:rPr>
                <w:sz w:val="21"/>
                <w:szCs w:val="2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22"/>
                <w:szCs w:val="22"/>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9"/>
        </w:trPr>
        <w:tc>
          <w:tcPr>
            <w:tcW w:w="8200" w:type="dxa"/>
            <w:vAlign w:val="bottom"/>
            <w:gridSpan w:val="2"/>
          </w:tcPr>
          <w:p>
            <w:pPr>
              <w:spacing w:after="0"/>
              <w:rPr>
                <w:sz w:val="20"/>
                <w:szCs w:val="20"/>
                <w:color w:val="auto"/>
              </w:rPr>
            </w:pPr>
            <w:r>
              <w:rPr>
                <w:rFonts w:ascii="Arial" w:cs="Arial" w:eastAsia="Arial" w:hAnsi="Arial"/>
                <w:sz w:val="18"/>
                <w:szCs w:val="18"/>
                <w:color w:val="auto"/>
                <w:w w:val="93"/>
              </w:rPr>
              <w:t>Estimated future annual amortization expense related to our intangible assets at March 31, 2017, is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7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 9 months)</w:t>
            </w: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6,364</w:t>
            </w:r>
          </w:p>
        </w:tc>
      </w:tr>
      <w:tr>
        <w:trPr>
          <w:trHeight w:val="27"/>
        </w:trPr>
        <w:tc>
          <w:tcPr>
            <w:tcW w:w="7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6,285</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5,196</w:t>
            </w:r>
          </w:p>
        </w:tc>
      </w:tr>
      <w:tr>
        <w:trPr>
          <w:trHeight w:val="27"/>
        </w:trPr>
        <w:tc>
          <w:tcPr>
            <w:tcW w:w="7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2,911</w:t>
            </w:r>
          </w:p>
        </w:tc>
      </w:tr>
      <w:tr>
        <w:trPr>
          <w:trHeight w:val="27"/>
        </w:trPr>
        <w:tc>
          <w:tcPr>
            <w:tcW w:w="7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27,335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Credit Agreement ("Amended Credit Agreement") with U.S. Bank National Association ("U.S. Bank") provides for an $85.0 million line of credit ("Credit Line") that expires on November 1, 2018 and that may be used for working capital and other general corporate purposes including acquisitions, share repurchases and capital expenditures. On May 5, 2017, we entered into the Eighth Amendment to the Amended Credit Agreement in which the Credit Line was increased to $115.0 million. Amounts available for borrowing under the Credit Line are reduced by the balance of any outstanding letters of credit. There were no outstanding letters of credit at March 31, 2017.</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March 31, 2017 was 2.11%. There are no commitment fees or unused line fees under the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March 31, 2017, we were in compliance with the covenants and conditions of the Amended Credit Agreement.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2017, we had $88.0 million outstanding under the Credit Line. Our total interest expense on borrowings was $0.5 million and $0.3 million during the three months ended March 31,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recorded an income tax benefit of $0.3 million for the three months ended March 31, 2017 as a result of incurring a loss, a favorable foreign tax ruling that resulted in the reversal of a reserve approximating $0.2 million, and the recognition of $0.1 million of excess tax benefits related to stock-based compensation. For the three months ended March 31, 2016, we recorded income tax expense of $0.8 million which represented an effective tax rate of 21.5%.</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2017, we had gross unrecognized tax benefits of $3.8 million, including interest and penalties, of which $3.5 million would affect the annual effective tax rate if these tax benefits are realized. Further, we are unaware of any positions for which it is reasonably possible that the total amount of unrecognized tax benefits will significantly change within the next twelve months. However, based on federal, state and foreign statute expirations in various jurisdictions, we anticipate a decrease in unrecognized tax benefits of approximately $0.1 million within the next twelve months. We have classified uncertain tax positions as non-current income tax liabilities unless expected to be paid within one year.</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$0.3 million and $0.3 million at March 31, 2017 and December 31, 2016, respectively, are included in our unrecognized tax benefits.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2016</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17,088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19,974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7,880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7,903</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2,411</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2,421</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122</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31,876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35,580</w:t>
            </w:r>
          </w:p>
        </w:tc>
      </w:tr>
      <w:tr>
        <w:trPr>
          <w:trHeight w:val="27"/>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2017 and December 31, 2016.</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$0.3 million and $0.7 million at March 31, 2017 and December 31, 2016,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1,431</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1,919</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134</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1,017</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Short-term contingent consideration</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1,520</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foreign currency exchange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URC court order and settlement agreement (Note 2)</w:t>
            </w: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6,622</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3,138</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24,410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first quarter of 2016, we implemented a plan to reduce our manufacturing costs by transitioning manufacturing activities from our southern-most China factory, located in the city of Guangzhou in the Guangdong province, to our other three China factories where labor rates are lower. As a result, we incurred severance costs of $5.3 million and $1.4 million during the three months ended March 31, 2017 and 2016, respectively, which are included within operating expenses. We expect to incur additional severance costs of approximately $2 million as we continue to execute this transition over the next three to six months. Because severance costs relate to involuntary terminations, we record the related liability at the communication date. At March 31, 2017, we had $0.2 million of unpaid severance costs included within accrued compensation.</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26, 2016, we entered into an agreement to sell our Guangzhou manufacturing facility for RMB 320 million (approximately $46 million based on March 31, 2017 exchange rates). Under the terms of this agreement, we have up to 24 months to cease all operations within the facility. The closing of the sale will be subject to customary due diligence and local regulatory approval and per the terms of the agreement could take up to approximately 28 months from the execution of the agreement. In accordance with the terms of the agreement, the buyer deposited 10% of the purchase price into an escrow account at agreement inception, which we have presented as long-term restricted cash in our consolidated balance sheet (also refer to Note 2). The remaining balance of the purchase price is to be placed into the escrow account prior to the closing of the sale and will be released to us upon closing.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sought to enjoin Telenet and UEBV from continued distribution and use of the products at issue. After the September 29, 2015 hearing, the Court issued its ruling in our and Telenet’s favor, rejecting FMH and Ruwido’s request entirely. On October 22, 2015, Ruwido filed its notice of appeal in this ruling. The parties have fully briefed the appeal and on February 15, 2016, the appellate court heard oral arguments. While awaiting the appellate court’s ruling, we requested and received permission to submit additional filings in support of our position. In March, we submitted our additional filings and answered questions from the court. We are now awaiting the decision from the court, which we believe will be rendered during the summer of 2017. In addition, in September 2015, UEBV filed an Opposition with the European Patent Office seeking to invalidate the one utility patent asserted against UEBV and Telenet by Ruwido. The hearing on this opposition has been set for July 2017. Finally, on or about February 9, 2016, Ruwido filed a writ of summons for proceeding on the merits with respect to asserted patents. UEBV and Telenet have replied, denying all of Ruwido's allegations and we intend to vigorously defend against these claims. A hearing on this matter occurred in February 2017 with the court allowing the parties to submit additional filings to further support their respective positions. A further hearing has been scheduled for early summer 2017.</w:t>
      </w:r>
    </w:p>
    <w:p>
      <w:pPr>
        <w:spacing w:after="0" w:line="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26, 2017, OpenTV, Inc., Nagra USA, Inc., Nagravision SA, and Kudelski SA (collectively, the “Kudelski Group”) filed a request with the U.S. International Trade Commission (“ITC”) to institute an investigation pursuant to Section 337 of the Tariff Act of 1930, as amended, concerning certain remote control devices we supply Comcast Corporation (“Comcast”) to which the ITC agreed to accept this request. By this request, the Kudelski Group will seek exclusion of certain digital television set-top boxes, remote control devices, and components thereof imported into the United States by Comcast and/or various of its subsidiaries, ARRIS International plc and/or various of its subsidiaries, and us and/or certain of our subsidiaries. We deny the allegations made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the Kudelski Group against us and we intend to vigorously defend against them. Discovery in this matter has just begun. Further, the ITC issued its scheduling order, setting the hearing start date for November 1, 2017.</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March 31, 2017, we had 194,565 shares available for repurchase on the open market under the Board's authorizations. On April 26, 2017, our Board increased these repurchase authorizations by 5,435 shares bringing the total authorization as of the approval date to 200,000 shares. Shares may also be tendered by employees to satisfy tax withholding obligations in connection with the vesting of restricted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11,389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1,724</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81,928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83,938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24,650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21,573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16,926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17,424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15,783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7,555</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4,883</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161,406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150,658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11,948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94,753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94,113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111,610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110,247</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7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136</w:t>
            </w:r>
          </w:p>
        </w:tc>
      </w:tr>
      <w:tr>
        <w:trPr>
          <w:trHeight w:val="27"/>
        </w:trPr>
        <w:tc>
          <w:tcPr>
            <w:tcW w:w="5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1,845</w:t>
            </w:r>
          </w:p>
        </w:tc>
      </w:tr>
      <w:tr>
        <w:trPr>
          <w:trHeight w:val="27"/>
        </w:trPr>
        <w:tc>
          <w:tcPr>
            <w:tcW w:w="5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2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w w:val="98"/>
              </w:rPr>
              <w:t>Total employee and director stock-based compensation expense</w:t>
            </w:r>
          </w:p>
        </w:tc>
        <w:tc>
          <w:tcPr>
            <w:tcW w:w="27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2,493</w:t>
            </w:r>
          </w:p>
        </w:tc>
      </w:tr>
      <w:tr>
        <w:trPr>
          <w:trHeight w:val="67"/>
        </w:trPr>
        <w:tc>
          <w:tcPr>
            <w:tcW w:w="5120" w:type="dxa"/>
            <w:vAlign w:val="bottom"/>
            <w:tcBorders>
              <w:bottom w:val="single" w:sz="8" w:color="CCEEFF"/>
            </w:tcBorders>
          </w:tcPr>
          <w:p>
            <w:pPr>
              <w:spacing w:after="0"/>
              <w:rPr>
                <w:sz w:val="5"/>
                <w:szCs w:val="5"/>
                <w:color w:val="auto"/>
              </w:rPr>
            </w:pPr>
          </w:p>
        </w:tc>
        <w:tc>
          <w:tcPr>
            <w:tcW w:w="27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51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2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733</w:t>
            </w:r>
          </w:p>
        </w:tc>
      </w:tr>
      <w:tr>
        <w:trPr>
          <w:trHeight w:val="702"/>
        </w:trPr>
        <w:tc>
          <w:tcPr>
            <w:tcW w:w="5120" w:type="dxa"/>
            <w:vAlign w:val="bottom"/>
          </w:tcPr>
          <w:p>
            <w:pPr>
              <w:spacing w:after="0"/>
              <w:rPr>
                <w:sz w:val="24"/>
                <w:szCs w:val="24"/>
                <w:color w:val="auto"/>
              </w:rPr>
            </w:pPr>
          </w:p>
        </w:tc>
        <w:tc>
          <w:tcPr>
            <w:tcW w:w="2780" w:type="dxa"/>
            <w:vAlign w:val="bottom"/>
          </w:tcPr>
          <w:p>
            <w:pPr>
              <w:jc w:val="right"/>
              <w:ind w:right="201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62.70</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March 31, 2017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19,275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March 31, 2017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736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March 31, 2017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2017 and the exercise price, multiplied by the number of in-the-money options) that would have been received by the option holders had they all exercised their options on March 31, 2017.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4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$17.96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1.36%</w:t>
            </w:r>
          </w:p>
        </w:tc>
      </w:tr>
      <w:tr>
        <w:trPr>
          <w:trHeight w:val="27"/>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41.38%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4.52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4.55</w:t>
            </w:r>
          </w:p>
        </w:tc>
      </w:tr>
    </w:tbl>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2017, we expect to recognize $4.9 million of total unrecognized pre-tax stock-based compensation expense related to non-vested stock options over a remaining weighted-average life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57.43</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63.39</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56.94</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58.95</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2017</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60.09</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2017, we expect to recognize $12.0 million of total unrecognized pre-tax stock-based compensation expense related to non-vested restricted stock awards over a weighted-average life of 2.1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the warrants contain performance criteria under which Comcast must achieve specified aggregate purchase levels for the warrants to vest, as detailed above, the measurement date for the warrants is the date on which the warrants vest. At March 31, 2017, none of the warrants had vested.</w:t>
      </w:r>
    </w:p>
    <w:p>
      <w:pPr>
        <w:spacing w:after="0" w:line="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the warrants is determined using the Black-Scholes option pricing model. The assumptions we utilized and the resulting fair value of the warrants were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$29.86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$67.98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$62.30</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39.86%</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41.49%</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6.75</w:t>
            </w:r>
          </w:p>
        </w:tc>
      </w:tr>
      <w:tr>
        <w:trPr>
          <w:trHeight w:val="27"/>
        </w:trPr>
        <w:tc>
          <w:tcPr>
            <w:tcW w:w="79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each of the three months ended March 31, 2017 and 2016, we recorded a $0.9 million reduction to net sales in connection with the warrants. The related income tax benefit was $0.3 million in both periods. At March 31, 2017, we estimated the number of warrants that will vest based on the combination of purchases already made and projected future purchases that will be made by Comcast and its affiliates. These estimates may increase or decrease based on actual future purchases. The aggregate unrecognized estimated fair value of unvested warrants at March 31, 2017 was $19.8 million.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4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911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720</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17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0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2,721</w:t>
            </w:r>
          </w:p>
        </w:tc>
      </w:tr>
      <w:tr>
        <w:trPr>
          <w:trHeight w:val="25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14,373</w:t>
            </w:r>
          </w:p>
        </w:tc>
      </w:tr>
      <w:tr>
        <w:trPr>
          <w:trHeight w:val="297"/>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0.19</w:t>
            </w:r>
          </w:p>
        </w:tc>
      </w:tr>
      <w:tr>
        <w:trPr>
          <w:trHeight w:val="284"/>
        </w:trPr>
        <w:tc>
          <w:tcPr>
            <w:tcW w:w="7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2,721</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77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4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14,449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14,373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14,637</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8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5800" w:type="dxa"/>
            <w:vAlign w:val="bottom"/>
            <w:gridSpan w:val="2"/>
          </w:tcPr>
          <w:p>
            <w:pPr>
              <w:jc w:val="right"/>
              <w:ind w:right="48"/>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20</w:t>
            </w:r>
          </w:p>
        </w:tc>
      </w:tr>
      <w:tr>
        <w:trPr>
          <w:trHeight w:val="486"/>
        </w:trPr>
        <w:tc>
          <w:tcPr>
            <w:tcW w:w="3620" w:type="dxa"/>
            <w:vAlign w:val="bottom"/>
          </w:tcPr>
          <w:p>
            <w:pPr>
              <w:spacing w:after="0"/>
              <w:rPr>
                <w:sz w:val="24"/>
                <w:szCs w:val="24"/>
                <w:color w:val="auto"/>
              </w:rPr>
            </w:pPr>
          </w:p>
        </w:tc>
        <w:tc>
          <w:tcPr>
            <w:tcW w:w="4120" w:type="dxa"/>
            <w:vAlign w:val="bottom"/>
          </w:tcPr>
          <w:p>
            <w:pPr>
              <w:jc w:val="right"/>
              <w:ind w:right="1970"/>
              <w:spacing w:after="0"/>
              <w:rPr>
                <w:sz w:val="20"/>
                <w:szCs w:val="20"/>
                <w:color w:val="auto"/>
              </w:rPr>
            </w:pPr>
            <w:r>
              <w:rPr>
                <w:rFonts w:ascii="Arial" w:cs="Arial" w:eastAsia="Arial" w:hAnsi="Arial"/>
                <w:sz w:val="18"/>
                <w:szCs w:val="18"/>
                <w:color w:val="auto"/>
              </w:rPr>
              <w:t>20</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320"/>
          </w:cols>
          <w:pgMar w:left="24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1"/>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(453)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(1,584)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 (1,584)</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$0.2 million and a net pre-tax loss of $0.2 million for the three months ended March 31, 2017 and 2016, respectively (see Note 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5, 2017</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6.9210</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May 19,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20, 2017</w:t>
            </w: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27, 2017</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6.7230</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3.4775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3.2316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380" w:hanging="328"/>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2017, we acquired substantially all of the net assets of Residential Control Systems, Inc. (“RCS”), a U.S.-based designer and manufacturer of energy management and control products for the residential, small commercial and hospitality markets. Under the terms of the Asset Purchase Agreement, we paid an initial cash purchase price of approximately $9 million, plus contingent cash consideration of up to an additional $10 million based upon a percentage of operating income attributable to RCS over the period commencing on the acquisition date through June 30, 2022.</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and manufacture a broad line of pre-programmed universal remote control products, AV accessories, software and intelligent wireless security and automation components dedicated to redefining the home entertainment and automation experience. Our customers operate primarily in the consumer electronics market and include subscription broadcasters, OEMs, international retailers, private label brands, pro-security dealers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device control code database that covers approximately one million individual device functions and approximately 8,000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have developed a comprehensive patent portfolio of more than 400 pending and issued patents related to remote controls and home automation.</w:t>
      </w:r>
    </w:p>
    <w:p>
      <w:pPr>
        <w:spacing w:after="0" w:line="1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23 international subsidiaries located in Argentina, Brazil, British Virgin Islands, Cayman Islands, France, Germany, Hong Kong (3), India, Italy, Japan,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2017:</w:t>
      </w:r>
    </w:p>
    <w:p>
      <w:pPr>
        <w:spacing w:after="0" w:line="63"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increased 7.1% to $161.4 million for the three months ended March 31, 2017 from $150.7 million for the three months ended March 31, 2016.</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gross margin percentage increased from 25.0% for the three months ended March 31, 2016 to 25.4% for the three months ended March 31, 2017.</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expenses, as a percent of net sales, increased from 23.0% for the three months ended March 31, 2016 to 25.6% for the three months ended March 31, 2017.</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income decreased from $3.0 million for the three months ended March 31, 2016 to an operating loss of $0.4 million for the three months ended March 31, 2017, and our operating margin percentage decreased from 2.0% for the three months ended March 31, 2016 to (0.2)% for the three months ended March 31, 2017.</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a $0.3 million income tax benefit for the three months ended March 31, 2017, compared to an income tax provision of $0.8 million for the three months ended March 31,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2017 include the following:</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2017 to the items that we disclosed as our critical accounting policies and estimates in Item 7, "Management's Discussion and Analysis of Financial Condition and Results of Operations" contained in our Annual Report on Form 10-K for our fiscal year ended December 31, 2016.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23495</wp:posOffset>
            </wp:positionV>
            <wp:extent cx="2315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gridSpan w:val="2"/>
          </w:tcPr>
          <w:p>
            <w:pPr>
              <w:ind w:left="8320"/>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651"/>
              <w:spacing w:after="0"/>
              <w:rPr>
                <w:sz w:val="20"/>
                <w:szCs w:val="20"/>
                <w:color w:val="auto"/>
              </w:rPr>
            </w:pPr>
            <w:r>
              <w:rPr>
                <w:rFonts w:ascii="Arial" w:cs="Arial" w:eastAsia="Arial" w:hAnsi="Arial"/>
                <w:sz w:val="14"/>
                <w:szCs w:val="14"/>
                <w:b w:val="1"/>
                <w:bCs w:val="1"/>
                <w:color w:val="auto"/>
              </w:rPr>
              <w:t>2016</w:t>
            </w:r>
          </w:p>
        </w:tc>
      </w:tr>
      <w:tr>
        <w:trPr>
          <w:trHeight w:val="250"/>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75.0</w:t>
            </w:r>
          </w:p>
        </w:tc>
      </w:tr>
      <w:tr>
        <w:trPr>
          <w:trHeight w:val="27"/>
        </w:trPr>
        <w:tc>
          <w:tcPr>
            <w:tcW w:w="7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25.0</w:t>
            </w: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3.5</w:t>
            </w:r>
          </w:p>
        </w:tc>
      </w:tr>
      <w:tr>
        <w:trPr>
          <w:trHeight w:val="27"/>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0.9</w:t>
            </w: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780" w:type="dxa"/>
            <w:vAlign w:val="bottom"/>
          </w:tcPr>
          <w:p>
            <w:pPr>
              <w:jc w:val="right"/>
              <w:ind w:right="151"/>
              <w:spacing w:after="0"/>
              <w:rPr>
                <w:sz w:val="20"/>
                <w:szCs w:val="20"/>
                <w:color w:val="auto"/>
              </w:rPr>
            </w:pPr>
            <w:r>
              <w:rPr>
                <w:rFonts w:ascii="Arial" w:cs="Arial" w:eastAsia="Arial" w:hAnsi="Arial"/>
                <w:sz w:val="18"/>
                <w:szCs w:val="18"/>
                <w:color w:val="auto"/>
              </w:rPr>
              <w:t>18.6</w:t>
            </w:r>
          </w:p>
        </w:tc>
      </w:tr>
      <w:tr>
        <w:trPr>
          <w:trHeight w:val="27"/>
        </w:trPr>
        <w:tc>
          <w:tcPr>
            <w:tcW w:w="7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78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7"/>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Income (loss) before income tax provision (benefit)</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2.3</w:t>
            </w:r>
          </w:p>
        </w:tc>
      </w:tr>
      <w:tr>
        <w:trPr>
          <w:trHeight w:val="27"/>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1.8</w:t>
            </w:r>
          </w:p>
        </w:tc>
      </w:tr>
      <w:tr>
        <w:trPr>
          <w:trHeight w:val="27"/>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w:t>
            </w: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Three Months Ended March 31, 2016</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2017 were $161.4 million, an increase of 7.1% compared to $150.7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6.6</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93.2% of net sales for the three months ended March 31, 2017 compared to 93.4% for the three months ended March 31, 2016. Net sales in our Business lines for the three months ended March 31, 2017 increased by 6.9% to $150.4 million from $140.7 million driven by the continued rollout of higher end platforms in North America and Europe, as well as increased market share in Latin America. In addition, sales of our home security products contributed to our growth as we shipped sensors and keypads to a significant customer in the cable industry.</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retail and private label) were 6.8% of net sales for the three months ended March 31, 2017 compared to 6.6% for the three months ended March 31, 2016. Net sales in our Consumer lines for the three months ended March 31, 2017 increased by 10.0% to $11.0 million from $10.0 million in the three months ended March 31, 2016 driven primarily by growth in the Latin America market.</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March 31, 2017 was $41.0 million compared to $37.6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Gross profit as a percent of sales increased to 25.4% for the three months ended March 31, 2017 compared to 25.0% for the three months ended March 31, 2016. The gross margin percentage was favorably impacted by the weakening of the Chinese Yuan Renminbi relative to the U.S. Dollar, partially offset by the impact of manufacturing inefficiencies related to a factory transition and price reductions granted to certain large customers. We expect to continue to experience manufacturing inefficiencies over the next three to six months as we complete the transition of production activities from our southern-most China factory to our other three factories located in China (also see additional related discussion below under "Factory transition restructuring charges").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6.0% to $5.5 million for the three months ended March 31, 2017 from $5.2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2016 as we continue to develop new product offerings in existing categories as well as newer categories such as home security.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reduce our manufacturing costs by transitioning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activities from our southern-most China factory, located in the city of Guangzhou in the Guangdong province, to our other three China factories where labor rates are lower. As a result, we incurred severance costs of $5.3 million and $1.4 million for the three months ended March 31, 2017 and 2016, respectively. We expect to incur additional factory transition restructuring charges of approximately $2 million as we continue to execute this transition over the next three to six months.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9.5% to $30.7 million for the three months ended March 31,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$28.0 million for the three months ended March 31, 2016. The increase was primarily due to increased payroll and benefits costs related to annual merit increases and additional headcount to support product development efforts, incremental expense recorded to reflect an increase in the value of contingent consideration to be paid in connection with our acquisition of Ecolink Intelligent Technology, Inc., and additional freight and handling costs related to sales growth.</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$0.4 million for the three months ended March 31, 2017 compared to net interest expense of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2016 as a result of an increased level of borrowings on our line of credit.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was $0.6 million for the three months ended March 31, 2017 compared to net other income of $0.7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2016. This change was driven primarily by a decrease in foreign currency gains associated with fluctuations in the Chinese Yuan Renminbi exchange rate versus the U.S. Dollar, partially offset by foreign currency gains associated with fluctuations in the Euro exchange rate versus the U.S. Dollar.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We recorded an income tax benefit of $0.3 million for the three months ended March 31, 2017 as a result of incurring a loss, a</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foreign tax ruling that resulted in the reversal of a reserve approximating $0.2 million, and the recognition of $0.1 million of excess tax benefits related to stock-based compensation. For the three months ended March 31, 2016, we recorded income tax expense of $0.8 million which represented an effective tax rate of 21.5%.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(8,044)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2017</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24"/>
                <w:szCs w:val="24"/>
                <w:color w:val="auto"/>
              </w:rPr>
            </w:pP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50,611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93,899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108,291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for operating activities </w:t>
      </w:r>
      <w:r>
        <w:rPr>
          <w:rFonts w:ascii="Arial" w:cs="Arial" w:eastAsia="Arial" w:hAnsi="Arial"/>
          <w:sz w:val="18"/>
          <w:szCs w:val="18"/>
          <w:color w:val="auto"/>
        </w:rPr>
        <w:t>was $7.9 million during the three months ended March 31, 2017 compared to $3.1 million of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during the three months ended March 31, 2016. The decrease in net cash provided by operating activities was primarily due to working capital needs associated with accounts receivable. For the three months ended March 31, 2016, there was a decrease in net sales of $11.5 million compared to the fourth quarter of 2015 resulting in a cash inflow relating to accounts receivable. However, for the three months ended March 31, 2017, net sales remained relatively consistent with the net sales of the preceding quarter. In addition, days sales outstanding increased from 66 days at March 31, 2016 to 72 days at March 31, 2017.</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three months ended March 31, 2017 was $6.9 million compared to $8.0 million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with both periods consisting of investments in property, plant and equipment as well as internally developed patents. With respect to property, plant and equipment, we continue to invest in factory automation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factories in an effort to mitigate the rising cost of labor in China. Based on our current projections, we anticipate that property, plant and equipment purchases in 2017 will total between $22 million and $25 million.</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Additionally, on April 6, 2017, we acquired substantially all of the net assets of Residential Control Systems, Inc. for an initial cash purchase price of approximately $9 million, plus contingent consideration of up to $10 million over the period commencing on the acquisition date through June 30, 2022.</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$26.9 million during the three months ended March 31, 2017 compared to $8.9 million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This increase was driven primarily by an increase in net borrowing on our line of credit, partially offset by an increase in the purchase of treasury stock. Net borrowings on our line of credit were $38.0 million during the three months ended March 31, 2017, compared to net borrowings on our line of credit of $8.0 million during the three months ended March 31, 2016, primarily as a result of working capital needs and increased repurchases of our common stock in the current year period.</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March 31, 2017, we repurchased 185,120 shares of our common stock at a cost of $11.4 million compared to our repurchase of 32,934 shares at a cost of $1.7 million during the three months ended March 31, 2016. We hold these shares as treasury stock and they are available for reissue. Presently, we have no plans to distribute these shares, although we may change these plans if necessary to fulfill our on-going business objectives.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March 31, 2017, we had 194,565 shares available for repurchase on the open market under the Board's authorizations. On April 26, 2017, our Board increased these repurchase authorizations by 5,435 shares bringing the total authorization as of the approval date to 200,000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9"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 of the net assets of Ecolink Intelligent Technology,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August 2015 acquisition of the net assets of Ecolink Intelligent Technology, Inc.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and when inventory levels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Pr>
          <w:p>
            <w:pPr>
              <w:spacing w:after="0"/>
              <w:rPr>
                <w:sz w:val="16"/>
                <w:szCs w:val="16"/>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50,611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400" w:type="dxa"/>
            <w:vAlign w:val="bottom"/>
          </w:tcPr>
          <w:p>
            <w:pPr>
              <w:spacing w:after="0"/>
              <w:rPr>
                <w:sz w:val="21"/>
                <w:szCs w:val="21"/>
                <w:color w:val="auto"/>
              </w:rPr>
            </w:pPr>
          </w:p>
        </w:tc>
        <w:tc>
          <w:tcPr>
            <w:tcW w:w="1900" w:type="dxa"/>
            <w:vAlign w:val="bottom"/>
          </w:tcPr>
          <w:p>
            <w:pPr>
              <w:jc w:val="right"/>
              <w:ind w:right="36"/>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35,000</w:t>
            </w: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2017, we had $20.4 million, $17.7 million, $4.8 million, $18.2 million and $1.6 million of cash and cash equivalents in the United States, the People's Republic of China ("PRC"), Asia (excluding the PRC), Europe, and South America, respectively. On December 31, 2016, we had $3.3 million, $22.1 million, $5.3 million, $19.6 million, and $0.3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Credit Agreement ("Amended Credit Agreement") with U.S. Bank National Association ("U.S. Bank") provides for an $85.0 million line of credit ("Credit Line") that expires on November 1, 2018 and that may be used for working capital and other general corporate purposes including acquisitions, share repurchases and capital expenditures. On May 5, 2017, we entered into the Eighth Amendment to the Amended Credit Agreement in which the Credit Line was increased to $115.0 million. Amounts available for borrowing under the Credit Line are reduced by the balance of any outstanding letters of credit. There were no outstanding letters of credit at March 31, 2017.</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March 31, 2017 was 2.11%. There are no commitment fees or unused line fees under the Amended Credit Agreement.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March 31, 2017,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we had an outstanding balance of $88.0 million on our Credit Line and $17.0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2016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successful integration of the Ecolink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sale of our Guangzhou facility not occurring as or within the time frame anticipated by management; our inability to successfully and profitably restructure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From time to time we borrow amounts on our Credit Line for working capital and other liquidity needs. Under our Amended Credit Agreement,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an approximately $0.6 million annual impact on net income based on our outstanding line of credit balance at March 31, 2017.</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March 31, 2017, we had wholly-owned subsidiaries in Argentina, Brazil, Cayman Islands, France, Germany, Hong Kong, India, Italy, Japan,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2017, we believe that movements in foreign currency rates may have a material effect on our financial position and results of operations. We estimate that if the exchange rates for the Chinese Yuan Renminbi, Euro, British Pound, Argentinian Peso, Mexican Peso, Brazilian Real and Indian Rupee relative to the U.S. Dollar fluctuate 10% from March 31, 2017, net income in the second quarter of 2017 would fluctuate by approximately $9.0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first quarter of 2017, we implemented the first phase of a multi-year, company-wide program to transition to a new global enterprise resource planning ("ERP") software system. This first phase included our North America operations. In connection with this implementation, the design of our internal controls over financial reporting remained largely intact; however, we have updated our affected internal controls over financial reporting as necessary to accommodate modifications to our business processes and accounting processes. This global ERP implementation effort is projected to continue through 2019. We do not believe that the ERP implementation has or will have an adverse effect on our internal control over financial reporting.</w:t>
      </w:r>
    </w:p>
    <w:p>
      <w:pPr>
        <w:spacing w:after="0" w:line="1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described above, there have been no other changes in our internal control over financial reporting during the last fiscal quarter covered by this Quarterly Report on Form 10-Q that have materially affected, or are reasonably likely to materially affect, our internal control over financial reporting.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2016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March 31, 2017, we repurchased 185,120 shares of our issued and outstanding common stock for $11.4 million. We make stock repurchases under ongoing and systematic programs approved by our Board of Directors to manage the dilution created by shares issued under our stock incentive plans or when we deem a repurchase is a good use of our cash and the price to be paid is at or below a threshold approved by our Board from time to time. On March 31, 2017, we had 194,565 shares available for repurchase on the open market under the Board's authorizations. On April 26, 2017, our Board increased these repurchase authorizations by 5,435 shares bringing the total authorizations as of the approval date to 200,000 shares. Shares may also be tendered by employees to satisfy tax withholding obligations in connection with the vesting of restricted stock.</w:t>
      </w:r>
    </w:p>
    <w:p>
      <w:pPr>
        <w:spacing w:after="0" w:line="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2017,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2017 - January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75,720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69,932</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300,633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1, 2017 - February 28,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108,796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106,068</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194,565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2017 - March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67.89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194,565</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185,120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176,000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194,565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27" w:lineRule="auto"/>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Of the repurchases in January, February and March, 5,788, 2,728 and 604 shares, respectively,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4"/>
          <w:szCs w:val="24"/>
          <w:color w:val="auto"/>
          <w:vertAlign w:val="superscript"/>
        </w:rPr>
      </w:pPr>
    </w:p>
    <w:p>
      <w:pPr>
        <w:ind w:left="660" w:right="2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Company may purchase shares from time to time in open market purchases. The Company may make all or part of the purchases pursuant to accelerated share repurchases or Rule 10b5-1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9940" w:type="dxa"/>
            <w:vAlign w:val="bottom"/>
          </w:tcPr>
          <w:p>
            <w:pPr>
              <w:ind w:left="560"/>
              <w:spacing w:after="0"/>
              <w:rPr>
                <w:sz w:val="20"/>
                <w:szCs w:val="20"/>
                <w:color w:val="auto"/>
              </w:rPr>
            </w:pPr>
            <w:r>
              <w:rPr>
                <w:rFonts w:ascii="Arial" w:cs="Arial" w:eastAsia="Arial" w:hAnsi="Arial"/>
                <w:sz w:val="18"/>
                <w:szCs w:val="18"/>
                <w:color w:val="auto"/>
              </w:rPr>
              <w:t>Amended and Restated By-laws of Universal Electronics Inc. (filed herewith).</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560"/>
              <w:spacing w:after="0"/>
              <w:rPr>
                <w:sz w:val="20"/>
                <w:szCs w:val="20"/>
                <w:color w:val="auto"/>
              </w:rPr>
            </w:pPr>
            <w:r>
              <w:rPr>
                <w:rFonts w:ascii="Arial" w:cs="Arial" w:eastAsia="Arial" w:hAnsi="Arial"/>
                <w:sz w:val="18"/>
                <w:szCs w:val="18"/>
                <w:color w:val="auto"/>
                <w:w w:val="91"/>
              </w:rPr>
              <w:t>Seventh Amendment to Amended and Restated Credit Agreement dated as of April 14, 2017 between Universal Electronics Inc.</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and U.S. Bank National Association (filed herewith)</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9940" w:type="dxa"/>
            <w:vAlign w:val="bottom"/>
          </w:tcPr>
          <w:p>
            <w:pPr>
              <w:ind w:left="560"/>
              <w:spacing w:after="0"/>
              <w:rPr>
                <w:sz w:val="20"/>
                <w:szCs w:val="20"/>
                <w:color w:val="auto"/>
              </w:rPr>
            </w:pPr>
            <w:r>
              <w:rPr>
                <w:rFonts w:ascii="Arial" w:cs="Arial" w:eastAsia="Arial" w:hAnsi="Arial"/>
                <w:sz w:val="18"/>
                <w:szCs w:val="18"/>
                <w:color w:val="auto"/>
                <w:w w:val="91"/>
              </w:rPr>
              <w:t>Eighth Amendment to Amended and Restated Credit Agreement dated as of May 5, 2017 between Universal Electronics Inc. and</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U.S. Bank National Association (filed herewith)</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118" w:right="4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color w:val="auto"/>
                <w:w w:val="92"/>
              </w:rPr>
              <w:t>Dated:May 9, 2017</w:t>
            </w:r>
          </w:p>
        </w:tc>
        <w:tc>
          <w:tcPr>
            <w:tcW w:w="7720" w:type="dxa"/>
            <w:vAlign w:val="bottom"/>
            <w:gridSpan w:val="2"/>
          </w:tcPr>
          <w:p>
            <w:pPr>
              <w:ind w:left="19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60" w:type="dxa"/>
            <w:vAlign w:val="bottom"/>
          </w:tcPr>
          <w:p>
            <w:pPr>
              <w:spacing w:after="0"/>
              <w:rPr>
                <w:sz w:val="24"/>
                <w:szCs w:val="24"/>
                <w:color w:val="auto"/>
              </w:rPr>
            </w:pP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(principal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By-laws of Universal Electronics Inc. (filed herewith).</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3"/>
              </w:rPr>
              <w:t>Seventh Amendment to Amended and Restated Credit Agreement dated as of April 14, 2017 between Universal Electronics Inc. and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U.S. Bank National Association (filed herewith)</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2"/>
              </w:rPr>
              <w:t>Eighth Amendment to Amended and Restated Credit Agreement dated as of May 5, 2017 between Universal Electronics Inc. and U.S.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Bank National Association (filed herewith)</w:t>
            </w: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5"/>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4"/>
              </w:rPr>
              <w:t>Bryan M. Hackworth, Chief Financial Officer (principal financial officer and principal accounting officer) of Universal Electronics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18"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560"/>
        <w:spacing w:after="0"/>
        <w:rPr>
          <w:sz w:val="20"/>
          <w:szCs w:val="20"/>
          <w:color w:val="auto"/>
        </w:rPr>
      </w:pPr>
      <w:r>
        <w:rPr>
          <w:rFonts w:ascii="Arial" w:cs="Arial" w:eastAsia="Arial" w:hAnsi="Arial"/>
          <w:sz w:val="22"/>
          <w:szCs w:val="22"/>
          <w:b w:val="1"/>
          <w:bCs w:val="1"/>
          <w:u w:val="single" w:color="auto"/>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60"/>
        <w:spacing w:after="0"/>
        <w:rPr>
          <w:sz w:val="20"/>
          <w:szCs w:val="20"/>
          <w:color w:val="auto"/>
        </w:rPr>
      </w:pPr>
      <w:r>
        <w:rPr>
          <w:rFonts w:ascii="Arial" w:cs="Arial" w:eastAsia="Arial" w:hAnsi="Arial"/>
          <w:sz w:val="22"/>
          <w:szCs w:val="22"/>
          <w:b w:val="1"/>
          <w:bCs w:val="1"/>
          <w:u w:val="single" w:color="auto"/>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20"/>
        <w:spacing w:after="0"/>
        <w:rPr>
          <w:sz w:val="20"/>
          <w:szCs w:val="20"/>
          <w:color w:val="auto"/>
        </w:rPr>
      </w:pPr>
      <w:r>
        <w:rPr>
          <w:rFonts w:ascii="Arial" w:cs="Arial" w:eastAsia="Arial" w:hAnsi="Arial"/>
          <w:sz w:val="22"/>
          <w:szCs w:val="22"/>
          <w:b w:val="1"/>
          <w:bCs w:val="1"/>
          <w:u w:val="single" w:color="auto"/>
          <w:color w:val="auto"/>
        </w:rPr>
        <w:t>UNIVERSAL ELECTRONICS INC.</w:t>
      </w:r>
    </w:p>
    <w:p>
      <w:pPr>
        <w:spacing w:after="0" w:line="200" w:lineRule="exact"/>
        <w:rPr>
          <w:sz w:val="20"/>
          <w:szCs w:val="20"/>
          <w:color w:val="auto"/>
        </w:rPr>
      </w:pPr>
    </w:p>
    <w:p>
      <w:pPr>
        <w:spacing w:after="0" w:line="236" w:lineRule="exact"/>
        <w:rPr>
          <w:sz w:val="20"/>
          <w:szCs w:val="20"/>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As of October 23, 2007</w:t>
      </w:r>
    </w:p>
    <w:p>
      <w:pPr>
        <w:sectPr>
          <w:pgSz w:w="11900" w:h="16838" w:orient="portrait"/>
          <w:cols w:equalWidth="0" w:num="1">
            <w:col w:w="10220"/>
          </w:cols>
          <w:pgMar w:left="14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140"/>
        <w:spacing w:after="0"/>
        <w:rPr>
          <w:sz w:val="20"/>
          <w:szCs w:val="20"/>
          <w:color w:val="auto"/>
        </w:rPr>
      </w:pPr>
      <w:r>
        <w:rPr>
          <w:rFonts w:ascii="Arial" w:cs="Arial" w:eastAsia="Arial" w:hAnsi="Arial"/>
          <w:sz w:val="14"/>
          <w:szCs w:val="14"/>
          <w:color w:val="FFFFFF"/>
        </w:rPr>
        <w:t>1</w:t>
      </w:r>
    </w:p>
    <w:p>
      <w:pPr>
        <w:sectPr>
          <w:pgSz w:w="11900" w:h="16838" w:orient="portrait"/>
          <w:cols w:equalWidth="0" w:num="1">
            <w:col w:w="10220"/>
          </w:cols>
          <w:pgMar w:left="1440" w:top="580"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53"/>
        </w:trPr>
        <w:tc>
          <w:tcPr>
            <w:tcW w:w="2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60" w:type="dxa"/>
            <w:vAlign w:val="bottom"/>
            <w:gridSpan w:val="16"/>
          </w:tcPr>
          <w:p>
            <w:pPr>
              <w:jc w:val="center"/>
              <w:ind w:right="3760"/>
              <w:spacing w:after="0"/>
              <w:rPr>
                <w:sz w:val="20"/>
                <w:szCs w:val="20"/>
                <w:color w:val="auto"/>
              </w:rPr>
            </w:pPr>
            <w:r>
              <w:rPr>
                <w:rFonts w:ascii="Arial" w:cs="Arial" w:eastAsia="Arial" w:hAnsi="Arial"/>
                <w:sz w:val="22"/>
                <w:szCs w:val="22"/>
                <w:b w:val="1"/>
                <w:bCs w:val="1"/>
                <w:color w:val="auto"/>
                <w:w w:val="96"/>
              </w:rPr>
              <w:t>AMENDED AND RESTATED, BY-LAWS</w:t>
            </w:r>
          </w:p>
        </w:tc>
      </w:tr>
      <w:tr>
        <w:trPr>
          <w:trHeight w:val="412"/>
        </w:trPr>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gridSpan w:val="7"/>
          </w:tcPr>
          <w:p>
            <w:pPr>
              <w:jc w:val="center"/>
              <w:ind w:right="1800"/>
              <w:spacing w:after="0"/>
              <w:rPr>
                <w:sz w:val="20"/>
                <w:szCs w:val="20"/>
                <w:color w:val="auto"/>
              </w:rPr>
            </w:pPr>
            <w:r>
              <w:rPr>
                <w:rFonts w:ascii="Arial" w:cs="Arial" w:eastAsia="Arial" w:hAnsi="Arial"/>
                <w:sz w:val="22"/>
                <w:szCs w:val="22"/>
                <w:b w:val="1"/>
                <w:bCs w:val="1"/>
                <w:color w:val="auto"/>
                <w:w w:val="98"/>
              </w:rPr>
              <w:t>OF</w:t>
            </w:r>
          </w:p>
        </w:tc>
        <w:tc>
          <w:tcPr>
            <w:tcW w:w="376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412"/>
        </w:trPr>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Borders>
              <w:bottom w:val="single" w:sz="8" w:color="auto"/>
            </w:tcBorders>
            <w:gridSpan w:val="10"/>
          </w:tcPr>
          <w:p>
            <w:pPr>
              <w:jc w:val="center"/>
              <w:spacing w:after="0"/>
              <w:rPr>
                <w:sz w:val="20"/>
                <w:szCs w:val="20"/>
                <w:color w:val="auto"/>
              </w:rPr>
            </w:pPr>
            <w:r>
              <w:rPr>
                <w:rFonts w:ascii="Arial" w:cs="Arial" w:eastAsia="Arial" w:hAnsi="Arial"/>
                <w:sz w:val="22"/>
                <w:szCs w:val="22"/>
                <w:b w:val="1"/>
                <w:bCs w:val="1"/>
                <w:color w:val="auto"/>
                <w:w w:val="98"/>
              </w:rPr>
              <w:t>UNIVERSAL ELECTRONICS INC.</w:t>
            </w:r>
          </w:p>
        </w:tc>
        <w:tc>
          <w:tcPr>
            <w:tcW w:w="4000" w:type="dxa"/>
            <w:vAlign w:val="bottom"/>
            <w:gridSpan w:val="3"/>
          </w:tcPr>
          <w:p>
            <w:pPr>
              <w:spacing w:after="0"/>
              <w:rPr>
                <w:sz w:val="24"/>
                <w:szCs w:val="24"/>
                <w:color w:val="auto"/>
              </w:rPr>
            </w:pPr>
          </w:p>
        </w:tc>
      </w:tr>
      <w:tr>
        <w:trPr>
          <w:trHeight w:val="493"/>
        </w:trPr>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rPr>
              <w:t>ARTICLE I</w:t>
            </w:r>
          </w:p>
        </w:tc>
        <w:tc>
          <w:tcPr>
            <w:tcW w:w="5140" w:type="dxa"/>
            <w:vAlign w:val="bottom"/>
            <w:gridSpan w:val="6"/>
          </w:tcPr>
          <w:p>
            <w:pPr>
              <w:spacing w:after="0"/>
              <w:rPr>
                <w:sz w:val="24"/>
                <w:szCs w:val="24"/>
                <w:color w:val="auto"/>
              </w:rPr>
            </w:pPr>
          </w:p>
        </w:tc>
      </w:tr>
      <w:tr>
        <w:trPr>
          <w:trHeight w:val="399"/>
        </w:trPr>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gridSpan w:val="14"/>
          </w:tcPr>
          <w:p>
            <w:pPr>
              <w:jc w:val="center"/>
              <w:ind w:right="3920"/>
              <w:spacing w:after="0"/>
              <w:rPr>
                <w:sz w:val="20"/>
                <w:szCs w:val="20"/>
                <w:color w:val="auto"/>
              </w:rPr>
            </w:pPr>
            <w:r>
              <w:rPr>
                <w:rFonts w:ascii="Arial" w:cs="Arial" w:eastAsia="Arial" w:hAnsi="Arial"/>
                <w:sz w:val="22"/>
                <w:szCs w:val="22"/>
                <w:b w:val="1"/>
                <w:bCs w:val="1"/>
                <w:color w:val="auto"/>
                <w:w w:val="98"/>
              </w:rPr>
              <w:t>OFFICES OF REGISTERED AGENT</w:t>
            </w:r>
          </w:p>
        </w:tc>
      </w:tr>
      <w:tr>
        <w:trPr>
          <w:trHeight w:val="20"/>
        </w:trPr>
        <w:tc>
          <w:tcPr>
            <w:tcW w:w="28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gridSpan w:val="5"/>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561"/>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1.1</w:t>
            </w:r>
          </w:p>
        </w:tc>
        <w:tc>
          <w:tcPr>
            <w:tcW w:w="862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4"/>
              </w:rPr>
              <w:t>Office and Agent</w:t>
            </w:r>
            <w:r>
              <w:rPr>
                <w:rFonts w:ascii="Arial" w:cs="Arial" w:eastAsia="Arial" w:hAnsi="Arial"/>
                <w:sz w:val="18"/>
                <w:szCs w:val="18"/>
                <w:color w:val="auto"/>
                <w:w w:val="94"/>
              </w:rPr>
              <w:t>. The Corporation shall have and maintain a registered office in Delaware and a registered agent</w:t>
            </w:r>
          </w:p>
        </w:tc>
      </w:tr>
      <w:tr>
        <w:trPr>
          <w:trHeight w:val="20"/>
        </w:trPr>
        <w:tc>
          <w:tcPr>
            <w:tcW w:w="28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r>
      <w:tr>
        <w:trPr>
          <w:trHeight w:val="277"/>
        </w:trPr>
        <w:tc>
          <w:tcPr>
            <w:tcW w:w="11420" w:type="dxa"/>
            <w:vAlign w:val="bottom"/>
            <w:gridSpan w:val="18"/>
          </w:tcPr>
          <w:p>
            <w:pPr>
              <w:spacing w:after="0"/>
              <w:rPr>
                <w:sz w:val="20"/>
                <w:szCs w:val="20"/>
                <w:color w:val="auto"/>
              </w:rPr>
            </w:pPr>
            <w:r>
              <w:rPr>
                <w:rFonts w:ascii="Arial" w:cs="Arial" w:eastAsia="Arial" w:hAnsi="Arial"/>
                <w:sz w:val="18"/>
                <w:szCs w:val="18"/>
                <w:color w:val="auto"/>
              </w:rPr>
              <w:t>having a business office identical with such registered office.</w:t>
            </w:r>
          </w:p>
        </w:tc>
      </w:tr>
      <w:tr>
        <w:trPr>
          <w:trHeight w:val="432"/>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Section1.2</w:t>
            </w:r>
          </w:p>
        </w:tc>
        <w:tc>
          <w:tcPr>
            <w:tcW w:w="8620" w:type="dxa"/>
            <w:vAlign w:val="bottom"/>
            <w:gridSpan w:val="17"/>
          </w:tcPr>
          <w:p>
            <w:pPr>
              <w:jc w:val="center"/>
              <w:ind w:right="20"/>
              <w:spacing w:after="0"/>
              <w:rPr>
                <w:sz w:val="20"/>
                <w:szCs w:val="20"/>
                <w:color w:val="auto"/>
              </w:rPr>
            </w:pPr>
            <w:r>
              <w:rPr>
                <w:rFonts w:ascii="Arial" w:cs="Arial" w:eastAsia="Arial" w:hAnsi="Arial"/>
                <w:sz w:val="18"/>
                <w:szCs w:val="18"/>
                <w:b w:val="1"/>
                <w:bCs w:val="1"/>
                <w:color w:val="auto"/>
                <w:w w:val="92"/>
              </w:rPr>
              <w:t xml:space="preserve">Other Offices. </w:t>
            </w:r>
            <w:r>
              <w:rPr>
                <w:rFonts w:ascii="Arial" w:cs="Arial" w:eastAsia="Arial" w:hAnsi="Arial"/>
                <w:sz w:val="18"/>
                <w:szCs w:val="18"/>
                <w:color w:val="auto"/>
                <w:w w:val="92"/>
              </w:rPr>
              <w:t>The Corporation may also have such other office or offices in Delaware or elsewhere as the Board of</w:t>
            </w:r>
          </w:p>
        </w:tc>
      </w:tr>
      <w:tr>
        <w:trPr>
          <w:trHeight w:val="20"/>
        </w:trPr>
        <w:tc>
          <w:tcPr>
            <w:tcW w:w="2800" w:type="dxa"/>
            <w:vAlign w:val="bottom"/>
            <w:tcBorders>
              <w:right w:val="single" w:sz="8" w:color="auto"/>
            </w:tcBorders>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r>
      <w:tr>
        <w:trPr>
          <w:trHeight w:val="277"/>
        </w:trPr>
        <w:tc>
          <w:tcPr>
            <w:tcW w:w="11420" w:type="dxa"/>
            <w:vAlign w:val="bottom"/>
            <w:gridSpan w:val="18"/>
          </w:tcPr>
          <w:p>
            <w:pPr>
              <w:spacing w:after="0"/>
              <w:rPr>
                <w:sz w:val="20"/>
                <w:szCs w:val="20"/>
                <w:color w:val="auto"/>
              </w:rPr>
            </w:pPr>
            <w:r>
              <w:rPr>
                <w:rFonts w:ascii="Arial" w:cs="Arial" w:eastAsia="Arial" w:hAnsi="Arial"/>
                <w:sz w:val="18"/>
                <w:szCs w:val="18"/>
                <w:color w:val="auto"/>
              </w:rPr>
              <w:t>Directors may determine or as the business of the Corporation may require.</w:t>
            </w:r>
          </w:p>
        </w:tc>
      </w:tr>
      <w:tr>
        <w:trPr>
          <w:trHeight w:val="486"/>
        </w:trPr>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b w:val="1"/>
                <w:bCs w:val="1"/>
                <w:color w:val="auto"/>
              </w:rPr>
              <w:t>ARTICLE II</w:t>
            </w:r>
          </w:p>
        </w:tc>
        <w:tc>
          <w:tcPr>
            <w:tcW w:w="5100" w:type="dxa"/>
            <w:vAlign w:val="bottom"/>
            <w:gridSpan w:val="5"/>
          </w:tcPr>
          <w:p>
            <w:pPr>
              <w:spacing w:after="0"/>
              <w:rPr>
                <w:sz w:val="24"/>
                <w:szCs w:val="24"/>
                <w:color w:val="auto"/>
              </w:rPr>
            </w:pPr>
          </w:p>
        </w:tc>
      </w:tr>
      <w:tr>
        <w:trPr>
          <w:trHeight w:val="453"/>
        </w:trPr>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Borders>
              <w:bottom w:val="single" w:sz="8" w:color="auto"/>
            </w:tcBorders>
            <w:gridSpan w:val="7"/>
          </w:tcPr>
          <w:p>
            <w:pPr>
              <w:jc w:val="center"/>
              <w:spacing w:after="0"/>
              <w:rPr>
                <w:sz w:val="20"/>
                <w:szCs w:val="20"/>
                <w:color w:val="auto"/>
              </w:rPr>
            </w:pPr>
            <w:r>
              <w:rPr>
                <w:rFonts w:ascii="Arial" w:cs="Arial" w:eastAsia="Arial" w:hAnsi="Arial"/>
                <w:sz w:val="22"/>
                <w:szCs w:val="22"/>
                <w:b w:val="1"/>
                <w:bCs w:val="1"/>
                <w:color w:val="auto"/>
                <w:w w:val="98"/>
              </w:rPr>
              <w:t>STOCKHOLDERS</w:t>
            </w:r>
          </w:p>
        </w:tc>
        <w:tc>
          <w:tcPr>
            <w:tcW w:w="4800" w:type="dxa"/>
            <w:vAlign w:val="bottom"/>
            <w:gridSpan w:val="4"/>
          </w:tcPr>
          <w:p>
            <w:pPr>
              <w:spacing w:after="0"/>
              <w:rPr>
                <w:sz w:val="24"/>
                <w:szCs w:val="24"/>
                <w:color w:val="auto"/>
              </w:rPr>
            </w:pPr>
          </w:p>
        </w:tc>
      </w:tr>
      <w:tr>
        <w:trPr>
          <w:trHeight w:val="480"/>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2.1</w:t>
            </w:r>
          </w:p>
        </w:tc>
        <w:tc>
          <w:tcPr>
            <w:tcW w:w="862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4"/>
              </w:rPr>
              <w:t xml:space="preserve">Annual Meeting. </w:t>
            </w:r>
            <w:r>
              <w:rPr>
                <w:rFonts w:ascii="Arial" w:cs="Arial" w:eastAsia="Arial" w:hAnsi="Arial"/>
                <w:sz w:val="18"/>
                <w:szCs w:val="18"/>
                <w:color w:val="auto"/>
                <w:w w:val="94"/>
              </w:rPr>
              <w:t>An annual meeting of the stockholders shall be held on the second Tuesday in May in each year</w:t>
            </w:r>
          </w:p>
        </w:tc>
      </w:tr>
      <w:tr>
        <w:trPr>
          <w:trHeight w:val="20"/>
        </w:trPr>
        <w:tc>
          <w:tcPr>
            <w:tcW w:w="2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beginning with the year 1992, at the hour of 10:30 A.M., local time or in the event the annual meeting is not held on such date and at such time, then on the date and at the time designated by the Board of Directors, for the purpose of electing directors and for the transaction of each other business as may properly come before the meeting. If the day fixed for the annual meeting shall be a legal holiday, such meeting shall be held on the next succeeding business day. If the directors shall not be elected at the annual meeting, or at any adjournment thereof, the Board of Directors shall cause the election to be held as soon thereafter as may be convenient.</w:t>
      </w:r>
    </w:p>
    <w:p>
      <w:pPr>
        <w:spacing w:after="0" w:line="18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may be called at any time by the Chairman of the Board or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and shall be called by the Chairman of the Board, the President or the Secretary at the request in writing of (a) The holders of at least twenty percent (20%) of all the outstanding shares of stock of the Corporation entitled to vote on the matter for which the meeting is called, or (b) a majority of the Board of Directors, or (c) any two (2) directors (but only so long as the Corporation's Series A Convertible Preferred Stock shall remain outstanding. Such request shall state the purpose or purposes of the proposed meeting.</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Place of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stockholders, whether annual or special, shall be held at such time and place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of Directors and designated in the call and notice or waiver of notice of such meeting; provided, that a waiver of notice signed by all stockholders may designate any time or place as the time and place for the holding of such meeting. If no designation is made, the place of meeting shall be at the Corporation's principal place of business.</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Notice of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stating the place, date and hour of the meeting and, in case of a special meeting,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or purposes for which the meeting is called, shall be given not less than ten (10) nor more than sixty (60) days before the date of the meeting, or, in the case of a merger, consolidation or sale, lease or exchange of all or substantially all of the Corporation's property and assets, at least twenty (20) days before the date of the meeting, either personally or by mail, by or at the direction of the Chairman of the Board, the President or the Secretary to each stockholder of record entitled to vote at such meeting. If mailed, notice is given when deposited in the United States mail, postage prepaid, directed to the stockholder at his address as it appears on the records of the Corporation. If delivered (rather than mailed) to such address, such notice shall be deemed to be given when so delivered.</w:t>
      </w:r>
    </w:p>
    <w:p>
      <w:pPr>
        <w:spacing w:after="0" w:line="189"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A waiver of notice in writing signed by a stockholder entitled to such notice, whether before or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of the meeting, shall be deemed equivalent to the giving of such notice. Attendance of a stockholder in person or by proxy at a meeting of stockholders shall constitute a waiver of notice of such meeting except when the stockholder or his or her proxy attends the meeting for the express purpose of objecting, at the beginning of the meeting, to the transaction of any business because the meeting is not lawfully called or convened.</w:t>
      </w:r>
    </w:p>
    <w:p>
      <w:pPr>
        <w:sectPr>
          <w:pgSz w:w="11900" w:h="16838" w:orient="portrait"/>
          <w:cols w:equalWidth="0" w:num="1">
            <w:col w:w="11420"/>
          </w:cols>
          <w:pgMar w:left="240" w:top="818" w:right="239" w:bottom="1440" w:gutter="0" w:footer="0" w:header="0"/>
        </w:sectPr>
      </w:pPr>
    </w:p>
    <w:p>
      <w:pPr>
        <w:spacing w:after="0" w:line="387" w:lineRule="exact"/>
        <w:rPr>
          <w:sz w:val="20"/>
          <w:szCs w:val="20"/>
          <w:color w:val="auto"/>
        </w:rPr>
      </w:pPr>
    </w:p>
    <w:p>
      <w:pPr>
        <w:ind w:left="11340"/>
        <w:spacing w:after="0"/>
        <w:rPr>
          <w:sz w:val="20"/>
          <w:szCs w:val="20"/>
          <w:color w:val="auto"/>
        </w:rPr>
      </w:pPr>
      <w:r>
        <w:rPr>
          <w:rFonts w:ascii="Arial" w:cs="Arial" w:eastAsia="Arial" w:hAnsi="Arial"/>
          <w:sz w:val="14"/>
          <w:szCs w:val="14"/>
          <w:color w:val="FFFFFF"/>
        </w:rPr>
        <w:t>2</w:t>
      </w:r>
    </w:p>
    <w:p>
      <w:pPr>
        <w:sectPr>
          <w:pgSz w:w="11900" w:h="16838" w:orient="portrait"/>
          <w:cols w:equalWidth="0" w:num="1">
            <w:col w:w="11420"/>
          </w:cols>
          <w:pgMar w:left="240" w:top="818" w:right="239" w:bottom="1440" w:gutter="0" w:footer="0" w:header="0"/>
          <w:type w:val="continuous"/>
        </w:sectPr>
      </w:pPr>
    </w:p>
    <w:bookmarkStart w:id="36" w:name="page37"/>
    <w:bookmarkEnd w:id="36"/>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Fixing Record Date for Determination of Stockholders</w:t>
      </w:r>
      <w:r>
        <w:rPr>
          <w:rFonts w:ascii="Arial" w:cs="Arial" w:eastAsia="Arial" w:hAnsi="Arial"/>
          <w:sz w:val="16"/>
          <w:szCs w:val="16"/>
          <w:b w:val="1"/>
          <w:bCs w:val="1"/>
          <w:color w:val="auto"/>
        </w:rPr>
        <w:t>.</w:t>
      </w:r>
    </w:p>
    <w:p>
      <w:pPr>
        <w:spacing w:after="0" w:line="270" w:lineRule="exact"/>
        <w:rPr>
          <w:sz w:val="20"/>
          <w:szCs w:val="20"/>
          <w:color w:val="auto"/>
        </w:rPr>
      </w:pPr>
    </w:p>
    <w:p>
      <w:pPr>
        <w:jc w:val="both"/>
        <w:ind w:firstLine="1305"/>
        <w:spacing w:after="0" w:line="300" w:lineRule="auto"/>
        <w:tabs>
          <w:tab w:leader="none" w:pos="21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of such meeting, the Board of Directors may fix a record date, which record date shall not precede the date upon which the resolution fixing the record date as adopted by the Board of Directors, and which record date shall not be more than sixty (60) nor less than ten (10) days, or in the case of a merger, consolidation or sale, lease or exchange of all or substantially all of the Corporation's property and assets, not less than twenty (20)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6" w:lineRule="exact"/>
        <w:rPr>
          <w:rFonts w:ascii="Arial" w:cs="Arial" w:eastAsia="Arial" w:hAnsi="Arial"/>
          <w:sz w:val="18"/>
          <w:szCs w:val="18"/>
          <w:color w:val="auto"/>
        </w:rPr>
      </w:pPr>
    </w:p>
    <w:p>
      <w:pPr>
        <w:jc w:val="both"/>
        <w:ind w:firstLine="1305"/>
        <w:spacing w:after="0" w:line="320" w:lineRule="auto"/>
        <w:tabs>
          <w:tab w:leader="none" w:pos="21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at its registered office in the State of Delaware or at its principal place of business. If no record date has been fixed by the Board of Directors and prior action by the Board of Directors is required by this statute, the record date for determining stockholders entitled to consent to corporate action in writing without a meeting shall be at the close of business on the day on which the Board of Directors adopts the resolution taking such prior action.</w:t>
      </w:r>
    </w:p>
    <w:p>
      <w:pPr>
        <w:spacing w:after="0" w:line="179" w:lineRule="exact"/>
        <w:rPr>
          <w:rFonts w:ascii="Arial" w:cs="Arial" w:eastAsia="Arial" w:hAnsi="Arial"/>
          <w:sz w:val="17"/>
          <w:szCs w:val="17"/>
          <w:color w:val="auto"/>
        </w:rPr>
      </w:pPr>
    </w:p>
    <w:p>
      <w:pPr>
        <w:jc w:val="both"/>
        <w:ind w:firstLine="1305"/>
        <w:spacing w:after="0" w:line="349" w:lineRule="auto"/>
        <w:tabs>
          <w:tab w:leader="none" w:pos="214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record date is fixed, the record date for determining stockholders for any such purpose shall be at the close of business on the day on which the Board of Directors adopts the resolution relating to such purpose.</w:t>
      </w:r>
    </w:p>
    <w:p>
      <w:pPr>
        <w:spacing w:after="0" w:line="161" w:lineRule="exact"/>
        <w:rPr>
          <w:rFonts w:ascii="Arial" w:cs="Arial" w:eastAsia="Arial" w:hAnsi="Arial"/>
          <w:sz w:val="16"/>
          <w:szCs w:val="16"/>
          <w:color w:val="auto"/>
        </w:rPr>
      </w:pPr>
    </w:p>
    <w:p>
      <w:pPr>
        <w:jc w:val="both"/>
        <w:ind w:firstLine="1305"/>
        <w:spacing w:after="0" w:line="306" w:lineRule="auto"/>
        <w:tabs>
          <w:tab w:leader="none" w:pos="21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those who shall be stockholders of record on the record date fixed in accordance with this section shall be entitled to notice of, and to vote at, such meeting and any adjournment of such meeting, or to consent to such corporate action in writing, or to receive payment of such dividend or other distribution, or to receive such allotment of rights, or to exercise such rights, as the case may be, notwithstanding the transfer of any stock on the books of the Corporation after the applicable record date.</w:t>
      </w:r>
    </w:p>
    <w:p>
      <w:pPr>
        <w:spacing w:after="0" w:line="18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 who has charge of the stock ledger of the Corporation shall prepare</w:t>
      </w:r>
      <w:r>
        <w:rPr>
          <w:rFonts w:ascii="Arial" w:cs="Arial" w:eastAsia="Arial" w:hAnsi="Arial"/>
          <w:sz w:val="17"/>
          <w:szCs w:val="17"/>
          <w:b w:val="1"/>
          <w:bCs w:val="1"/>
          <w:color w:val="auto"/>
        </w:rPr>
        <w:t xml:space="preserve"> </w:t>
      </w:r>
      <w:r>
        <w:rPr>
          <w:rFonts w:ascii="Arial" w:cs="Arial" w:eastAsia="Arial" w:hAnsi="Arial"/>
          <w:sz w:val="17"/>
          <w:szCs w:val="17"/>
          <w:color w:val="auto"/>
        </w:rPr>
        <w:t>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of the stockholders, the corporate books, or to vote at any meeting of the stockholders.</w:t>
      </w:r>
    </w:p>
    <w:p>
      <w:pPr>
        <w:spacing w:after="0" w:line="17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 xml:space="preserve">Section 2.8 </w:t>
      </w:r>
      <w:r>
        <w:rPr>
          <w:rFonts w:ascii="Arial" w:cs="Arial" w:eastAsia="Arial" w:hAnsi="Arial"/>
          <w:sz w:val="17"/>
          <w:szCs w:val="17"/>
          <w:b w:val="1"/>
          <w:bCs w:val="1"/>
          <w:u w:val="single" w:color="auto"/>
          <w:color w:val="auto"/>
        </w:rPr>
        <w:t>Quorum and Manner of Acting</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by the Certificate of Incorporation of the Corporation, as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amended or restated from time to time, or these By-laws, the holders of a majority of the outstanding shares of the Corporation entitled to vote on a matter present in person or represented by proxy shall constitute a quorum for consideration of such matter at any meeting of stockholders; provided, that if holders of less than a majority of the outstanding shares entitled to vote on a matter are present in person or represented by proxy at said meeting, the holders of a majority of the shares so present in person or represented by proxy may adjourn the meeting from time to time without further notice other than announcement at the meeting at which the adjournment is taken of the time and place of the adjourned meeting. At the adjourned meeting the Corporation may transact any business which might properly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If a quorum is present,</w:t>
      </w:r>
    </w:p>
    <w:p>
      <w:pPr>
        <w:sectPr>
          <w:pgSz w:w="11900" w:h="16838" w:orient="portrait"/>
          <w:cols w:equalWidth="0" w:num="1">
            <w:col w:w="11420"/>
          </w:cols>
          <w:pgMar w:left="240" w:top="607" w:right="239" w:bottom="1440" w:gutter="0" w:footer="0" w:header="0"/>
        </w:sectPr>
      </w:pPr>
    </w:p>
    <w:p>
      <w:pPr>
        <w:spacing w:after="0" w:line="176" w:lineRule="exact"/>
        <w:rPr>
          <w:sz w:val="20"/>
          <w:szCs w:val="20"/>
          <w:color w:val="auto"/>
        </w:rPr>
      </w:pPr>
    </w:p>
    <w:p>
      <w:pPr>
        <w:ind w:left="11340"/>
        <w:spacing w:after="0"/>
        <w:rPr>
          <w:sz w:val="20"/>
          <w:szCs w:val="20"/>
          <w:color w:val="auto"/>
        </w:rPr>
      </w:pPr>
      <w:r>
        <w:rPr>
          <w:rFonts w:ascii="Arial" w:cs="Arial" w:eastAsia="Arial" w:hAnsi="Arial"/>
          <w:sz w:val="14"/>
          <w:szCs w:val="14"/>
          <w:color w:val="FFFFFF"/>
        </w:rPr>
        <w:t>3</w:t>
      </w:r>
    </w:p>
    <w:p>
      <w:pPr>
        <w:sectPr>
          <w:pgSz w:w="11900" w:h="16838" w:orient="portrait"/>
          <w:cols w:equalWidth="0" w:num="1">
            <w:col w:w="11420"/>
          </w:cols>
          <w:pgMar w:left="240" w:top="607" w:right="239" w:bottom="1440" w:gutter="0" w:footer="0" w:header="0"/>
          <w:type w:val="continuous"/>
        </w:sectPr>
      </w:pPr>
    </w:p>
    <w:bookmarkStart w:id="37" w:name="page38"/>
    <w:bookmarkEnd w:id="37"/>
    <w:p>
      <w:pPr>
        <w:jc w:val="both"/>
        <w:spacing w:after="0" w:line="311" w:lineRule="auto"/>
        <w:rPr>
          <w:sz w:val="20"/>
          <w:szCs w:val="20"/>
          <w:color w:val="auto"/>
        </w:rPr>
      </w:pPr>
      <w:r>
        <w:rPr>
          <w:rFonts w:ascii="Arial" w:cs="Arial" w:eastAsia="Arial" w:hAnsi="Arial"/>
          <w:sz w:val="18"/>
          <w:szCs w:val="18"/>
          <w:color w:val="auto"/>
        </w:rPr>
        <w:t>the affirmative vote by the holders of the majority of the shares present in person or represented by proxy at the meeting and entitled to vote shall be the act of the stockholders, unless the vote of a greater number or voting by classes is required by the General Corporation Law of the State of Delaware, the Certificate of Incorporation of the Corporation, as may be amended or restated from time to time, or these By-laws.</w:t>
      </w:r>
    </w:p>
    <w:p>
      <w:pPr>
        <w:spacing w:after="0" w:line="177"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b w:val="1"/>
          <w:bCs w:val="1"/>
          <w:u w:val="single" w:color="auto"/>
          <w:color w:val="auto"/>
        </w:rPr>
        <w:t>Voting Shares and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shall be entitled to one vote for each share of capital stock held by such</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except as otherwise provided in the Certificate of Incorporation of the Corporation, as may be amended or restated from time to time. Each stockholder entitled to vote at a meeting of the stockholders or to express consent to corporate action in writing without a meeting may authorize another person or persons to act for him or her by proxy, but no proxy shall be valid after three (3) years from its date unless otherwise provided in the proxy. Such proxy shall be in writing and shall be filed with the Secretary of the Corporation before or at the time of the meeting or the giving of such written consent, as the case may be. Execution of a writing authorizing another person or persons to act as proxy may be accomplished by the stockholder (or his or her authorized officer, director, employee or agent) signing such writing or causing his or her signature to be affixed to such writing by any reasonable means, including by facsimile signature. A stockholder may authorize another person or persons to act for him or her as proxy by transmitting or authorizing the transmission of a telegram, cablegram, or other means of electronic transmission to the person who will be the holder of the proxy; provided that any such telegram, cablegram or other means of electronic transmission must either set forth or be submitted with information from which it can be determined that the telegram, cablegram or other electronic transmission was authorized by the stockholder.</w:t>
      </w:r>
    </w:p>
    <w:p>
      <w:pPr>
        <w:spacing w:after="0" w:line="18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Inspectors</w:t>
      </w:r>
      <w:r>
        <w:rPr>
          <w:rFonts w:ascii="Arial" w:cs="Arial" w:eastAsia="Arial" w:hAnsi="Arial"/>
          <w:sz w:val="16"/>
          <w:szCs w:val="16"/>
          <w:b w:val="1"/>
          <w:bCs w:val="1"/>
          <w:color w:val="auto"/>
        </w:rPr>
        <w:t xml:space="preserve">. </w:t>
      </w:r>
      <w:r>
        <w:rPr>
          <w:rFonts w:ascii="Arial" w:cs="Arial" w:eastAsia="Arial" w:hAnsi="Arial"/>
          <w:sz w:val="16"/>
          <w:szCs w:val="16"/>
          <w:color w:val="auto"/>
        </w:rPr>
        <w:t>At any meeting of stockholders, the chairman of the meeting may, or upon the request of any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appoint one or more persons as inspectors for such meeting. Such inspectors shall ascertain and report the number of shares represented at the meeting, based upon the list of stockholders produced at the meeting in accordance with Section 2.7 hereof and upon their determination of the validity and effect of proxies, and they shall count all votes, report the results and do such other acts as are proper to conduct the election and voting with impartiality and fairness to all the stockholders. Each such report shall be in writing and signed by at least a majority of the inspectors, the report of a majority being the report of the inspectors, and such reports shall be prima facie evidence of the number of shares represented at the meeting and the result of a vote of the stockholders.</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Voting of Shares by Certain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its own stock belonging the Corporation, unless held by it in a</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capacity, shall not be voted, directly or indirectly, at any meeting, and shall not be counted in determining the total number of outstanding shares at any given time. Shares standing in the name of another corporation, domestic or foreign, may be voted by such officer, agent or proxy as the by-laws of such corporation may prescribe, or, in the absence of such provision, as the board of directors of such corporation may determine. Persons holding stock in a fiduciary capacity shall be entitled to vote the shares so held. Persons whose stock is pledged shall be entitled to vote, unless in the transfer by the pledgor on the books of the Corporation he or she expressly empowered the pledgee to vote thereon, in which case only the pledgee, or pledgee's proxy, may represent such stock and vote thereon.</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Voting by Ballot</w:t>
      </w:r>
      <w:r>
        <w:rPr>
          <w:rFonts w:ascii="Arial" w:cs="Arial" w:eastAsia="Arial" w:hAnsi="Arial"/>
          <w:sz w:val="18"/>
          <w:szCs w:val="18"/>
          <w:b w:val="1"/>
          <w:bCs w:val="1"/>
          <w:color w:val="auto"/>
        </w:rPr>
        <w:t xml:space="preserve">. </w:t>
      </w:r>
      <w:r>
        <w:rPr>
          <w:rFonts w:ascii="Arial" w:cs="Arial" w:eastAsia="Arial" w:hAnsi="Arial"/>
          <w:sz w:val="18"/>
          <w:szCs w:val="18"/>
          <w:color w:val="auto"/>
        </w:rPr>
        <w:t>Any question or any election at a meeting of the stockholders may be decided by voice vote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meeting shall order that voting be by ballot or unless otherwise provided in the Certificate of Incorporation of the Corporation, as may be amended or restated from time to time, or required by the General Corporation Law of the State of Delaware.</w:t>
      </w:r>
    </w:p>
    <w:p>
      <w:pPr>
        <w:spacing w:after="0" w:line="17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u w:val="single" w:color="auto"/>
          <w:color w:val="auto"/>
        </w:rPr>
        <w:t>Informal Action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corporate action upon which a vote of stockholders is required or permitted may be taken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on such action were present and voted and shall be delivered to the Corporation at the office of its registered agent within the State of Delaware, at its principal place of business, or at such other place as determined by the Board of Directors. Every written consent shall bear the date of signature of each stockholder who signs the consent and no written consent shall be effective to take the corporate action referred to in the consent unless, within sixty (60) days of the earliest dated consent delivered to the Corporation, written consents signed by a sufficient number of holders to take action are delivered to the Corporation at the office of its registered agent within the State of Delaware, at its principal place of business, or at such other place as determined by the Board of Directors. Prompt notice of the taking of the corporate action without a meeting by less than unanimous written consent shall be given to those stockholders who have not so consented in writing.</w:t>
      </w:r>
    </w:p>
    <w:p>
      <w:pPr>
        <w:spacing w:after="0" w:line="180" w:lineRule="exact"/>
        <w:rPr>
          <w:sz w:val="20"/>
          <w:szCs w:val="20"/>
          <w:color w:val="auto"/>
        </w:rPr>
      </w:pPr>
    </w:p>
    <w:p>
      <w:pPr>
        <w:ind w:left="11340"/>
        <w:spacing w:after="0"/>
        <w:rPr>
          <w:sz w:val="20"/>
          <w:szCs w:val="20"/>
          <w:color w:val="auto"/>
        </w:rPr>
      </w:pPr>
      <w:r>
        <w:rPr>
          <w:rFonts w:ascii="Arial" w:cs="Arial" w:eastAsia="Arial" w:hAnsi="Arial"/>
          <w:sz w:val="14"/>
          <w:szCs w:val="14"/>
          <w:color w:val="FFFFFF"/>
        </w:rPr>
        <w:t>4</w:t>
      </w:r>
    </w:p>
    <w:p>
      <w:pPr>
        <w:sectPr>
          <w:pgSz w:w="11900" w:h="16838" w:orient="portrait"/>
          <w:cols w:equalWidth="0" w:num="1">
            <w:col w:w="11420"/>
          </w:cols>
          <w:pgMar w:left="240" w:top="61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52"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General Powers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business and affairs of the Corporation shall be managed by its Board of Directors, except as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may be otherwise provided by statute, the Certificate of Incorporation of the Corporation, as may be amended or restated from time to time, or these By-laws.</w:t>
      </w:r>
    </w:p>
    <w:p>
      <w:pPr>
        <w:spacing w:after="0" w:line="2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Number, Tenure and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directors which shall constitute the whole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such number as is determined from time to time by resolution of the Board of Directors, except as otherwise provided for in the Certificate of Incorporation of the Corporation, as may be amended or restated from time to time. Each Director elected shall hold office until his successor is elected and qualified or until his earlier resignation or removal. Directors need not be stockholders of the Corporation or residents of Delaware.</w:t>
      </w:r>
    </w:p>
    <w:p>
      <w:pPr>
        <w:spacing w:after="0" w:line="180"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Regular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A regular meeting of the Board of Directors shall be held, without other notice than this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3.3, immediately after and at the same place as the annual meeting of stockholders. In the event such meeting is not held at such time and place, the meeting may be held at such time and place as shall be specified in a notice given as provided below with respect to special meetings of the Board of Directors or as shall be specified in a written waiver signed by all of the directors. The Board of Directors may provide, by resolution, the time and place, either within or without Delaware, for the holding of additional regular meetings without other notice than such resolution.</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Board of Directors may be called at any time by the Chairman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or any three (3) directors. The person or persons who call a special meeting of the Board of Directors may, within the notice such meeting designate time and place, either within or without Delaware, as the time and place for holding such special meeting. In the absence of such a designation, the place of meeting shall be the Corporation's principal place of business.</w:t>
      </w:r>
    </w:p>
    <w:p>
      <w:pPr>
        <w:spacing w:after="0" w:line="18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Notice of 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stating the place, date and hour of a special meeting shall be mailed not less than</w:t>
      </w:r>
      <w:r>
        <w:rPr>
          <w:rFonts w:ascii="Arial" w:cs="Arial" w:eastAsia="Arial" w:hAnsi="Arial"/>
          <w:sz w:val="17"/>
          <w:szCs w:val="17"/>
          <w:b w:val="1"/>
          <w:bCs w:val="1"/>
          <w:color w:val="auto"/>
        </w:rPr>
        <w:t xml:space="preserve"> </w:t>
      </w:r>
      <w:r>
        <w:rPr>
          <w:rFonts w:ascii="Arial" w:cs="Arial" w:eastAsia="Arial" w:hAnsi="Arial"/>
          <w:sz w:val="17"/>
          <w:szCs w:val="17"/>
          <w:color w:val="auto"/>
        </w:rPr>
        <w:t>five (5) days before the date of the meeting, or shall be sent by telegram or be delivered personally or by telephone not less than two (2) days before the date of the meeting, to each director, at such director's business address or such other address as such director may have advised the Secretary of the Corporation to use for such purpose by or at the direction of the person or persons calling the meeting. If delivered, such notice shall be deemed to be given when delivered to such address or to the person to be notified. If mailed, such notice shall be deemed to be given three (3) days after deposit in the United States mail so addressed, postage prepaid. If given by telegraph, such notice shall be deemed to be given the next business day following the day the telegram is given to the telegraph company. Such notice may also be given by telephone or other means not specified in these bylaws, and in each such case shall be deemed to be given when actually received by the director to be notified. Notice of any meeting of the Board of Directors shall set forth the time and place of the meeting. Neither the business to be transacted at nor the purpose of any meeting, regular or special, of the Board of Directors need be specified in the notice or waiver of notice of such meeting.</w:t>
      </w:r>
    </w:p>
    <w:p>
      <w:pPr>
        <w:spacing w:after="0" w:line="176"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A written waiver of notice, signed by a director entitled to notice of a meeting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of a committee of such board of which the director is a member, whether before or after the time of the meeting shall be deemed equivalent to the giving of such notice to that director. Attendance of a director at a meeting of the Board of Directors or of a committee of such board of which the director is a member shall constitute a waiver of notice of such meeting except when the director attends the meeting for the express purpose of objecting, at the beginning of the meeting, to the transaction of any business because the meeting is not lawfully called or convened.</w:t>
      </w:r>
    </w:p>
    <w:p>
      <w:pPr>
        <w:spacing w:after="0" w:line="171"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u w:val="single" w:color="auto"/>
          <w:color w:val="auto"/>
        </w:rPr>
        <w:t>Quorum and Manner of Acting</w:t>
      </w:r>
      <w:r>
        <w:rPr>
          <w:rFonts w:ascii="Arial" w:cs="Arial" w:eastAsia="Arial" w:hAnsi="Arial"/>
          <w:sz w:val="17"/>
          <w:szCs w:val="17"/>
          <w:b w:val="1"/>
          <w:bCs w:val="1"/>
          <w:color w:val="auto"/>
        </w:rPr>
        <w:t xml:space="preserve">. </w:t>
      </w:r>
      <w:r>
        <w:rPr>
          <w:rFonts w:ascii="Arial" w:cs="Arial" w:eastAsia="Arial" w:hAnsi="Arial"/>
          <w:sz w:val="17"/>
          <w:szCs w:val="17"/>
          <w:color w:val="auto"/>
        </w:rPr>
        <w:t>A majority of the number of directors as fixed in Section 3.2 hereof shall constitute a</w:t>
      </w:r>
      <w:r>
        <w:rPr>
          <w:rFonts w:ascii="Arial" w:cs="Arial" w:eastAsia="Arial" w:hAnsi="Arial"/>
          <w:sz w:val="17"/>
          <w:szCs w:val="17"/>
          <w:b w:val="1"/>
          <w:bCs w:val="1"/>
          <w:color w:val="auto"/>
        </w:rPr>
        <w:t xml:space="preserve"> </w:t>
      </w:r>
      <w:r>
        <w:rPr>
          <w:rFonts w:ascii="Arial" w:cs="Arial" w:eastAsia="Arial" w:hAnsi="Arial"/>
          <w:sz w:val="17"/>
          <w:szCs w:val="17"/>
          <w:color w:val="auto"/>
        </w:rPr>
        <w:t>quorum for the transaction of business at any meeting of the Board of Directors; provided, that if less than a majority of such number of directors are present at said meeting, a majority of the directors present may adjourn the meeting from time to time without further notice. The act of the majority of the directors present at a meeting at which a quorum is present shall be the act of the Board of Directors, unless otherwise provided in the General Corporation Law of the State of Delaware, the Certificate of Incorporation of the Corporation, as may be amended or restated from time to time, or these By-laws.</w:t>
      </w:r>
    </w:p>
    <w:p>
      <w:pPr>
        <w:spacing w:after="0" w:line="17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Presumption of Assent</w:t>
      </w:r>
      <w:r>
        <w:rPr>
          <w:rFonts w:ascii="Arial" w:cs="Arial" w:eastAsia="Arial" w:hAnsi="Arial"/>
          <w:sz w:val="18"/>
          <w:szCs w:val="18"/>
          <w:b w:val="1"/>
          <w:bCs w:val="1"/>
          <w:color w:val="auto"/>
        </w:rPr>
        <w:t xml:space="preserve">. </w:t>
      </w:r>
      <w:r>
        <w:rPr>
          <w:rFonts w:ascii="Arial" w:cs="Arial" w:eastAsia="Arial" w:hAnsi="Arial"/>
          <w:sz w:val="18"/>
          <w:szCs w:val="18"/>
          <w:color w:val="auto"/>
        </w:rPr>
        <w:t>A director of the Corporation who is present at a duly convened meeting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committee of such board at which action on any corporate matter is taken shall be conclusively presumed to have assented to the action taken unless such Director's dissent shall be entered in the minutes of the meeting or</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5</w:t>
      </w:r>
    </w:p>
    <w:p>
      <w:pPr>
        <w:sectPr>
          <w:pgSz w:w="11900" w:h="16838" w:orient="portrait"/>
          <w:cols w:equalWidth="0" w:num="1">
            <w:col w:w="11420"/>
          </w:cols>
          <w:pgMar w:left="240" w:top="796" w:right="239" w:bottom="1440" w:gutter="0" w:footer="0" w:header="0"/>
        </w:sectPr>
      </w:pPr>
    </w:p>
    <w:bookmarkStart w:id="39" w:name="page40"/>
    <w:bookmarkEnd w:id="39"/>
    <w:p>
      <w:pPr>
        <w:jc w:val="both"/>
        <w:spacing w:after="0" w:line="324" w:lineRule="auto"/>
        <w:rPr>
          <w:sz w:val="20"/>
          <w:szCs w:val="20"/>
          <w:color w:val="auto"/>
        </w:rPr>
      </w:pPr>
      <w:r>
        <w:rPr>
          <w:rFonts w:ascii="Arial" w:cs="Arial" w:eastAsia="Arial" w:hAnsi="Arial"/>
          <w:sz w:val="18"/>
          <w:szCs w:val="18"/>
          <w:color w:val="auto"/>
        </w:rPr>
        <w:t>unless such Director shall file a written dissent to such action with the person acting as the secretary of the meeting before adjournment of the meeting. Such right to dissent shall not apply to a director who voted in favor of such action.</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Informal Action by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which is required by law or by these By-laws to be taken at a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or any other action which may be taken at a meeting of the Board of Directors or any committee thereof, may be taken without a meeting if a consent in writing, setting forth the action to be taken, shall be signed by all of the directors entitled to vote with respect to the subject matter thereof, or by all the members of such committee, as the case may be. Such consent shall have the sane force and effect as a unanimous vote of all of the directors or all of the members of such committee, as the case may be, at a duly called meeting thereof, and shall be filed with the minutes of proceedings of the Board or committee.</w:t>
      </w:r>
    </w:p>
    <w:p>
      <w:pPr>
        <w:spacing w:after="0" w:line="188"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Telephonic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restricted by the Certificate of Incorporation of the Corporation,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or restated from time to time; or these By-laws, members of the Board of Directors or of any committee designated by such Board, may participate in a meeting of such Board or committee by means of conference telephone or similar communications equipment by means of which all persons participating in the meeting can hear each other, and such participation in a meeting shall constitute presence at such a meeting.</w:t>
      </w:r>
    </w:p>
    <w:p>
      <w:pPr>
        <w:spacing w:after="0" w:line="16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Resignations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director may resign at any time by giving written notice to the Board of Directors, the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the President, or the Secretary. Such resignation shall take effect at the time specified therein; and, unless tendered to take effect upon acceptance thereof, the acceptance of such resignation shall not be necessary to make it effective.</w:t>
      </w:r>
    </w:p>
    <w:p>
      <w:pPr>
        <w:spacing w:after="0" w:line="176"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5"/>
          <w:szCs w:val="15"/>
          <w:b w:val="1"/>
          <w:bCs w:val="1"/>
          <w:u w:val="single" w:color="auto"/>
          <w:color w:val="auto"/>
        </w:rPr>
        <w:t>Vacancies</w:t>
      </w:r>
      <w:r>
        <w:rPr>
          <w:rFonts w:ascii="Arial" w:cs="Arial" w:eastAsia="Arial" w:hAnsi="Arial"/>
          <w:sz w:val="15"/>
          <w:szCs w:val="15"/>
          <w:b w:val="1"/>
          <w:bCs w:val="1"/>
          <w:color w:val="auto"/>
        </w:rPr>
        <w:t>.</w:t>
      </w:r>
    </w:p>
    <w:p>
      <w:pPr>
        <w:spacing w:after="0" w:line="270" w:lineRule="exact"/>
        <w:rPr>
          <w:sz w:val="20"/>
          <w:szCs w:val="20"/>
          <w:color w:val="auto"/>
        </w:rPr>
      </w:pPr>
    </w:p>
    <w:p>
      <w:pPr>
        <w:jc w:val="both"/>
        <w:ind w:firstLine="1305"/>
        <w:spacing w:after="0" w:line="329" w:lineRule="auto"/>
        <w:tabs>
          <w:tab w:leader="none" w:pos="21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Unless otherwise provided by the Certificate of Incorporation of the Corporation, as may be amended or restated from time to time, vacancies and newly created directorships resulting from any increase in the authorized number of directors elected by all of the stockholders having the right to vote as a single class shall be filled by a majority of the directors then in office, although less than a quorum, or by the sole remaining director, and the directors so chosen shall hold office until their successors are elected and qualified or until their earlier resignation or removal.</w:t>
      </w:r>
    </w:p>
    <w:p>
      <w:pPr>
        <w:spacing w:after="0" w:line="170" w:lineRule="exact"/>
        <w:rPr>
          <w:rFonts w:ascii="Arial" w:cs="Arial" w:eastAsia="Arial" w:hAnsi="Arial"/>
          <w:sz w:val="17"/>
          <w:szCs w:val="17"/>
          <w:color w:val="auto"/>
        </w:rPr>
      </w:pPr>
    </w:p>
    <w:p>
      <w:pPr>
        <w:jc w:val="both"/>
        <w:ind w:firstLine="1305"/>
        <w:spacing w:after="0" w:line="325" w:lineRule="auto"/>
        <w:tabs>
          <w:tab w:leader="none" w:pos="21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of the Corporation, as may be amended or restated from time to time, vacancies and newly creaked directorships of such class or classes or series may be filled by a majority of the directors elected by such class or classes or series thereof then in office, or by the sole remaining director so elected, and the directors so chosen shall hold office until the next election of the class or series for which such directors shall have been chosen, and until their successors shall be elected and qualified or until their earlier resignation or removal.</w:t>
      </w:r>
    </w:p>
    <w:p>
      <w:pPr>
        <w:spacing w:after="0" w:line="172" w:lineRule="exact"/>
        <w:rPr>
          <w:sz w:val="20"/>
          <w:szCs w:val="20"/>
          <w:color w:val="auto"/>
        </w:rPr>
      </w:pPr>
    </w:p>
    <w:p>
      <w:pPr>
        <w:ind w:firstLine="648"/>
        <w:spacing w:after="0" w:line="329"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director or the entire Board of Directors may be removed, with or without cause, by the holders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shares then entitled to vote at an election of directors, provided, however, that:</w:t>
      </w:r>
    </w:p>
    <w:p>
      <w:pPr>
        <w:spacing w:after="0" w:line="166" w:lineRule="exact"/>
        <w:rPr>
          <w:sz w:val="20"/>
          <w:szCs w:val="20"/>
          <w:color w:val="auto"/>
        </w:rPr>
      </w:pPr>
    </w:p>
    <w:p>
      <w:pPr>
        <w:ind w:firstLine="1305"/>
        <w:spacing w:after="0" w:line="324" w:lineRule="auto"/>
        <w:tabs>
          <w:tab w:leader="none" w:pos="21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Board is classified and unless otherwise provided in the Certificate of Incorporation of the Corporation, as may be amended or restated from time to time, the stockholders may affect such removal only for cause; or</w:t>
      </w:r>
    </w:p>
    <w:p>
      <w:pPr>
        <w:spacing w:after="0" w:line="170" w:lineRule="exact"/>
        <w:rPr>
          <w:rFonts w:ascii="Arial" w:cs="Arial" w:eastAsia="Arial" w:hAnsi="Arial"/>
          <w:sz w:val="18"/>
          <w:szCs w:val="18"/>
          <w:color w:val="auto"/>
        </w:rPr>
      </w:pPr>
    </w:p>
    <w:p>
      <w:pPr>
        <w:jc w:val="both"/>
        <w:ind w:firstLine="1305"/>
        <w:spacing w:after="0" w:line="311" w:lineRule="auto"/>
        <w:tabs>
          <w:tab w:leader="none" w:pos="21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Corporation has cumulative voting, and less than the entire Board of Directors is to be removed, no director may be removed without cause if the votes cast against his removal would be sufficient to elect him if then cumulatively voted at an election of the entire Board of Directors, or, if there be classes of directors, at an election of the class of directors of which he is a part.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Whenever the holders of any class or series are entitled to elect one or more directors by the provisions of the Certificate of Incorporation of the Corporation, as may be amended or restated from time to time, the provisions of this Section 3.13 shall apply, in respect to the removal without cause of a director or directors so elected, to the vote of the holders of the outstanding shares of that class or series and not to the vote of the outstanding shares as a whole.</w:t>
      </w:r>
    </w:p>
    <w:p>
      <w:pPr>
        <w:spacing w:after="0" w:line="210"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6"/>
          <w:szCs w:val="16"/>
          <w:b w:val="1"/>
          <w:bCs w:val="1"/>
          <w:u w:val="single" w:color="auto"/>
          <w:color w:val="auto"/>
        </w:rPr>
        <w:t>Interested Directors</w:t>
      </w:r>
      <w:r>
        <w:rPr>
          <w:rFonts w:ascii="Arial" w:cs="Arial" w:eastAsia="Arial" w:hAnsi="Arial"/>
          <w:sz w:val="16"/>
          <w:szCs w:val="16"/>
          <w:b w:val="1"/>
          <w:bCs w:val="1"/>
          <w:color w:val="auto"/>
        </w:rPr>
        <w:t>.</w:t>
      </w:r>
    </w:p>
    <w:p>
      <w:pPr>
        <w:spacing w:after="0" w:line="270" w:lineRule="exact"/>
        <w:rPr>
          <w:sz w:val="20"/>
          <w:szCs w:val="20"/>
          <w:color w:val="auto"/>
        </w:rPr>
      </w:pPr>
    </w:p>
    <w:p>
      <w:pPr>
        <w:jc w:val="both"/>
        <w:ind w:firstLine="1305"/>
        <w:spacing w:after="0" w:line="354" w:lineRule="auto"/>
        <w:tabs>
          <w:tab w:leader="none" w:pos="21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ectPr>
          <w:pgSz w:w="11900" w:h="16838" w:orient="portrait"/>
          <w:cols w:equalWidth="0" w:num="1">
            <w:col w:w="11420"/>
          </w:cols>
          <w:pgMar w:left="240" w:top="611" w:right="239" w:bottom="1440" w:gutter="0" w:footer="0" w:header="0"/>
        </w:sectPr>
      </w:pPr>
    </w:p>
    <w:p>
      <w:pPr>
        <w:spacing w:after="0" w:line="157" w:lineRule="exact"/>
        <w:rPr>
          <w:sz w:val="20"/>
          <w:szCs w:val="20"/>
          <w:color w:val="auto"/>
        </w:rPr>
      </w:pPr>
    </w:p>
    <w:p>
      <w:pPr>
        <w:ind w:left="11340"/>
        <w:spacing w:after="0"/>
        <w:rPr>
          <w:sz w:val="20"/>
          <w:szCs w:val="20"/>
          <w:color w:val="auto"/>
        </w:rPr>
      </w:pPr>
      <w:r>
        <w:rPr>
          <w:rFonts w:ascii="Arial" w:cs="Arial" w:eastAsia="Arial" w:hAnsi="Arial"/>
          <w:sz w:val="14"/>
          <w:szCs w:val="14"/>
          <w:color w:val="FFFFFF"/>
        </w:rPr>
        <w:t>6</w:t>
      </w:r>
    </w:p>
    <w:p>
      <w:pPr>
        <w:sectPr>
          <w:pgSz w:w="11900" w:h="16838" w:orient="portrait"/>
          <w:cols w:equalWidth="0" w:num="1">
            <w:col w:w="11420"/>
          </w:cols>
          <w:pgMar w:left="240" w:top="611" w:right="239" w:bottom="1440" w:gutter="0" w:footer="0" w:header="0"/>
          <w:type w:val="continuous"/>
        </w:sectPr>
      </w:pPr>
    </w:p>
    <w:bookmarkStart w:id="40" w:name="page41"/>
    <w:bookmarkEnd w:id="40"/>
    <w:p>
      <w:pPr>
        <w:jc w:val="both"/>
        <w:ind w:left="660" w:firstLine="1293"/>
        <w:spacing w:after="0" w:line="311" w:lineRule="auto"/>
        <w:tabs>
          <w:tab w:leader="none" w:pos="28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81" w:lineRule="exact"/>
        <w:rPr>
          <w:rFonts w:ascii="Arial" w:cs="Arial" w:eastAsia="Arial" w:hAnsi="Arial"/>
          <w:sz w:val="18"/>
          <w:szCs w:val="18"/>
          <w:color w:val="auto"/>
        </w:rPr>
      </w:pPr>
    </w:p>
    <w:p>
      <w:pPr>
        <w:ind w:left="660" w:firstLine="1293"/>
        <w:spacing w:after="0" w:line="357" w:lineRule="auto"/>
        <w:tabs>
          <w:tab w:leader="none" w:pos="2815"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47" w:lineRule="exact"/>
        <w:rPr>
          <w:rFonts w:ascii="Arial" w:cs="Arial" w:eastAsia="Arial" w:hAnsi="Arial"/>
          <w:sz w:val="17"/>
          <w:szCs w:val="17"/>
          <w:color w:val="auto"/>
        </w:rPr>
      </w:pPr>
    </w:p>
    <w:p>
      <w:pPr>
        <w:ind w:left="660" w:firstLine="1293"/>
        <w:spacing w:after="0" w:line="324" w:lineRule="auto"/>
        <w:tabs>
          <w:tab w:leader="none" w:pos="28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170"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Interested directors may be counted in determining the presence of a quorum at a meeting of the Board of Directors or of a committee which authorizes the contract or transaction.</w:t>
      </w:r>
    </w:p>
    <w:p>
      <w:pPr>
        <w:spacing w:after="0" w:line="166" w:lineRule="exact"/>
        <w:rPr>
          <w:sz w:val="20"/>
          <w:szCs w:val="20"/>
          <w:color w:val="auto"/>
        </w:rPr>
      </w:pPr>
    </w:p>
    <w:p>
      <w:pPr>
        <w:jc w:val="both"/>
        <w:ind w:right="20" w:firstLine="648"/>
        <w:spacing w:after="0" w:line="338" w:lineRule="auto"/>
        <w:rPr>
          <w:sz w:val="20"/>
          <w:szCs w:val="20"/>
          <w:color w:val="auto"/>
        </w:rPr>
      </w:pPr>
      <w:r>
        <w:rPr>
          <w:rFonts w:ascii="Arial" w:cs="Arial" w:eastAsia="Arial" w:hAnsi="Arial"/>
          <w:sz w:val="17"/>
          <w:szCs w:val="17"/>
          <w:b w:val="1"/>
          <w:bCs w:val="1"/>
          <w:color w:val="auto"/>
        </w:rPr>
        <w:t xml:space="preserve">Section 3.15 </w:t>
      </w:r>
      <w:r>
        <w:rPr>
          <w:rFonts w:ascii="Arial" w:cs="Arial" w:eastAsia="Arial" w:hAnsi="Arial"/>
          <w:sz w:val="17"/>
          <w:szCs w:val="17"/>
          <w:b w:val="1"/>
          <w:bCs w:val="1"/>
          <w:u w:val="single" w:color="auto"/>
          <w:color w:val="auto"/>
        </w:rPr>
        <w:t>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may be paid their expenses, if any, of attendance at each meeting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at each meeting of a committee of the Board of Directors of which they are members. The Board of Directors, irrespective of any personal interest of any of its members, sha11 have authority to fix compensation of all directors for services to the Corporation as directors, officers or otherwise.</w:t>
      </w:r>
    </w:p>
    <w:p>
      <w:pPr>
        <w:spacing w:after="0" w:line="160"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3.16</w:t>
      </w:r>
      <w:r>
        <w:rPr>
          <w:sz w:val="20"/>
          <w:szCs w:val="20"/>
          <w:color w:val="auto"/>
        </w:rPr>
        <w:tab/>
      </w:r>
      <w:r>
        <w:rPr>
          <w:rFonts w:ascii="Arial" w:cs="Arial" w:eastAsia="Arial" w:hAnsi="Arial"/>
          <w:sz w:val="16"/>
          <w:szCs w:val="16"/>
          <w:b w:val="1"/>
          <w:bCs w:val="1"/>
          <w:u w:val="single" w:color="auto"/>
          <w:color w:val="auto"/>
        </w:rPr>
        <w:t>Rights of Holders of the Corporation’s Series A Convertible Preferred Stock</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So long as the Corporation’s Series</w:t>
      </w:r>
    </w:p>
    <w:p>
      <w:pPr>
        <w:spacing w:after="0" w:line="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A Convertible Preferred Stock remains outstanding, the holders of the Series A Convertible Preferred Stock shall be entitled to attend all meetings of the Board of Directors and any Executive Committee thereof as observers only and shall receive such advance notice of such meetings as the directors shall receive. This Section 3.16 may not be amended, altered, or repealed, except by the holders of a majority of the outstanding Series A Convertible Preferred Stock, if 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NOMINATION OF DIRECTOR CANDIDATES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Subject to the rights of' holders of any class or series of stock having a preference over the Common Stock as to dividends or upon liquidation, nominations for the election of directors may be made by the Board of Directors or a committee appointed by the Board of Directors or by any stockholder entitled to vote in the election of directors generally. However, any stockholder entitled to vote in the election of directors generally may nominate one or more persons for election as directors at a meeting only if written notice of such stockholder's intent to make such nomination or nominations has been given, either by personal delivery or by United States mail, postage prepaid, to the Secretary of the Corporation not later than (i) with respect to an election to be held at an annual meeting of stockholders, one hundred twenty {120) days in advance of the date of the proxy statement released to stockholders in connection with the previous year's annual meeting of stockholders, and (ii) with respect to an election to be held at a special meeting of stockholders for the election of directors, a reasonable time in advance of the meeting. For purposes of this Section, a "reasonable time in advance of the meeting" is at least fifteen (15) days before the date that the proxy statement in connection with such meeting is to be mailed to the stockholders. Each such notice shall set forth:</w:t>
      </w:r>
    </w:p>
    <w:p>
      <w:pPr>
        <w:spacing w:after="0" w:line="7" w:lineRule="exact"/>
        <w:rPr>
          <w:sz w:val="20"/>
          <w:szCs w:val="20"/>
          <w:color w:val="auto"/>
        </w:rPr>
      </w:pPr>
    </w:p>
    <w:p>
      <w:pPr>
        <w:jc w:val="both"/>
        <w:ind w:firstLine="8"/>
        <w:spacing w:after="0" w:line="268" w:lineRule="auto"/>
        <w:tabs>
          <w:tab w:leader="none" w:pos="25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name and address of the stockholder who intends to make the nomination and of the person and persons to be nominated; (b) a representation that the stockholder is a holder of record of stock of the Corporation entitled to vote at such meeting and intends to appear in person or at the meeting to nominate the by proxy person or persons specified in the notice; (c) a description of all arrangements or understandings between the stockholder and each nominee and any other person or persons (naming such person or persons) pursuant to which the nomination or nominations are to be made by the stockholder; (d)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(e) the consent of each nominee to serve as a director of the Corporation if so elected. The presiding officer at the meeting may refuse to acknowledge the nomination of any person not made in compliance with the foregoing procedure.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COMMITTEES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Appointment and Powers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may, by resolution passed by a majority of the whole Board,</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 one or more committees, each committee to consist of one or more of the directors of the Corporation which, to the extent provided in said resolution or in these By-laws, shall have and may exercise all the powers and authority of the Board of Directors in the management of the business and affairs of the Corporation, and may authorize the seal of the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7</w:t>
      </w:r>
    </w:p>
    <w:p>
      <w:pPr>
        <w:sectPr>
          <w:pgSz w:w="11900" w:h="16838" w:orient="portrait"/>
          <w:cols w:equalWidth="0" w:num="1">
            <w:col w:w="11420"/>
          </w:cols>
          <w:pgMar w:left="240" w:top="611" w:right="239" w:bottom="1440" w:gutter="0" w:footer="0" w:header="0"/>
        </w:sectPr>
      </w:pPr>
    </w:p>
    <w:bookmarkStart w:id="41" w:name="page42"/>
    <w:bookmarkEnd w:id="41"/>
    <w:p>
      <w:pPr>
        <w:jc w:val="both"/>
        <w:spacing w:after="0" w:line="319" w:lineRule="auto"/>
        <w:rPr>
          <w:sz w:val="20"/>
          <w:szCs w:val="20"/>
          <w:color w:val="auto"/>
        </w:rPr>
      </w:pPr>
      <w:r>
        <w:rPr>
          <w:rFonts w:ascii="Arial" w:cs="Arial" w:eastAsia="Arial" w:hAnsi="Arial"/>
          <w:sz w:val="17"/>
          <w:szCs w:val="17"/>
          <w:color w:val="auto"/>
        </w:rPr>
        <w:t>Corporation to be affixed to all papers which may require it; but no such committee shall have the power or authority in reference to amending the Certificate of Incorporation of the Corporation, as may be amended or restated from time to time (except that any such committee may, to the extent authorized in the resolution or resolutions providing for the issuance of such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thereof, or amending the By-laws; and, unless the resolution, By-laws, or Certificate of Incorporation of the Corporation, as may be amended or restated from time to time, expressly so provide, no such committee shall have the power or authority to declare a dividend, to authorize the issuance of stock, or to adopt a certificate of ownership and merger pursuant to Section 253 of the General Corporation Law of the State of Delaware.</w:t>
      </w:r>
    </w:p>
    <w:p>
      <w:pPr>
        <w:spacing w:after="0" w:line="177"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Absence or Disqualification of Committee Member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absence or disqualification of any member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the member or members thereof present at any meeting and not disqualified from voting, whether or not they constitute a quorum, may unanimously appoint another member of the Board of Directors to act at the meeting in the place of any such absent or disqualified member.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5.3</w:t>
            </w:r>
          </w:p>
        </w:tc>
        <w:tc>
          <w:tcPr>
            <w:tcW w:w="8620" w:type="dxa"/>
            <w:vAlign w:val="bottom"/>
            <w:gridSpan w:val="7"/>
          </w:tcPr>
          <w:p>
            <w:pPr>
              <w:jc w:val="right"/>
              <w:spacing w:after="0"/>
              <w:rPr>
                <w:sz w:val="20"/>
                <w:szCs w:val="20"/>
                <w:color w:val="auto"/>
              </w:rPr>
            </w:pPr>
            <w:r>
              <w:rPr>
                <w:rFonts w:ascii="Arial" w:cs="Arial" w:eastAsia="Arial" w:hAnsi="Arial"/>
                <w:sz w:val="18"/>
                <w:szCs w:val="18"/>
                <w:b w:val="1"/>
                <w:bCs w:val="1"/>
                <w:color w:val="auto"/>
                <w:w w:val="93"/>
              </w:rPr>
              <w:t xml:space="preserve">Record of Proceedings. </w:t>
            </w:r>
            <w:r>
              <w:rPr>
                <w:rFonts w:ascii="Arial" w:cs="Arial" w:eastAsia="Arial" w:hAnsi="Arial"/>
                <w:sz w:val="18"/>
                <w:szCs w:val="18"/>
                <w:color w:val="auto"/>
                <w:w w:val="93"/>
              </w:rPr>
              <w:t>The committees shall keep regular minutes of their proceedings and when required by the</w:t>
            </w:r>
          </w:p>
        </w:tc>
      </w:tr>
      <w:tr>
        <w:trPr>
          <w:trHeight w:val="20"/>
        </w:trPr>
        <w:tc>
          <w:tcPr>
            <w:tcW w:w="2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77"/>
        </w:trPr>
        <w:tc>
          <w:tcPr>
            <w:tcW w:w="11420" w:type="dxa"/>
            <w:vAlign w:val="bottom"/>
            <w:gridSpan w:val="8"/>
          </w:tcPr>
          <w:p>
            <w:pPr>
              <w:spacing w:after="0"/>
              <w:rPr>
                <w:sz w:val="20"/>
                <w:szCs w:val="20"/>
                <w:color w:val="auto"/>
              </w:rPr>
            </w:pPr>
            <w:r>
              <w:rPr>
                <w:rFonts w:ascii="Arial" w:cs="Arial" w:eastAsia="Arial" w:hAnsi="Arial"/>
                <w:sz w:val="18"/>
                <w:szCs w:val="18"/>
                <w:color w:val="auto"/>
              </w:rPr>
              <w:t>Board of Directors shall report the same to the Board of Directors.</w:t>
            </w:r>
          </w:p>
        </w:tc>
      </w:tr>
      <w:tr>
        <w:trPr>
          <w:trHeight w:val="405"/>
        </w:trPr>
        <w:tc>
          <w:tcPr>
            <w:tcW w:w="2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gridSpan w:val="4"/>
          </w:tcPr>
          <w:p>
            <w:pPr>
              <w:jc w:val="center"/>
              <w:ind w:right="5180"/>
              <w:spacing w:after="0"/>
              <w:rPr>
                <w:sz w:val="20"/>
                <w:szCs w:val="20"/>
                <w:color w:val="auto"/>
              </w:rPr>
            </w:pPr>
            <w:r>
              <w:rPr>
                <w:rFonts w:ascii="Arial" w:cs="Arial" w:eastAsia="Arial" w:hAnsi="Arial"/>
                <w:sz w:val="18"/>
                <w:szCs w:val="18"/>
                <w:b w:val="1"/>
                <w:bCs w:val="1"/>
                <w:color w:val="auto"/>
              </w:rPr>
              <w:t>ARTICLE VI</w:t>
            </w:r>
          </w:p>
        </w:tc>
      </w:tr>
      <w:tr>
        <w:trPr>
          <w:trHeight w:val="412"/>
        </w:trPr>
        <w:tc>
          <w:tcPr>
            <w:tcW w:w="2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OFFICERS</w:t>
            </w:r>
          </w:p>
        </w:tc>
        <w:tc>
          <w:tcPr>
            <w:tcW w:w="518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439"/>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6.1</w:t>
            </w:r>
          </w:p>
        </w:tc>
        <w:tc>
          <w:tcPr>
            <w:tcW w:w="8620" w:type="dxa"/>
            <w:vAlign w:val="bottom"/>
            <w:gridSpan w:val="7"/>
          </w:tcPr>
          <w:p>
            <w:pPr>
              <w:jc w:val="right"/>
              <w:spacing w:after="0"/>
              <w:rPr>
                <w:sz w:val="20"/>
                <w:szCs w:val="20"/>
                <w:color w:val="auto"/>
              </w:rPr>
            </w:pPr>
            <w:r>
              <w:rPr>
                <w:rFonts w:ascii="Arial" w:cs="Arial" w:eastAsia="Arial" w:hAnsi="Arial"/>
                <w:sz w:val="18"/>
                <w:szCs w:val="18"/>
                <w:b w:val="1"/>
                <w:bCs w:val="1"/>
                <w:color w:val="auto"/>
                <w:w w:val="93"/>
              </w:rPr>
              <w:t xml:space="preserve">Number and Titles. </w:t>
            </w:r>
            <w:r>
              <w:rPr>
                <w:rFonts w:ascii="Arial" w:cs="Arial" w:eastAsia="Arial" w:hAnsi="Arial"/>
                <w:sz w:val="18"/>
                <w:szCs w:val="18"/>
                <w:color w:val="auto"/>
                <w:w w:val="93"/>
              </w:rPr>
              <w:t>The officers of the Corporation shall be a Chairman of the Board, a President, a Chief Financial</w:t>
            </w:r>
          </w:p>
        </w:tc>
      </w:tr>
      <w:tr>
        <w:trPr>
          <w:trHeight w:val="20"/>
        </w:trPr>
        <w:tc>
          <w:tcPr>
            <w:tcW w:w="280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Officer, a Secretary, and a Treasurer. The Board of Directors may appoint such vice presidents, assistant secretaries and assistant treasurers and such other officers and agents as it shall deem necessary who shall hold their offices for such terms and shall exercise such powers and perform such duties as shall be determined from time to time by the Board. Any two or more offices may be held by the same person.</w:t>
      </w:r>
    </w:p>
    <w:p>
      <w:pPr>
        <w:spacing w:after="0" w:line="17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Election, Term of Office and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shall be elected annually by the Board of Directors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meeting of the Board of Directors held after the annual meeting of stockholders. If the election of officers is not held at such meeting, such election shall be held as soon thereafter as may be convenient. Vacancies may be filled or new offices created and filled at any meeting of the Board of Directors. Each officer shall be elected to hold office until his successor shall have been elected and qualified, or until his earlier death, resignation or removal. Election of an officer shall not of itself create contract rights.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6.3</w:t>
            </w:r>
          </w:p>
        </w:tc>
        <w:tc>
          <w:tcPr>
            <w:tcW w:w="8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 xml:space="preserve">Removal. </w:t>
            </w:r>
            <w:r>
              <w:rPr>
                <w:rFonts w:ascii="Arial" w:cs="Arial" w:eastAsia="Arial" w:hAnsi="Arial"/>
                <w:sz w:val="18"/>
                <w:szCs w:val="18"/>
                <w:color w:val="auto"/>
                <w:w w:val="94"/>
              </w:rPr>
              <w:t>Any officer may be removed by the Board of Directors whenever in its judgment the best interests of the</w:t>
            </w:r>
          </w:p>
        </w:tc>
      </w:tr>
      <w:tr>
        <w:trPr>
          <w:trHeight w:val="20"/>
        </w:trPr>
        <w:tc>
          <w:tcPr>
            <w:tcW w:w="2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77"/>
        </w:trPr>
        <w:tc>
          <w:tcPr>
            <w:tcW w:w="11420" w:type="dxa"/>
            <w:vAlign w:val="bottom"/>
            <w:gridSpan w:val="4"/>
          </w:tcPr>
          <w:p>
            <w:pPr>
              <w:spacing w:after="0"/>
              <w:rPr>
                <w:sz w:val="20"/>
                <w:szCs w:val="20"/>
                <w:color w:val="auto"/>
              </w:rPr>
            </w:pPr>
            <w:r>
              <w:rPr>
                <w:rFonts w:ascii="Arial" w:cs="Arial" w:eastAsia="Arial" w:hAnsi="Arial"/>
                <w:sz w:val="18"/>
                <w:szCs w:val="18"/>
                <w:color w:val="auto"/>
              </w:rPr>
              <w:t>Corporation will be sewed thereby, but such removal shall be without prejudice to the contract rights, if any, of the person so removed.</w:t>
            </w:r>
          </w:p>
        </w:tc>
      </w:tr>
      <w:tr>
        <w:trPr>
          <w:trHeight w:val="432"/>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6.4</w:t>
            </w:r>
          </w:p>
        </w:tc>
        <w:tc>
          <w:tcPr>
            <w:tcW w:w="8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 xml:space="preserve">Resignation. </w:t>
            </w:r>
            <w:r>
              <w:rPr>
                <w:rFonts w:ascii="Arial" w:cs="Arial" w:eastAsia="Arial" w:hAnsi="Arial"/>
                <w:sz w:val="18"/>
                <w:szCs w:val="18"/>
                <w:color w:val="auto"/>
                <w:w w:val="94"/>
              </w:rPr>
              <w:t>Any officer may resign at any time by giving written notice to the Board of Directors, the Chairman of</w:t>
            </w:r>
          </w:p>
        </w:tc>
      </w:tr>
      <w:tr>
        <w:trPr>
          <w:trHeight w:val="20"/>
        </w:trPr>
        <w:tc>
          <w:tcPr>
            <w:tcW w:w="28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64" w:lineRule="auto"/>
        <w:rPr>
          <w:sz w:val="20"/>
          <w:szCs w:val="20"/>
          <w:color w:val="auto"/>
        </w:rPr>
      </w:pPr>
      <w:r>
        <w:rPr>
          <w:rFonts w:ascii="Arial" w:cs="Arial" w:eastAsia="Arial" w:hAnsi="Arial"/>
          <w:sz w:val="16"/>
          <w:szCs w:val="16"/>
          <w:color w:val="auto"/>
        </w:rPr>
        <w:t>the Board, the President or the Secretary. Such resignation shall take effect at the time specified therein; and, unless tendered to take effect upon acceptance thereof, the acceptance of such resignation shall not be necessary to make it effective; provided, however that the acceptance or deemed acceptance of such resignation by the Corporation shall be without prejudice to the contract rights, if any, of the Corporation with respect to such person so resigning.</w:t>
      </w:r>
    </w:p>
    <w:p>
      <w:pPr>
        <w:spacing w:after="0" w:line="14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u w:val="single" w:color="auto"/>
          <w:color w:val="auto"/>
        </w:rPr>
        <w:t>Duties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and to the extent not inconsistent with the provisions of these By-laws, the officers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such authority, be subject to such restrictions, and perform such duties in the management of the business, property and affairs of the Corporation as may be determined from time to time by the Board of Directors.</w:t>
      </w:r>
    </w:p>
    <w:p>
      <w:pPr>
        <w:spacing w:after="0" w:line="176"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7"/>
          <w:szCs w:val="17"/>
          <w:b w:val="1"/>
          <w:bCs w:val="1"/>
          <w:color w:val="auto"/>
        </w:rPr>
        <w:t xml:space="preserve">Section 6.6 </w:t>
      </w:r>
      <w:r>
        <w:rPr>
          <w:rFonts w:ascii="Arial" w:cs="Arial" w:eastAsia="Arial" w:hAnsi="Arial"/>
          <w:sz w:val="17"/>
          <w:szCs w:val="17"/>
          <w:b w:val="1"/>
          <w:bCs w:val="1"/>
          <w:u w:val="single" w:color="auto"/>
          <w:color w:val="auto"/>
        </w:rPr>
        <w:t>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Chairman of the Board shall be a member of the Board of Directors and shall preside at</w:t>
      </w:r>
      <w:r>
        <w:rPr>
          <w:rFonts w:ascii="Arial" w:cs="Arial" w:eastAsia="Arial" w:hAnsi="Arial"/>
          <w:sz w:val="17"/>
          <w:szCs w:val="17"/>
          <w:b w:val="1"/>
          <w:bCs w:val="1"/>
          <w:color w:val="auto"/>
        </w:rPr>
        <w:t xml:space="preserve"> </w:t>
      </w:r>
      <w:r>
        <w:rPr>
          <w:rFonts w:ascii="Arial" w:cs="Arial" w:eastAsia="Arial" w:hAnsi="Arial"/>
          <w:sz w:val="17"/>
          <w:szCs w:val="17"/>
          <w:color w:val="auto"/>
        </w:rPr>
        <w:t>all meetings of the stockholders and of the Board of Directors of the Corporation. The Chairman may be given supervisory authority in specific matters by action of the Board of Directors and shall have the authority to perform such other duties as may be prescribed by the Board of Directors from time to time. When authorized or directed by the Board of Directors, the Chairman shall execute instruments and contracts on behalf of the Corporation.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8</w:t>
      </w:r>
    </w:p>
    <w:p>
      <w:pPr>
        <w:sectPr>
          <w:pgSz w:w="11900" w:h="16838" w:orient="portrait"/>
          <w:cols w:equalWidth="0" w:num="1">
            <w:col w:w="11420"/>
          </w:cols>
          <w:pgMar w:left="240" w:top="611" w:right="239" w:bottom="1440" w:gutter="0" w:footer="0" w:header="0"/>
        </w:sectPr>
      </w:pPr>
    </w:p>
    <w:bookmarkStart w:id="42" w:name="page43"/>
    <w:bookmarkEnd w:id="42"/>
    <w:p>
      <w:pPr>
        <w:jc w:val="both"/>
        <w:ind w:firstLine="648"/>
        <w:spacing w:after="0" w:line="319" w:lineRule="auto"/>
        <w:rPr>
          <w:sz w:val="20"/>
          <w:szCs w:val="20"/>
          <w:color w:val="auto"/>
        </w:rPr>
      </w:pPr>
      <w:r>
        <w:rPr>
          <w:rFonts w:ascii="Arial" w:cs="Arial" w:eastAsia="Arial" w:hAnsi="Arial"/>
          <w:sz w:val="17"/>
          <w:szCs w:val="17"/>
          <w:b w:val="1"/>
          <w:bCs w:val="1"/>
          <w:color w:val="auto"/>
        </w:rPr>
        <w:t xml:space="preserve">Section 6.7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President shall be the chief executive officer of the Corporation. Subject to the control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the President shall, in general, supervise and manage the business and affairs of the Corporation and shall see that the resolutions and directions of the Board of Directors are carried into effect. Except in those instances in which the authority to execute is expressly delegated to another officer or agent of the Corporation or a different mode of execution is expressly prescribed by the Board of Directors or these By-laws or where otherwise required by law, the President may execute for the Corporation certificates for its shares of stock (the issuance of which shall have been authorized by the Board of Directors), and any contracts, deeds, mortgages, bonds or other instruments which the Board of Directors has authorized to be executed or the' execution of which is in the ordinary course of the Corporation's business, and the President may accomplish such execution either under or without the seal of the Corporation and either individually or with the Secretary, any Assistant Secretary, or any other officer authorized by the Board of Directors or these Bylaws. In the absence of the Chairman of the Board or in the event of his inability to act or while such office is vacant, the President shall perform the duties of the Chairman of the Board and when so acting shall have all of the powers and authority of, and shall be subject to all of the restrictions upon, the Chairman of the Board. Subject to Section 13.5 of these By-laws, the President may vote all securities which the Corporation is entitled to vote except as and to the extent such authority shall be vested in a different officer or agent of the Corporation by the Board of Directors.</w:t>
      </w:r>
    </w:p>
    <w:p>
      <w:pPr>
        <w:spacing w:after="0" w:line="177"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Vice Presidents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absence of the President or in the event of his inability or refusal to act, the Vice President, if</w:t>
      </w:r>
      <w:r>
        <w:rPr>
          <w:rFonts w:ascii="Arial" w:cs="Arial" w:eastAsia="Arial" w:hAnsi="Arial"/>
          <w:sz w:val="16"/>
          <w:szCs w:val="16"/>
          <w:b w:val="1"/>
          <w:bCs w:val="1"/>
          <w:color w:val="auto"/>
        </w:rPr>
        <w:t xml:space="preserve"> </w:t>
      </w:r>
      <w:r>
        <w:rPr>
          <w:rFonts w:ascii="Arial" w:cs="Arial" w:eastAsia="Arial" w:hAnsi="Arial"/>
          <w:sz w:val="16"/>
          <w:szCs w:val="16"/>
          <w:color w:val="auto"/>
        </w:rPr>
        <w:t>one shall have been elected (or in the event there is more than one Vice President, the Vice President designated Executive vice President by the Board of Directors and thereafter, or in the absence of such other designation, the Vice Presidents in the order otherwise designated by the Board of Directors, or in the absence of such other designation, in the order of their election), shall perform the duties of the President, and when so acting, shall have all the authority of and be subject to all the restrictions upon the President. Except in those instances in which the authority to execute is expressly delegated to another officer or agent of the Corporation or a different mode of execution is expressly prescribed by the Board of Directors or these By-laws or where otherwise required by law, the Vice President (or each of them if there are more than one) may execute for the Corporation certificates for its shares of stock (the issuance of which shall have been authorized by the Board of Directors), and any contracts, deeds, mortgages, bonds or other instruments which the Board of Directors has authorized to be executed, and he may accomplish such execution either under or without the seal of the Corporation and either individually or with the Secretary, any Assistant Secretary, or any other officer thereunto authorized by the Board of Directors or these By-laws. The Vice Presidents shall perform such other duties as from time to time may be prescribed by the President or the Board of Directors.</w:t>
      </w:r>
    </w:p>
    <w:p>
      <w:pPr>
        <w:spacing w:after="0" w:line="163"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 xml:space="preserve">Section 6.9 </w:t>
      </w:r>
      <w:r>
        <w:rPr>
          <w:rFonts w:ascii="Arial" w:cs="Arial" w:eastAsia="Arial" w:hAnsi="Arial"/>
          <w:sz w:val="17"/>
          <w:szCs w:val="17"/>
          <w:b w:val="1"/>
          <w:bCs w:val="1"/>
          <w:u w:val="single" w:color="auto"/>
          <w:color w:val="auto"/>
        </w:rPr>
        <w:t>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shall be the principal financial and accounting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perform all duties incident to Chief Financial Officer and such other duties as from time to time may be assigned by the President. Without limiting the foregoing, the Chief Financial Officer shall have primary responsibility for the Corporation's financial affairs; including without limitation, (a) keeping or causing to be kept correct and complete books and records of account, including a record of all receipts and disbursements; and (b) preparing or causing to be prepared, from time to time, financial statements of the Corporation at the request of the President or the Board of Directors.</w:t>
      </w:r>
    </w:p>
    <w:p>
      <w:pPr>
        <w:spacing w:after="0" w:line="171"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 xml:space="preserve">Section 6.10 </w:t>
      </w:r>
      <w:r>
        <w:rPr>
          <w:rFonts w:ascii="Arial" w:cs="Arial" w:eastAsia="Arial" w:hAnsi="Arial"/>
          <w:sz w:val="17"/>
          <w:szCs w:val="17"/>
          <w:b w:val="1"/>
          <w:bCs w:val="1"/>
          <w:u w:val="single" w:color="auto"/>
          <w:color w:val="auto"/>
        </w:rPr>
        <w:t>Treasurer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Treasurer shall perform all the duties incident to the office of Treasurer and such other duties as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may be assigned by the President or the Chief Financial Officer of the Corporation. Without limiting the foregoing, the Treasurer shall (a) have charge and custody of, and be responsible for, all funds and securities of the Corporation; and (b) deposit all funds and securities of the Corporation in such banks, trust companies or other depositaries as shall be selected in accordance with these By-laws. If required by the Board of Directors, the Treasurer shall give a bond for the faithful discharge of his duties in such sum and with such surety or sureties as the Board of Directors shall determine.</w:t>
      </w:r>
    </w:p>
    <w:p>
      <w:pPr>
        <w:spacing w:after="0" w:line="171"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b w:val="1"/>
          <w:bCs w:val="1"/>
          <w:color w:val="auto"/>
        </w:rPr>
        <w:t xml:space="preserve">Section 6.11 </w:t>
      </w:r>
      <w:r>
        <w:rPr>
          <w:rFonts w:ascii="Arial" w:cs="Arial" w:eastAsia="Arial" w:hAnsi="Arial"/>
          <w:sz w:val="16"/>
          <w:szCs w:val="16"/>
          <w:b w:val="1"/>
          <w:bCs w:val="1"/>
          <w:u w:val="single" w:color="auto"/>
          <w:color w:val="auto"/>
        </w:rPr>
        <w:t>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Secretary shall (a) keep the minutes of the proceedings of the stockholders and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 one or more books provided for that purpose; (b) see that all notices are duly given in accordance with the provisions of these By-laws or as required by the General Corporation Law of the State of Delaware; (c) be custodian of the corporate records and of the seal of the Corporation and see that the seal of the Corporation is affixed to all stock certificates prior to the issue thereof and to all documents the execution of which on behalf of the Corporation under its seal is necessary or appropriate; (d) keep or cause to be kept a register of the name and address of each stockholder, which shall be furnished to the Corporation by each such stockholder, and the number and class of shares held by each stockholder; (e) have general charge of the stock transfer books; and</w:t>
      </w:r>
    </w:p>
    <w:p>
      <w:pPr>
        <w:spacing w:after="0" w:line="3" w:lineRule="exact"/>
        <w:rPr>
          <w:sz w:val="20"/>
          <w:szCs w:val="20"/>
          <w:color w:val="auto"/>
        </w:rPr>
      </w:pPr>
    </w:p>
    <w:p>
      <w:pPr>
        <w:ind w:firstLine="8"/>
        <w:spacing w:after="0" w:line="324" w:lineRule="auto"/>
        <w:tabs>
          <w:tab w:leader="none" w:pos="2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general, perform all duties incident to the office of Secretary and such other duties as from time to time may be prescribed by the President or the Board of Directors,</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 xml:space="preserve">Section 6.12 </w:t>
      </w:r>
      <w:r>
        <w:rPr>
          <w:rFonts w:ascii="Arial" w:cs="Arial" w:eastAsia="Arial" w:hAnsi="Arial"/>
          <w:sz w:val="18"/>
          <w:szCs w:val="18"/>
          <w:b w:val="1"/>
          <w:bCs w:val="1"/>
          <w:u w:val="single" w:color="auto"/>
          <w:color w:val="auto"/>
        </w:rPr>
        <w:t>Assistant Treasurers and Assistant Secretaries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absence of the Treasurer or Secretary or in the event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inability or refusal of the Treasurer or Secretary to act, the Assistant Treasurer and the Assistant Secretary (or in the event there is more than one of either, in the order designated by the Board of Directors or in the absence of such designation, in the order of their election) shall perform the duties of the Treasurer and Secretary, respectively, and when so acting, shall have all the authority of and be subject to all the restrictions upon such office. The Assistant Treasurers and Assistant Secretaries shall also perform such duties as from time to time may be prescribed by the Treasurer or the Secretary, respectively, or by the President</w:t>
      </w:r>
    </w:p>
    <w:p>
      <w:pPr>
        <w:sectPr>
          <w:pgSz w:w="11900" w:h="16838" w:orient="portrait"/>
          <w:cols w:equalWidth="0" w:num="1">
            <w:col w:w="11420"/>
          </w:cols>
          <w:pgMar w:left="240" w:top="607" w:right="239" w:bottom="1440" w:gutter="0" w:footer="0" w:header="0"/>
        </w:sectPr>
      </w:pPr>
    </w:p>
    <w:p>
      <w:pPr>
        <w:spacing w:after="0" w:line="192" w:lineRule="exact"/>
        <w:rPr>
          <w:sz w:val="20"/>
          <w:szCs w:val="20"/>
          <w:color w:val="auto"/>
        </w:rPr>
      </w:pPr>
    </w:p>
    <w:p>
      <w:pPr>
        <w:ind w:left="11340"/>
        <w:spacing w:after="0"/>
        <w:rPr>
          <w:sz w:val="20"/>
          <w:szCs w:val="20"/>
          <w:color w:val="auto"/>
        </w:rPr>
      </w:pPr>
      <w:r>
        <w:rPr>
          <w:rFonts w:ascii="Arial" w:cs="Arial" w:eastAsia="Arial" w:hAnsi="Arial"/>
          <w:sz w:val="14"/>
          <w:szCs w:val="14"/>
          <w:color w:val="FFFFFF"/>
        </w:rPr>
        <w:t>9</w:t>
      </w:r>
    </w:p>
    <w:p>
      <w:pPr>
        <w:sectPr>
          <w:pgSz w:w="11900" w:h="16838" w:orient="portrait"/>
          <w:cols w:equalWidth="0" w:num="1">
            <w:col w:w="11420"/>
          </w:cols>
          <w:pgMar w:left="240" w:top="607" w:right="239" w:bottom="1440" w:gutter="0" w:footer="0" w:header="0"/>
          <w:type w:val="continuous"/>
        </w:sectPr>
      </w:pPr>
    </w:p>
    <w:bookmarkStart w:id="43" w:name="page44"/>
    <w:bookmarkEnd w:id="43"/>
    <w:p>
      <w:pPr>
        <w:jc w:val="both"/>
        <w:spacing w:after="0" w:line="324" w:lineRule="auto"/>
        <w:rPr>
          <w:sz w:val="20"/>
          <w:szCs w:val="20"/>
          <w:color w:val="auto"/>
        </w:rPr>
      </w:pPr>
      <w:r>
        <w:rPr>
          <w:rFonts w:ascii="Arial" w:cs="Arial" w:eastAsia="Arial" w:hAnsi="Arial"/>
          <w:sz w:val="18"/>
          <w:szCs w:val="18"/>
          <w:color w:val="auto"/>
        </w:rPr>
        <w:t>or the Board of Directors. If required by the Board of Directors, an Assistant Treasurer shall give a bond for the faithful discharge of his duties in such sum and with such surety or sureties as the Board of Directors shall determine.</w:t>
      </w:r>
    </w:p>
    <w:p>
      <w:pPr>
        <w:spacing w:after="0" w:line="166" w:lineRule="exact"/>
        <w:rPr>
          <w:sz w:val="20"/>
          <w:szCs w:val="20"/>
          <w:color w:val="auto"/>
        </w:rPr>
      </w:pPr>
    </w:p>
    <w:p>
      <w:pPr>
        <w:jc w:val="both"/>
        <w:ind w:right="20" w:firstLine="648"/>
        <w:spacing w:after="0" w:line="362" w:lineRule="auto"/>
        <w:rPr>
          <w:sz w:val="20"/>
          <w:szCs w:val="20"/>
          <w:color w:val="auto"/>
        </w:rPr>
      </w:pPr>
      <w:r>
        <w:rPr>
          <w:rFonts w:ascii="Arial" w:cs="Arial" w:eastAsia="Arial" w:hAnsi="Arial"/>
          <w:sz w:val="17"/>
          <w:szCs w:val="17"/>
          <w:b w:val="1"/>
          <w:bCs w:val="1"/>
          <w:color w:val="auto"/>
        </w:rPr>
        <w:t xml:space="preserve">Section 6.13 </w:t>
      </w:r>
      <w:r>
        <w:rPr>
          <w:rFonts w:ascii="Arial" w:cs="Arial" w:eastAsia="Arial" w:hAnsi="Arial"/>
          <w:sz w:val="17"/>
          <w:szCs w:val="17"/>
          <w:b w:val="1"/>
          <w:bCs w:val="1"/>
          <w:u w:val="single" w:color="auto"/>
          <w:color w:val="auto"/>
        </w:rPr>
        <w:t>Salaries</w:t>
      </w:r>
      <w:r>
        <w:rPr>
          <w:rFonts w:ascii="Arial" w:cs="Arial" w:eastAsia="Arial" w:hAnsi="Arial"/>
          <w:sz w:val="17"/>
          <w:szCs w:val="17"/>
          <w:b w:val="1"/>
          <w:bCs w:val="1"/>
          <w:color w:val="auto"/>
        </w:rPr>
        <w:t xml:space="preserve">. </w:t>
      </w:r>
      <w:r>
        <w:rPr>
          <w:rFonts w:ascii="Arial" w:cs="Arial" w:eastAsia="Arial" w:hAnsi="Arial"/>
          <w:sz w:val="17"/>
          <w:szCs w:val="17"/>
          <w:color w:val="auto"/>
        </w:rPr>
        <w:t>The salaries and additional compensation, if any, of the officers shall be determined from time to time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provided, no officer shall be prevented from receiving such salary by reason of the fact that he is also a director of the Corporation.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CERTIFICATES OF STOCK AND THEIR TRANSFER</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Shares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a resolution approved by the majority of the directors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all shares of the Corporation shall be uncertificated shares beginning on October 23, 2007. Notwithstanding the foregoing, shares represented by a certificate issued prior to October 23, 2007, share be certificated shares until such certificate is surrendered to this Corporation.</w:t>
      </w:r>
    </w:p>
    <w:p>
      <w:pPr>
        <w:spacing w:after="0" w:line="17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Transfer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the Corporation shall be transferable. The Corporation shall have a duty to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any such transfer provided there is presented to the Corporation or its transfer agents reasonable assurance that any such transfer and related endorsement is genuine and effective; and, provided that (x) the Corporation has no duty to inquire into adverse claims or has discharged any such duty; (y) any applicable law relating to the collection of taxes has been complied with; and (z) the transfer is in fact rightful or is to a bonafide purchaser. Upon registration of such transfer upon the stock transfer books of the Corporation, the certificates representing the shares transferred, if any, shall be cancelled and the shares transferred to the new record holder shall be uncertificated. The terms and conditions' described in the foregoing provisions of this Section shall be construed in accordance with the provisions of the Delaware Uniform Commercial Code, except as otherwise provided by the General Corporation Law of the State of Delaware. No new shares shall be issued until a like number of shares shall have been surrendered and cancelled. In case of a lost, destroyed, wrongfully taken or mutilated certificate new shares may be issued therefor upon such terms and indemnity to the Corporation as the President or the Board of Directors may prescribe consistent with applicable law.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DIVIDENDS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provisions of the General Corporation Law of the State of Delaware and the Certificate of Incorporation of the Corporation, as may be amended or restated from time to time, the Board of Directors may declare and pay dividends upon the shares of its capital stock. Dividends may be paid in cash, in property, or in shares of the Corporation's capital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IX</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the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and the words "Corporate Seal" and "Delaware." The seal may be used by causing it or a facsimile thereof to be impressed or affixed or in any manner reproduced.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 OF NOTICE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Whenever any notice is required to be given under these By-laws, the Certificate of Incorporation of the Corporation, as may be amended or restated from time to time, or the General Corporation Law of the State of Delaware, a waiver thereof in writing, signed by the person or persons entitled to such notice, whether before or after the time stated therein, shall be deemed equivalent to the giving Of such notice.</w:t>
      </w:r>
    </w:p>
    <w:p>
      <w:pPr>
        <w:sectPr>
          <w:pgSz w:w="11900" w:h="16838" w:orient="portrait"/>
          <w:cols w:equalWidth="0" w:num="1">
            <w:col w:w="11420"/>
          </w:cols>
          <w:pgMar w:left="240" w:top="61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1240"/>
        <w:spacing w:after="0"/>
        <w:rPr>
          <w:sz w:val="20"/>
          <w:szCs w:val="20"/>
          <w:color w:val="auto"/>
        </w:rPr>
      </w:pPr>
      <w:r>
        <w:rPr>
          <w:rFonts w:ascii="Arial" w:cs="Arial" w:eastAsia="Arial" w:hAnsi="Arial"/>
          <w:sz w:val="16"/>
          <w:szCs w:val="16"/>
          <w:color w:val="FFFFFF"/>
        </w:rPr>
        <w:t>10</w:t>
      </w:r>
    </w:p>
    <w:p>
      <w:pPr>
        <w:sectPr>
          <w:pgSz w:w="11900" w:h="16838" w:orient="portrait"/>
          <w:cols w:equalWidth="0" w:num="1">
            <w:col w:w="11420"/>
          </w:cols>
          <w:pgMar w:left="240" w:top="611"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OF OFFICERS, DIRECTORS AND OTHERS</w:t>
      </w:r>
    </w:p>
    <w:p>
      <w:pPr>
        <w:spacing w:after="0" w:line="252"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b w:val="1"/>
          <w:bCs w:val="1"/>
          <w:u w:val="single" w:color="auto"/>
          <w:color w:val="auto"/>
        </w:rPr>
        <w:t>Nature of indemnity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person who was or is made a party or is threatened to be made a party to or is involved in</w:t>
      </w:r>
    </w:p>
    <w:p>
      <w:pPr>
        <w:spacing w:after="0" w:line="54"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any action, suit or proceeding, whether civil, criminal, administrative or investigative (hereinafter a “proceeding”) by reason of the fact that he or she, or a person of whom he or she is the legal representative, is or was a director or officer of the Corporation shall be indemnified and held harmless by the Corporation as provided in this ARTICLE XII and to the fullest extent which it is empowered to do so by the General Corporation Law of the State of Delaware, as the same exists or may hereafter be amended, against all liabilities and expenses reasonably incurred by such person in connection with such proceeding, and such indemnification shall inure to the benefit of his or her heirs, executors and administrators; provided, however, that, except as provided in Section 12.2 hereof, the Corporation shall indemnify any such person 'seeking indemnification in connection with a proceeding initiated by such person only if such proceeding was authorized by the Board of Directors of the Corporation. Notwithstanding any other provision of this ARTICLE XII, to the extent that any director or officer, or employee or agent (at the discretion of the Board of Directors of the Corporation pursuant to Section 12.6 of this ARTICLE XII), is by reason of such person's position, a witness, in any proceeding, such person shall be indemnified against all costs and expenses actually and reasonably incurred by him or her on his or her behalf in connection therewith.</w:t>
      </w:r>
    </w:p>
    <w:p>
      <w:pPr>
        <w:spacing w:after="0" w:line="180"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7"/>
          <w:szCs w:val="17"/>
          <w:b w:val="1"/>
          <w:bCs w:val="1"/>
          <w:u w:val="single" w:color="auto"/>
          <w:color w:val="auto"/>
        </w:rPr>
        <w:t>Procedure for Indemnification of Directors and Officers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Any indemnification of a director or officer of the</w:t>
      </w:r>
    </w:p>
    <w:p>
      <w:pPr>
        <w:spacing w:after="0" w:line="5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Corporation under Section 12.1 of this ARTICLE XII or advance of expenses under Section 12.5 of this ARTICLE XII shall be made promptly, and in any event within thirty (30) days, upon the written request of the director or officer. If a determination by the Corporation that the director or officer is entitled to indemnification pursuant to this ARTICLE XII is required, and the Corporation fails to respond within sixty (60) days to a written request for indemnity, the Corporation shall be deemed to have approved the request. If the Corporation denies a written request for indemnification or advancing of expenses, in whole or in part, or if payment in full pursuant to such request is not made within thirty (30) days, the right to indemnification or advances as granted by this ARTICLE XII shall be enforceable by the director or 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General Corporation Law of the State of Delaware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6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b w:val="1"/>
          <w:bCs w:val="1"/>
          <w:u w:val="single" w:color="auto"/>
          <w:color w:val="auto"/>
        </w:rPr>
        <w:t>Article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to indemnification and the payment of expenses incurred in defending a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in advance of its final disposition conferred in this ARTICLE XII shall not be exclusive of any other right which any person may have or hereafter acquire under any statute, provision of the Certificate of Incorporation, as may be amended or restated from time to time, By-law, agreement, vote of stockholders or disinterested directors or otherwise.</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purchase and maintain insurance on its own behalf and on behalf of any person who</w:t>
      </w:r>
      <w:r>
        <w:rPr>
          <w:rFonts w:ascii="Arial" w:cs="Arial" w:eastAsia="Arial" w:hAnsi="Arial"/>
          <w:sz w:val="18"/>
          <w:szCs w:val="18"/>
          <w:b w:val="1"/>
          <w:bCs w:val="1"/>
          <w:color w:val="auto"/>
        </w:rPr>
        <w:t xml:space="preserve"> </w:t>
      </w:r>
      <w:r>
        <w:rPr>
          <w:rFonts w:ascii="Arial" w:cs="Arial" w:eastAsia="Arial" w:hAnsi="Arial"/>
          <w:sz w:val="18"/>
          <w:szCs w:val="18"/>
          <w:color w:val="auto"/>
        </w:rPr>
        <w:t>is or was a director, officer, employee, fiduciary, or agent of the Corporation or who is or was serving at the request of the Corporation as a director, officer, employee or agent of another corporation, partnership, joint venture, trust or other enterprise against any liability asserted against him or her and incurred by him or her in any such capacity, whether or not the Corporation would have the power to indemnify such person against such liability under this ARTICLE XII or under the General Corporation Law of the State of Delaware. The Corporation shall not be liable under this ARTICLE XII to make any payments of amounts otherwise indemnifiable hereunder if and to the extent that such indemnified person hereunder has otherwise actually received such payment under any insurance policy, contract, agreement or otherwise.</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attorneys' fees) incurred by any person described in Section 12.1 of this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XII in defending any civil, criminal, administrative or investigative action, suit or proceeding shall be paid by the Corporation in advance of the final disposition of such action, suit or proceeding upon receipt of an undertaking by or on behalf of the director or officer to repay such amount if it shall ultimately be determined that he or she is not entitled to be indemnified by the Corporation.</w:t>
      </w:r>
    </w:p>
    <w:p>
      <w:pPr>
        <w:sectPr>
          <w:pgSz w:w="11900" w:h="16838" w:orient="portrait"/>
          <w:cols w:equalWidth="0" w:num="1">
            <w:col w:w="11420"/>
          </w:cols>
          <w:pgMar w:left="240" w:top="796" w:right="239" w:bottom="1440" w:gutter="0" w:footer="0" w:header="0"/>
        </w:sectPr>
      </w:pPr>
    </w:p>
    <w:p>
      <w:pPr>
        <w:spacing w:after="0" w:line="184" w:lineRule="exact"/>
        <w:rPr>
          <w:sz w:val="20"/>
          <w:szCs w:val="20"/>
          <w:color w:val="auto"/>
        </w:rPr>
      </w:pPr>
    </w:p>
    <w:p>
      <w:pPr>
        <w:ind w:left="11240"/>
        <w:spacing w:after="0"/>
        <w:rPr>
          <w:sz w:val="20"/>
          <w:szCs w:val="20"/>
          <w:color w:val="auto"/>
        </w:rPr>
      </w:pPr>
      <w:r>
        <w:rPr>
          <w:rFonts w:ascii="Arial" w:cs="Arial" w:eastAsia="Arial" w:hAnsi="Arial"/>
          <w:sz w:val="16"/>
          <w:szCs w:val="16"/>
          <w:color w:val="FFFFFF"/>
        </w:rPr>
        <w:t>11</w:t>
      </w:r>
    </w:p>
    <w:p>
      <w:pPr>
        <w:sectPr>
          <w:pgSz w:w="11900" w:h="16838" w:orient="portrait"/>
          <w:cols w:equalWidth="0" w:num="1">
            <w:col w:w="11420"/>
          </w:cols>
          <w:pgMar w:left="240" w:top="796" w:right="239" w:bottom="1440" w:gutter="0" w:footer="0" w:header="0"/>
          <w:type w:val="continuous"/>
        </w:sectPr>
      </w:pPr>
    </w:p>
    <w:bookmarkStart w:id="45" w:name="page46"/>
    <w:bookmarkEnd w:id="45"/>
    <w:p>
      <w:pPr>
        <w:jc w:val="both"/>
        <w:ind w:firstLine="648"/>
        <w:spacing w:after="0" w:line="367" w:lineRule="auto"/>
        <w:rPr>
          <w:sz w:val="20"/>
          <w:szCs w:val="20"/>
          <w:color w:val="auto"/>
        </w:rPr>
      </w:pPr>
      <w:r>
        <w:rPr>
          <w:rFonts w:ascii="Arial" w:cs="Arial" w:eastAsia="Arial" w:hAnsi="Arial"/>
          <w:sz w:val="16"/>
          <w:szCs w:val="16"/>
          <w:b w:val="1"/>
          <w:bCs w:val="1"/>
          <w:color w:val="auto"/>
        </w:rPr>
        <w:t xml:space="preserve">Section 12.6 </w:t>
      </w:r>
      <w:r>
        <w:rPr>
          <w:rFonts w:ascii="Arial" w:cs="Arial" w:eastAsia="Arial" w:hAnsi="Arial"/>
          <w:sz w:val="16"/>
          <w:szCs w:val="16"/>
          <w:b w:val="1"/>
          <w:bCs w:val="1"/>
          <w:u w:val="single" w:color="auto"/>
          <w:color w:val="auto"/>
        </w:rPr>
        <w:t>Employees and Agents</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who are not covered by the foregoing provisions of this ARTICLE XII and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or were employees or agents of the Corporation, or who are or were serving at the request of the Corporation as employees or agents of another corporation, partnership, joint venture, trust or other enterprise, may be indemnified to the extent authorized at any time or from time to time by the Board of Directors.</w:t>
      </w:r>
    </w:p>
    <w:p>
      <w:pPr>
        <w:spacing w:after="0" w:line="14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b w:val="1"/>
          <w:bCs w:val="1"/>
          <w:u w:val="single" w:color="auto"/>
          <w:color w:val="auto"/>
        </w:rPr>
        <w:t>Contract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ARTICLE XII shall be deemed to be a contract right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each director or officer who serves in any such capacity at any time while this ARTICLE XII and the relevant provisions of the General Corporation Law of the State of Delaware or other applicable law are in effect, and any repeal or modification of any such law or this ARTICLE XII shall not affect any rights or obligations then existing with respect to any state of facts then or theretofore existing or any action, suit or proceeding theretofore or thereafter brought or threatened based in whole or in part upon any such state of facts.</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b w:val="1"/>
          <w:bCs w:val="1"/>
          <w:u w:val="single" w:color="auto"/>
          <w:color w:val="auto"/>
        </w:rPr>
        <w:t>Merger of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ARTICLE XII, references to the “Corporation” shall include,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XII with respect to the resulting or surviving corporation as he or she would have with respect to such constituent corporation if its separate existence had continued.</w:t>
      </w:r>
    </w:p>
    <w:p>
      <w:pPr>
        <w:spacing w:after="0" w:line="18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b w:val="1"/>
          <w:bCs w:val="1"/>
          <w:color w:val="auto"/>
        </w:rPr>
        <w:t xml:space="preserve">Section 12.9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or provisions of this ARTICLE XII shall be held to be invalid, illegal or unenforceable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reason whatsoever: (a) the validity, Legality and enforceability of the remaining provisions of this ARTICLE XII (including without limitation, each portion of any Section of this ARTICLE XII containing any such provision held to be invalid, illegal or unenforceable, that is not itself invalid, illegal or unenforceable) shall not in any way be affected or impaired thereby; and (b) to the fullest extent possible, the provisions of this ARTICLE XII (including, without limitation, each portion of any Section of this ARTICLE XII containing any such provision held to be invalid, illegal or unenforceable,, that is not itself invalid, illegal or unenforceable) shall be construed so as to give effect to the intent manifested by the provision held invalid, illegal or unenforceable.</w:t>
      </w:r>
    </w:p>
    <w:p>
      <w:pPr>
        <w:spacing w:after="0" w:line="17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12.10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ARTICLE XII, (a) references to “other enterprises” shall include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plans; (b) references to “fines” shall include any excise taxes assessed on a person with respect to an employee benefit plan; (c)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(d) references to “liabilities” and “expenses” shall include without limitation, liabilities, losses, damages, judgments, fines, penalties, amounts paid in settlement, expenses, and attorneys' fees and costs (including any fees and costs of any appellate proceedings); and (e) a person who acted in good faith and in a manner he or she reasonably believed to be in the interest of the participants and beneficiaries of an employee benefit plan shall be deemed to have acted in a manner not opposed to the best interests of the Corporation.</w:t>
      </w:r>
    </w:p>
    <w:p>
      <w:pPr>
        <w:spacing w:after="0" w:line="185"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b w:val="1"/>
          <w:bCs w:val="1"/>
          <w:color w:val="auto"/>
        </w:rPr>
        <w:t>Section 12.11</w:t>
      </w:r>
      <w:r>
        <w:rPr>
          <w:sz w:val="20"/>
          <w:szCs w:val="20"/>
          <w:color w:val="auto"/>
        </w:rPr>
        <w:tab/>
      </w:r>
      <w:r>
        <w:rPr>
          <w:rFonts w:ascii="Arial" w:cs="Arial" w:eastAsia="Arial" w:hAnsi="Arial"/>
          <w:sz w:val="17"/>
          <w:szCs w:val="17"/>
          <w:b w:val="1"/>
          <w:bCs w:val="1"/>
          <w:u w:val="single" w:color="auto"/>
          <w:color w:val="auto"/>
        </w:rPr>
        <w:t>Certain Persons Not Entitled to Indemnification or Advancement of Expenses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Notwithstanding any other</w:t>
      </w:r>
    </w:p>
    <w:p>
      <w:pPr>
        <w:spacing w:after="0" w:line="5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provision of this ARTICLE XII, no person shall be entitled to indemnification or advancement of any costs, expenses or the like under this Article with respect to any proceeding, or any claim therein, brought or made by such person against the Corporation, except as otherwise specifically provided in the fourth sentence of Section 12.2 hereof.</w:t>
      </w:r>
    </w:p>
    <w:p>
      <w:pPr>
        <w:spacing w:after="0" w:line="17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12.12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request or other communication required or permitted to be given to the Corporation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XII shall be in writing and either delivered in person or sent by telex, telegram or certified or registered mail, postage prepaid, return receipt requested, to the Secretary of the Corporation and shall be effective only upon receipt by the Secretary.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XIII</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83"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b w:val="1"/>
          <w:bCs w:val="1"/>
          <w:u w:val="single" w:color="auto"/>
          <w:color w:val="auto"/>
        </w:rPr>
        <w:t>Contracts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Board of Directors may authorize any officer or agent to enter into any contract or execute and deliver</w:t>
      </w:r>
    </w:p>
    <w:p>
      <w:pPr>
        <w:spacing w:after="0" w:line="5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any instrument in the name of and on behalf of the Corporation, and the President may so authorize any officer or agent with respect to contracts or instruments in the usual and regular course of its business. Such authority may be general or confined to specific instances.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12</w:t>
      </w:r>
    </w:p>
    <w:p>
      <w:pPr>
        <w:sectPr>
          <w:pgSz w:w="11900" w:h="16838" w:orient="portrait"/>
          <w:cols w:equalWidth="0" w:num="1">
            <w:col w:w="11420"/>
          </w:cols>
          <w:pgMar w:left="240" w:top="60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240" w:type="dxa"/>
            <w:vAlign w:val="bottom"/>
          </w:tcPr>
          <w:p>
            <w:pPr>
              <w:ind w:left="660"/>
              <w:spacing w:after="0"/>
              <w:rPr>
                <w:sz w:val="20"/>
                <w:szCs w:val="20"/>
                <w:color w:val="auto"/>
              </w:rPr>
            </w:pPr>
            <w:r>
              <w:rPr>
                <w:rFonts w:ascii="Arial" w:cs="Arial" w:eastAsia="Arial" w:hAnsi="Arial"/>
                <w:sz w:val="18"/>
                <w:szCs w:val="18"/>
                <w:b w:val="1"/>
                <w:bCs w:val="1"/>
                <w:color w:val="auto"/>
              </w:rPr>
              <w:t>Section 13.2</w:t>
            </w:r>
          </w:p>
        </w:tc>
        <w:tc>
          <w:tcPr>
            <w:tcW w:w="9180" w:type="dxa"/>
            <w:vAlign w:val="bottom"/>
            <w:gridSpan w:val="4"/>
          </w:tcPr>
          <w:p>
            <w:pPr>
              <w:ind w:left="640"/>
              <w:spacing w:after="0"/>
              <w:rPr>
                <w:sz w:val="20"/>
                <w:szCs w:val="20"/>
                <w:color w:val="auto"/>
              </w:rPr>
            </w:pPr>
            <w:r>
              <w:rPr>
                <w:rFonts w:ascii="Arial" w:cs="Arial" w:eastAsia="Arial" w:hAnsi="Arial"/>
                <w:sz w:val="18"/>
                <w:szCs w:val="18"/>
                <w:b w:val="1"/>
                <w:bCs w:val="1"/>
                <w:color w:val="auto"/>
                <w:w w:val="90"/>
              </w:rPr>
              <w:t xml:space="preserve">Loans. </w:t>
            </w:r>
            <w:r>
              <w:rPr>
                <w:rFonts w:ascii="Arial" w:cs="Arial" w:eastAsia="Arial" w:hAnsi="Arial"/>
                <w:sz w:val="18"/>
                <w:szCs w:val="18"/>
                <w:color w:val="auto"/>
                <w:w w:val="90"/>
              </w:rPr>
              <w:t>No loan shall be contracted on behalf of the Corporation and no evidence of indebtedness shall be issued in its</w:t>
            </w:r>
          </w:p>
        </w:tc>
      </w:tr>
      <w:tr>
        <w:trPr>
          <w:trHeight w:val="20"/>
        </w:trPr>
        <w:tc>
          <w:tcPr>
            <w:tcW w:w="28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277"/>
        </w:trPr>
        <w:tc>
          <w:tcPr>
            <w:tcW w:w="11420" w:type="dxa"/>
            <w:vAlign w:val="bottom"/>
            <w:gridSpan w:val="5"/>
          </w:tcPr>
          <w:p>
            <w:pPr>
              <w:spacing w:after="0"/>
              <w:rPr>
                <w:sz w:val="20"/>
                <w:szCs w:val="20"/>
                <w:color w:val="auto"/>
              </w:rPr>
            </w:pPr>
            <w:r>
              <w:rPr>
                <w:rFonts w:ascii="Arial" w:cs="Arial" w:eastAsia="Arial" w:hAnsi="Arial"/>
                <w:sz w:val="18"/>
                <w:szCs w:val="18"/>
                <w:color w:val="auto"/>
              </w:rPr>
              <w:t>name unless authorized by the Board of Directors. Such authority may be general or confined to specific instances.</w:t>
            </w:r>
          </w:p>
        </w:tc>
      </w:tr>
      <w:tr>
        <w:trPr>
          <w:trHeight w:val="432"/>
        </w:trPr>
        <w:tc>
          <w:tcPr>
            <w:tcW w:w="2240" w:type="dxa"/>
            <w:vAlign w:val="bottom"/>
          </w:tcPr>
          <w:p>
            <w:pPr>
              <w:ind w:left="660"/>
              <w:spacing w:after="0"/>
              <w:rPr>
                <w:sz w:val="20"/>
                <w:szCs w:val="20"/>
                <w:color w:val="auto"/>
              </w:rPr>
            </w:pPr>
            <w:r>
              <w:rPr>
                <w:rFonts w:ascii="Arial" w:cs="Arial" w:eastAsia="Arial" w:hAnsi="Arial"/>
                <w:sz w:val="18"/>
                <w:szCs w:val="18"/>
                <w:b w:val="1"/>
                <w:bCs w:val="1"/>
                <w:color w:val="auto"/>
              </w:rPr>
              <w:t>Section 13.3</w:t>
            </w:r>
          </w:p>
        </w:tc>
        <w:tc>
          <w:tcPr>
            <w:tcW w:w="640" w:type="dxa"/>
            <w:vAlign w:val="bottom"/>
          </w:tcPr>
          <w:p>
            <w:pPr>
              <w:spacing w:after="0"/>
              <w:rPr>
                <w:sz w:val="24"/>
                <w:szCs w:val="24"/>
                <w:color w:val="auto"/>
              </w:rPr>
            </w:pPr>
          </w:p>
        </w:tc>
        <w:tc>
          <w:tcPr>
            <w:tcW w:w="8540" w:type="dxa"/>
            <w:vAlign w:val="bottom"/>
            <w:gridSpan w:val="3"/>
          </w:tcPr>
          <w:p>
            <w:pPr>
              <w:spacing w:after="0"/>
              <w:rPr>
                <w:sz w:val="20"/>
                <w:szCs w:val="20"/>
                <w:color w:val="auto"/>
              </w:rPr>
            </w:pPr>
            <w:r>
              <w:rPr>
                <w:rFonts w:ascii="Arial" w:cs="Arial" w:eastAsia="Arial" w:hAnsi="Arial"/>
                <w:sz w:val="18"/>
                <w:szCs w:val="18"/>
                <w:b w:val="1"/>
                <w:bCs w:val="1"/>
                <w:color w:val="auto"/>
                <w:w w:val="95"/>
              </w:rPr>
              <w:t xml:space="preserve">Checks, Drafts, Etc. </w:t>
            </w:r>
            <w:r>
              <w:rPr>
                <w:rFonts w:ascii="Arial" w:cs="Arial" w:eastAsia="Arial" w:hAnsi="Arial"/>
                <w:sz w:val="18"/>
                <w:szCs w:val="18"/>
                <w:color w:val="auto"/>
                <w:w w:val="95"/>
              </w:rPr>
              <w:t>All checks, drafts or other orders for the payment of money, or notes or other evidences of</w:t>
            </w: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indebtedness issued in the name of the Corporation shall be signed by such officer or agent as shall from time to time be authorized by the Board of Directors.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ind w:left="660"/>
              <w:spacing w:after="0"/>
              <w:rPr>
                <w:sz w:val="20"/>
                <w:szCs w:val="20"/>
                <w:color w:val="auto"/>
              </w:rPr>
            </w:pPr>
            <w:r>
              <w:rPr>
                <w:rFonts w:ascii="Arial" w:cs="Arial" w:eastAsia="Arial" w:hAnsi="Arial"/>
                <w:sz w:val="18"/>
                <w:szCs w:val="18"/>
                <w:b w:val="1"/>
                <w:bCs w:val="1"/>
                <w:color w:val="auto"/>
              </w:rPr>
              <w:t>Section 13.4</w:t>
            </w:r>
          </w:p>
        </w:tc>
        <w:tc>
          <w:tcPr>
            <w:tcW w:w="758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 xml:space="preserve">Deposits. </w:t>
            </w:r>
            <w:r>
              <w:rPr>
                <w:rFonts w:ascii="Arial" w:cs="Arial" w:eastAsia="Arial" w:hAnsi="Arial"/>
                <w:sz w:val="18"/>
                <w:szCs w:val="18"/>
                <w:color w:val="auto"/>
              </w:rPr>
              <w:t>The Board of Directors may select banks, trust companies or other depositaries</w:t>
            </w:r>
          </w:p>
        </w:tc>
        <w:tc>
          <w:tcPr>
            <w:tcW w:w="1320" w:type="dxa"/>
            <w:vAlign w:val="bottom"/>
          </w:tcPr>
          <w:p>
            <w:pPr>
              <w:ind w:left="40"/>
              <w:spacing w:after="0"/>
              <w:rPr>
                <w:sz w:val="20"/>
                <w:szCs w:val="20"/>
                <w:color w:val="auto"/>
              </w:rPr>
            </w:pPr>
            <w:r>
              <w:rPr>
                <w:rFonts w:ascii="Arial" w:cs="Arial" w:eastAsia="Arial" w:hAnsi="Arial"/>
                <w:sz w:val="18"/>
                <w:szCs w:val="18"/>
                <w:color w:val="auto"/>
              </w:rPr>
              <w:t>for the funds of</w:t>
            </w:r>
          </w:p>
        </w:tc>
        <w:tc>
          <w:tcPr>
            <w:tcW w:w="260" w:type="dxa"/>
            <w:vAlign w:val="bottom"/>
          </w:tcPr>
          <w:p>
            <w:pPr>
              <w:ind w:left="40"/>
              <w:spacing w:after="0"/>
              <w:rPr>
                <w:sz w:val="20"/>
                <w:szCs w:val="20"/>
                <w:color w:val="auto"/>
              </w:rPr>
            </w:pPr>
            <w:r>
              <w:rPr>
                <w:rFonts w:ascii="Arial" w:cs="Arial" w:eastAsia="Arial" w:hAnsi="Arial"/>
                <w:sz w:val="18"/>
                <w:szCs w:val="18"/>
                <w:color w:val="auto"/>
                <w:w w:val="79"/>
              </w:rPr>
              <w:t>the</w:t>
            </w:r>
          </w:p>
        </w:tc>
      </w:tr>
      <w:tr>
        <w:trPr>
          <w:trHeight w:val="277"/>
        </w:trPr>
        <w:tc>
          <w:tcPr>
            <w:tcW w:w="2260" w:type="dxa"/>
            <w:vAlign w:val="bottom"/>
          </w:tcPr>
          <w:p>
            <w:pPr>
              <w:spacing w:after="0"/>
              <w:rPr>
                <w:sz w:val="20"/>
                <w:szCs w:val="20"/>
                <w:color w:val="auto"/>
              </w:rPr>
            </w:pPr>
            <w:r>
              <w:rPr>
                <w:rFonts w:ascii="Arial" w:cs="Arial" w:eastAsia="Arial" w:hAnsi="Arial"/>
                <w:sz w:val="18"/>
                <w:szCs w:val="18"/>
                <w:color w:val="auto"/>
              </w:rPr>
              <w:t>Corporation.</w:t>
            </w:r>
          </w:p>
        </w:tc>
        <w:tc>
          <w:tcPr>
            <w:tcW w:w="6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2260" w:type="dxa"/>
            <w:vAlign w:val="bottom"/>
          </w:tcPr>
          <w:p>
            <w:pPr>
              <w:ind w:left="660"/>
              <w:spacing w:after="0"/>
              <w:rPr>
                <w:sz w:val="20"/>
                <w:szCs w:val="20"/>
                <w:color w:val="auto"/>
              </w:rPr>
            </w:pPr>
            <w:r>
              <w:rPr>
                <w:rFonts w:ascii="Arial" w:cs="Arial" w:eastAsia="Arial" w:hAnsi="Arial"/>
                <w:sz w:val="18"/>
                <w:szCs w:val="18"/>
                <w:b w:val="1"/>
                <w:bCs w:val="1"/>
                <w:color w:val="auto"/>
              </w:rPr>
              <w:t>Section 13.5</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8"/>
              </w:rPr>
              <w:t xml:space="preserve">Stock in Other Corporations. </w:t>
            </w:r>
            <w:r>
              <w:rPr>
                <w:rFonts w:ascii="Arial" w:cs="Arial" w:eastAsia="Arial" w:hAnsi="Arial"/>
                <w:sz w:val="18"/>
                <w:szCs w:val="18"/>
                <w:color w:val="auto"/>
                <w:w w:val="98"/>
              </w:rPr>
              <w:t>Shares of any other corporation which may from time to</w:t>
            </w:r>
          </w:p>
        </w:tc>
        <w:tc>
          <w:tcPr>
            <w:tcW w:w="1320" w:type="dxa"/>
            <w:vAlign w:val="bottom"/>
          </w:tcPr>
          <w:p>
            <w:pPr>
              <w:ind w:left="40"/>
              <w:spacing w:after="0"/>
              <w:rPr>
                <w:sz w:val="20"/>
                <w:szCs w:val="20"/>
                <w:color w:val="auto"/>
              </w:rPr>
            </w:pPr>
            <w:r>
              <w:rPr>
                <w:rFonts w:ascii="Arial" w:cs="Arial" w:eastAsia="Arial" w:hAnsi="Arial"/>
                <w:sz w:val="18"/>
                <w:szCs w:val="18"/>
                <w:color w:val="auto"/>
              </w:rPr>
              <w:t>time be held by</w:t>
            </w:r>
          </w:p>
        </w:tc>
        <w:tc>
          <w:tcPr>
            <w:tcW w:w="260" w:type="dxa"/>
            <w:vAlign w:val="bottom"/>
          </w:tcPr>
          <w:p>
            <w:pPr>
              <w:ind w:left="40"/>
              <w:spacing w:after="0"/>
              <w:rPr>
                <w:sz w:val="20"/>
                <w:szCs w:val="20"/>
                <w:color w:val="auto"/>
              </w:rPr>
            </w:pPr>
            <w:r>
              <w:rPr>
                <w:rFonts w:ascii="Arial" w:cs="Arial" w:eastAsia="Arial" w:hAnsi="Arial"/>
                <w:sz w:val="18"/>
                <w:szCs w:val="18"/>
                <w:color w:val="auto"/>
                <w:w w:val="79"/>
              </w:rPr>
              <w:t>the</w:t>
            </w:r>
          </w:p>
        </w:tc>
      </w:tr>
      <w:tr>
        <w:trPr>
          <w:trHeight w:val="20"/>
        </w:trPr>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Corporation may be represented and voted by the President, or by any proxy appointed in writing by or the President, or by any other person or persons thereunto authorized by the Board of Directors, at any meeting of stockholders of such corporation or by executing written consents with respect to such shares where stockholder action may be taken by written consent. Shares represented by certificates standing in the name of the Corporation may be endorsed for sale or transfer in the name of the Corporation by the President or by any other officer thereunto authorized by the Board of Directors Shares belonging to the Corporation need not stand in the name of the Corporation, but may be held for the benefit of the Corporation in the name of any nominee designated for such purpose by the Board of Directors.</w:t>
      </w:r>
    </w:p>
    <w:p>
      <w:pPr>
        <w:spacing w:after="0" w:line="189" w:lineRule="exact"/>
        <w:rPr>
          <w:sz w:val="20"/>
          <w:szCs w:val="20"/>
          <w:color w:val="auto"/>
        </w:rPr>
      </w:pPr>
    </w:p>
    <w:p>
      <w:pPr>
        <w:jc w:val="both"/>
        <w:ind w:firstLine="648"/>
        <w:spacing w:after="0" w:line="362" w:lineRule="auto"/>
        <w:rPr>
          <w:sz w:val="20"/>
          <w:szCs w:val="20"/>
          <w:color w:val="auto"/>
        </w:rPr>
      </w:pPr>
      <w:r>
        <w:rPr>
          <w:rFonts w:ascii="Arial" w:cs="Arial" w:eastAsia="Arial" w:hAnsi="Arial"/>
          <w:sz w:val="17"/>
          <w:szCs w:val="17"/>
          <w:b w:val="1"/>
          <w:bCs w:val="1"/>
          <w:color w:val="auto"/>
        </w:rPr>
        <w:t xml:space="preserve">Section 13.6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these By-laws, or its application of a provision to any person or circumstances, is</w:t>
      </w:r>
      <w:r>
        <w:rPr>
          <w:rFonts w:ascii="Arial" w:cs="Arial" w:eastAsia="Arial" w:hAnsi="Arial"/>
          <w:sz w:val="17"/>
          <w:szCs w:val="17"/>
          <w:b w:val="1"/>
          <w:bCs w:val="1"/>
          <w:color w:val="auto"/>
        </w:rPr>
        <w:t xml:space="preserve"> </w:t>
      </w:r>
      <w:r>
        <w:rPr>
          <w:rFonts w:ascii="Arial" w:cs="Arial" w:eastAsia="Arial" w:hAnsi="Arial"/>
          <w:sz w:val="17"/>
          <w:szCs w:val="17"/>
          <w:color w:val="auto"/>
        </w:rPr>
        <w:t>held invalid, the remainder of these By-laws and the application of such provision to other persons or circumstances shall not be affected by such invalidity.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provided in Section 3.16 hereof, these By-laws may be altered, amended or repealed and new by-laws may be adopted by the Board of Directors.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13</w:t>
      </w:r>
    </w:p>
    <w:p>
      <w:pPr>
        <w:sectPr>
          <w:pgSz w:w="11900" w:h="16838" w:orient="portrait"/>
          <w:cols w:equalWidth="0" w:num="1">
            <w:col w:w="11420"/>
          </w:cols>
          <w:pgMar w:left="240" w:top="81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This Seventh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April 14, 2017,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73" w:lineRule="auto"/>
        <w:tabs>
          <w:tab w:leader="none" w:pos="103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Borrower and the Lender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the Third Amendment to Amended and Restated Credit Agreement dated as of November 10, 2015, the Fourth Amendment to Amended and Restated Credit Agreement dated as of February 3, 2016, the Fifth Amendment to Amended and Restated Credit Agreement dated as of September 19, 2016 and the Sixth Amendment to Amended and Restated Credit Agreement dated as of January 18, 2017 (together, as amended, restated, supplemented, or otherwise modified prior to the date hereof, the “Credit Agreement”).</w:t>
      </w:r>
    </w:p>
    <w:p>
      <w:pPr>
        <w:spacing w:after="0" w:line="178" w:lineRule="exact"/>
        <w:rPr>
          <w:sz w:val="20"/>
          <w:szCs w:val="20"/>
          <w:color w:val="auto"/>
        </w:rPr>
      </w:pPr>
    </w:p>
    <w:p>
      <w:pPr>
        <w:ind w:firstLine="656"/>
        <w:spacing w:after="0" w:line="277" w:lineRule="auto"/>
        <w:tabs>
          <w:tab w:leader="none" w:pos="10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Borrower has requested that the Lender make certain amendments to the Credit Agreement and the Lender is willing to do so,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herein set forth and for other good and valuable consideration, the Borrower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agree as follows:</w:t>
      </w:r>
    </w:p>
    <w:p>
      <w:pPr>
        <w:spacing w:after="0" w:line="234" w:lineRule="exact"/>
        <w:rPr>
          <w:sz w:val="20"/>
          <w:szCs w:val="20"/>
          <w:color w:val="auto"/>
        </w:rPr>
      </w:pPr>
    </w:p>
    <w:p>
      <w:pPr>
        <w:ind w:left="660" w:firstLine="648"/>
        <w:spacing w:after="0" w:line="329"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herein and not otherwise defined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them in the Credit Agreement, unless the context shall otherwise require.</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Section 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8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The Credit Agreement is hereby amended as follows:</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0" w:type="dxa"/>
            <w:vAlign w:val="bottom"/>
            <w:gridSpan w:val="7"/>
          </w:tcPr>
          <w:p>
            <w:pPr>
              <w:spacing w:after="0"/>
              <w:rPr>
                <w:sz w:val="20"/>
                <w:szCs w:val="20"/>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Section 1.1 of the Credit Agreement is amended by:</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80" w:type="dxa"/>
            <w:vAlign w:val="bottom"/>
            <w:vMerge w:val="restart"/>
          </w:tcPr>
          <w:p>
            <w:pPr>
              <w:jc w:val="right"/>
              <w:ind w:right="170"/>
              <w:spacing w:after="0"/>
              <w:rPr>
                <w:sz w:val="20"/>
                <w:szCs w:val="20"/>
                <w:color w:val="auto"/>
              </w:rPr>
            </w:pPr>
            <w:r>
              <w:rPr>
                <w:rFonts w:ascii="Arial" w:cs="Arial" w:eastAsia="Arial" w:hAnsi="Arial"/>
                <w:sz w:val="18"/>
                <w:szCs w:val="18"/>
                <w:color w:val="auto"/>
              </w:rPr>
              <w:t>as follows:</w:t>
            </w: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w w:val="94"/>
              </w:rPr>
              <w:t>(a) Amending and restating the definition of “Revolving Commitment Amount” contained therein, to read in its entirety</w:t>
            </w: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680" w:type="dxa"/>
            <w:vAlign w:val="bottom"/>
          </w:tcPr>
          <w:p>
            <w:pPr>
              <w:spacing w:after="0"/>
              <w:rPr>
                <w:sz w:val="24"/>
                <w:szCs w:val="24"/>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w w:val="98"/>
              </w:rPr>
              <w:t>“Revolving Commitment Amount”: (i) for such period through and until April 30, 2017, $105,000,000, (ii) for such</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680" w:type="dxa"/>
            <w:vAlign w:val="bottom"/>
          </w:tcPr>
          <w:p>
            <w:pPr>
              <w:spacing w:after="0"/>
              <w:rPr>
                <w:sz w:val="19"/>
                <w:szCs w:val="19"/>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w w:val="92"/>
              </w:rPr>
              <w:t>period beginning May 1, 2017 and continuing until July 30, 2017, $95,000,000 and (iii) for such period beginning August</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w w:val="93"/>
              </w:rPr>
              <w:t>1, 2017 and continuing thereafter, $85,000,000, or such increased amount as agreed to between the Borrower and the</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rPr>
              <w:t>Bank from time to time pursuant to Section 2.22 of this Agreement.</w:t>
            </w:r>
          </w:p>
        </w:tc>
        <w:tc>
          <w:tcPr>
            <w:tcW w:w="0" w:type="dxa"/>
            <w:vAlign w:val="bottom"/>
          </w:tcPr>
          <w:p>
            <w:pPr>
              <w:spacing w:after="0"/>
              <w:rPr>
                <w:sz w:val="1"/>
                <w:szCs w:val="1"/>
                <w:color w:val="auto"/>
              </w:rPr>
            </w:pPr>
          </w:p>
        </w:tc>
      </w:tr>
      <w:tr>
        <w:trPr>
          <w:trHeight w:val="432"/>
        </w:trPr>
        <w:tc>
          <w:tcPr>
            <w:tcW w:w="1680" w:type="dxa"/>
            <w:vAlign w:val="bottom"/>
          </w:tcPr>
          <w:p>
            <w:pPr>
              <w:spacing w:after="0"/>
              <w:rPr>
                <w:sz w:val="24"/>
                <w:szCs w:val="24"/>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w w:val="93"/>
              </w:rPr>
              <w:t>(b) Amending and restating the definition of “Consolidated EBITDA” contained therein, to read in its entirety as follows:</w:t>
            </w:r>
          </w:p>
        </w:tc>
        <w:tc>
          <w:tcPr>
            <w:tcW w:w="0" w:type="dxa"/>
            <w:vAlign w:val="bottom"/>
          </w:tcPr>
          <w:p>
            <w:pPr>
              <w:spacing w:after="0"/>
              <w:rPr>
                <w:sz w:val="1"/>
                <w:szCs w:val="1"/>
                <w:color w:val="auto"/>
              </w:rPr>
            </w:pPr>
          </w:p>
        </w:tc>
      </w:tr>
      <w:tr>
        <w:trPr>
          <w:trHeight w:val="419"/>
        </w:trPr>
        <w:tc>
          <w:tcPr>
            <w:tcW w:w="1680" w:type="dxa"/>
            <w:vAlign w:val="bottom"/>
          </w:tcPr>
          <w:p>
            <w:pPr>
              <w:spacing w:after="0"/>
              <w:rPr>
                <w:sz w:val="24"/>
                <w:szCs w:val="24"/>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rPr>
              <w:t>“Consolidated EBITDA”: For any period of determination, on a consolidated basis for the Borrower and without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80" w:type="dxa"/>
            <w:vAlign w:val="bottom"/>
          </w:tcPr>
          <w:p>
            <w:pPr>
              <w:spacing w:after="0"/>
              <w:rPr>
                <w:sz w:val="24"/>
                <w:szCs w:val="24"/>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w w:val="94"/>
              </w:rPr>
              <w:t>duplication, the net income of the Borrower plus income taxes, plus Consolidated Interest Expense, plus depreciation</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w w:val="95"/>
              </w:rPr>
              <w:t>expense, plus amortization expense, plus non-cash stock based compensation, plus extraordinary losses and minus</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9080" w:type="dxa"/>
            <w:vAlign w:val="bottom"/>
            <w:gridSpan w:val="9"/>
          </w:tcPr>
          <w:p>
            <w:pPr>
              <w:ind w:left="260"/>
              <w:spacing w:after="0"/>
              <w:rPr>
                <w:sz w:val="20"/>
                <w:szCs w:val="20"/>
                <w:color w:val="auto"/>
              </w:rPr>
            </w:pPr>
            <w:r>
              <w:rPr>
                <w:rFonts w:ascii="Arial" w:cs="Arial" w:eastAsia="Arial" w:hAnsi="Arial"/>
                <w:sz w:val="18"/>
                <w:szCs w:val="18"/>
                <w:color w:val="auto"/>
              </w:rPr>
              <w:t>extraordinary gains, all as determined in accordance with GAAP.</w:t>
            </w:r>
          </w:p>
        </w:tc>
        <w:tc>
          <w:tcPr>
            <w:tcW w:w="0" w:type="dxa"/>
            <w:vAlign w:val="bottom"/>
          </w:tcPr>
          <w:p>
            <w:pPr>
              <w:spacing w:after="0"/>
              <w:rPr>
                <w:sz w:val="1"/>
                <w:szCs w:val="1"/>
                <w:color w:val="auto"/>
              </w:rPr>
            </w:pPr>
          </w:p>
        </w:tc>
      </w:tr>
      <w:tr>
        <w:trPr>
          <w:trHeight w:val="432"/>
        </w:trPr>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Section 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80" w:type="dxa"/>
            <w:vAlign w:val="bottom"/>
            <w:gridSpan w:val="6"/>
          </w:tcPr>
          <w:p>
            <w:pPr>
              <w:spacing w:after="0"/>
              <w:rPr>
                <w:sz w:val="20"/>
                <w:szCs w:val="20"/>
                <w:color w:val="auto"/>
              </w:rPr>
            </w:pPr>
            <w:r>
              <w:rPr>
                <w:rFonts w:ascii="Arial" w:cs="Arial" w:eastAsia="Arial" w:hAnsi="Arial"/>
                <w:sz w:val="18"/>
                <w:szCs w:val="18"/>
                <w:b w:val="1"/>
                <w:bCs w:val="1"/>
                <w:color w:val="auto"/>
                <w:w w:val="91"/>
              </w:rPr>
              <w:t xml:space="preserve">Conditions and Effectiveness. </w:t>
            </w:r>
            <w:r>
              <w:rPr>
                <w:rFonts w:ascii="Arial" w:cs="Arial" w:eastAsia="Arial" w:hAnsi="Arial"/>
                <w:sz w:val="18"/>
                <w:szCs w:val="18"/>
                <w:color w:val="auto"/>
                <w:w w:val="91"/>
              </w:rPr>
              <w:t>This Amendment shall become effective only upon satisfaction of the following</w:t>
            </w:r>
          </w:p>
        </w:tc>
        <w:tc>
          <w:tcPr>
            <w:tcW w:w="0" w:type="dxa"/>
            <w:vAlign w:val="bottom"/>
          </w:tcPr>
          <w:p>
            <w:pPr>
              <w:spacing w:after="0"/>
              <w:rPr>
                <w:sz w:val="1"/>
                <w:szCs w:val="1"/>
                <w:color w:val="auto"/>
              </w:rPr>
            </w:pPr>
          </w:p>
        </w:tc>
      </w:tr>
      <w:tr>
        <w:trPr>
          <w:trHeight w:val="277"/>
        </w:trPr>
        <w:tc>
          <w:tcPr>
            <w:tcW w:w="1680" w:type="dxa"/>
            <w:vAlign w:val="bottom"/>
          </w:tcPr>
          <w:p>
            <w:pPr>
              <w:jc w:val="right"/>
              <w:ind w:right="790"/>
              <w:spacing w:after="0"/>
              <w:rPr>
                <w:sz w:val="20"/>
                <w:szCs w:val="20"/>
                <w:color w:val="auto"/>
              </w:rPr>
            </w:pPr>
            <w:r>
              <w:rPr>
                <w:rFonts w:ascii="Arial" w:cs="Arial" w:eastAsia="Arial" w:hAnsi="Arial"/>
                <w:sz w:val="18"/>
                <w:szCs w:val="18"/>
                <w:color w:val="auto"/>
                <w:w w:val="90"/>
              </w:rPr>
              <w:t>conditions: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24"/>
                <w:szCs w:val="24"/>
                <w:color w:val="auto"/>
              </w:rPr>
            </w:pPr>
          </w:p>
        </w:tc>
        <w:tc>
          <w:tcPr>
            <w:tcW w:w="8740" w:type="dxa"/>
            <w:vAlign w:val="bottom"/>
            <w:gridSpan w:val="8"/>
          </w:tcPr>
          <w:p>
            <w:pPr>
              <w:ind w:left="140"/>
              <w:spacing w:after="0"/>
              <w:rPr>
                <w:sz w:val="20"/>
                <w:szCs w:val="20"/>
                <w:color w:val="auto"/>
              </w:rPr>
            </w:pPr>
            <w:r>
              <w:rPr>
                <w:rFonts w:ascii="Arial" w:cs="Arial" w:eastAsia="Arial" w:hAnsi="Arial"/>
                <w:sz w:val="18"/>
                <w:szCs w:val="18"/>
                <w:color w:val="auto"/>
              </w:rPr>
              <w:t>The Borrower shall have duly executed and delivered to the Lender this Amendment.</w:t>
            </w:r>
          </w:p>
        </w:tc>
        <w:tc>
          <w:tcPr>
            <w:tcW w:w="0" w:type="dxa"/>
            <w:vAlign w:val="bottom"/>
          </w:tcPr>
          <w:p>
            <w:pPr>
              <w:spacing w:after="0"/>
              <w:rPr>
                <w:sz w:val="1"/>
                <w:szCs w:val="1"/>
                <w:color w:val="auto"/>
              </w:rPr>
            </w:pPr>
          </w:p>
        </w:tc>
      </w:tr>
      <w:tr>
        <w:trPr>
          <w:trHeight w:val="473"/>
        </w:trPr>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4"/>
                <w:szCs w:val="24"/>
                <w:color w:val="auto"/>
              </w:rPr>
            </w:pPr>
          </w:p>
        </w:tc>
        <w:tc>
          <w:tcPr>
            <w:tcW w:w="8740" w:type="dxa"/>
            <w:vAlign w:val="bottom"/>
            <w:gridSpan w:val="8"/>
          </w:tcPr>
          <w:p>
            <w:pPr>
              <w:ind w:left="140"/>
              <w:spacing w:after="0"/>
              <w:rPr>
                <w:sz w:val="20"/>
                <w:szCs w:val="20"/>
                <w:color w:val="auto"/>
              </w:rPr>
            </w:pPr>
            <w:r>
              <w:rPr>
                <w:rFonts w:ascii="Arial" w:cs="Arial" w:eastAsia="Arial" w:hAnsi="Arial"/>
                <w:sz w:val="18"/>
                <w:szCs w:val="18"/>
                <w:color w:val="auto"/>
                <w:w w:val="91"/>
              </w:rPr>
              <w:t>The Borrower shall have delivered to the Lender a certification by the Secretary or Assistant Secretary of the Borrower</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20"/>
        <w:spacing w:after="0" w:line="324" w:lineRule="auto"/>
        <w:rPr>
          <w:sz w:val="20"/>
          <w:szCs w:val="20"/>
          <w:color w:val="auto"/>
        </w:rPr>
      </w:pPr>
      <w:r>
        <w:rPr>
          <w:rFonts w:ascii="Arial" w:cs="Arial" w:eastAsia="Arial" w:hAnsi="Arial"/>
          <w:sz w:val="18"/>
          <w:szCs w:val="18"/>
          <w:color w:val="auto"/>
        </w:rPr>
        <w:t>certifying as to (i) true and complete copies of the Borrower’s Restated Certificate of Incorporation and Amended and Restated Bylaws attached thereto, (ii) resolutions of the Borrower’s Board of</w:t>
      </w:r>
    </w:p>
    <w:p>
      <w:pPr>
        <w:sectPr>
          <w:pgSz w:w="11900" w:h="16838" w:orient="portrait"/>
          <w:cols w:equalWidth="0" w:num="1">
            <w:col w:w="11420"/>
          </w:cols>
          <w:pgMar w:left="240" w:top="580" w:right="239" w:bottom="1440" w:gutter="0" w:footer="0" w:header="0"/>
        </w:sectPr>
      </w:pPr>
    </w:p>
    <w:bookmarkStart w:id="48" w:name="page49"/>
    <w:bookmarkEnd w:id="48"/>
    <w:p>
      <w:pPr>
        <w:jc w:val="both"/>
        <w:ind w:left="560"/>
        <w:spacing w:after="0" w:line="311" w:lineRule="auto"/>
        <w:rPr>
          <w:sz w:val="20"/>
          <w:szCs w:val="20"/>
          <w:color w:val="auto"/>
        </w:rPr>
      </w:pPr>
      <w:r>
        <w:rPr>
          <w:rFonts w:ascii="Arial" w:cs="Arial" w:eastAsia="Arial" w:hAnsi="Arial"/>
          <w:sz w:val="18"/>
          <w:szCs w:val="18"/>
          <w:color w:val="auto"/>
        </w:rPr>
        <w:t>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77" w:lineRule="exact"/>
        <w:rPr>
          <w:sz w:val="20"/>
          <w:szCs w:val="20"/>
          <w:color w:val="auto"/>
        </w:rPr>
      </w:pPr>
    </w:p>
    <w:p>
      <w:pPr>
        <w:jc w:val="both"/>
        <w:ind w:left="560" w:firstLine="648"/>
        <w:spacing w:after="0" w:line="32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Borrower shall have satisfied any other conditions as specified by the Lender, including payment of all unpaid</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incurred by the Lender through the date of this Amendment in connection with the Credit Agreement.</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Section 4.</w:t>
            </w:r>
          </w:p>
        </w:tc>
        <w:tc>
          <w:tcPr>
            <w:tcW w:w="8600" w:type="dxa"/>
            <w:vAlign w:val="bottom"/>
            <w:gridSpan w:val="2"/>
          </w:tcPr>
          <w:p>
            <w:pPr>
              <w:ind w:left="520"/>
              <w:spacing w:after="0"/>
              <w:rPr>
                <w:sz w:val="20"/>
                <w:szCs w:val="20"/>
                <w:color w:val="auto"/>
              </w:rPr>
            </w:pPr>
            <w:r>
              <w:rPr>
                <w:rFonts w:ascii="Arial" w:cs="Arial" w:eastAsia="Arial" w:hAnsi="Arial"/>
                <w:sz w:val="18"/>
                <w:szCs w:val="18"/>
                <w:b w:val="1"/>
                <w:bCs w:val="1"/>
                <w:color w:val="auto"/>
              </w:rPr>
              <w:t>Representations, Warranties, Authority, No Adverse Claim.</w:t>
            </w:r>
          </w:p>
        </w:tc>
      </w:tr>
      <w:tr>
        <w:trPr>
          <w:trHeight w:val="432"/>
        </w:trPr>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4.1</w:t>
            </w: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Reassertion of Representations and Warranties, No Default. </w:t>
            </w:r>
            <w:r>
              <w:rPr>
                <w:rFonts w:ascii="Arial" w:cs="Arial" w:eastAsia="Arial" w:hAnsi="Arial"/>
                <w:sz w:val="18"/>
                <w:szCs w:val="18"/>
                <w:color w:val="auto"/>
                <w:w w:val="90"/>
              </w:rPr>
              <w:t>The Borrower hereby represents that on and as of the</w:t>
            </w:r>
          </w:p>
        </w:tc>
      </w:tr>
      <w:tr>
        <w:trPr>
          <w:trHeight w:val="20"/>
        </w:trPr>
        <w:tc>
          <w:tcPr>
            <w:tcW w:w="152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560"/>
        <w:spacing w:after="0" w:line="306" w:lineRule="auto"/>
        <w:rPr>
          <w:sz w:val="20"/>
          <w:szCs w:val="20"/>
          <w:color w:val="auto"/>
        </w:rPr>
      </w:pPr>
      <w:r>
        <w:rPr>
          <w:rFonts w:ascii="Arial" w:cs="Arial" w:eastAsia="Arial" w:hAnsi="Arial"/>
          <w:sz w:val="18"/>
          <w:szCs w:val="18"/>
          <w:color w:val="auto"/>
        </w:rPr>
        <w:t>date hereof and 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pacing w:after="0" w:line="183" w:lineRule="exact"/>
        <w:rPr>
          <w:sz w:val="20"/>
          <w:szCs w:val="20"/>
          <w:color w:val="auto"/>
        </w:rPr>
      </w:pPr>
    </w:p>
    <w:p>
      <w:pPr>
        <w:ind w:left="1200"/>
        <w:spacing w:after="0"/>
        <w:tabs>
          <w:tab w:leader="none" w:pos="21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Authority, No Conflict, No Consent Required, Enforceability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Borrower represents and warrants that the</w:t>
      </w:r>
    </w:p>
    <w:p>
      <w:pPr>
        <w:spacing w:after="0" w:line="54" w:lineRule="exact"/>
        <w:rPr>
          <w:sz w:val="20"/>
          <w:szCs w:val="20"/>
          <w:color w:val="auto"/>
        </w:rPr>
      </w:pPr>
    </w:p>
    <w:p>
      <w:pPr>
        <w:jc w:val="both"/>
        <w:ind w:left="560"/>
        <w:spacing w:after="0" w:line="339" w:lineRule="auto"/>
        <w:rPr>
          <w:sz w:val="20"/>
          <w:szCs w:val="20"/>
          <w:color w:val="auto"/>
        </w:rPr>
      </w:pPr>
      <w:r>
        <w:rPr>
          <w:rFonts w:ascii="Arial" w:cs="Arial" w:eastAsia="Arial" w:hAnsi="Arial"/>
          <w:sz w:val="16"/>
          <w:szCs w:val="16"/>
          <w:color w:val="auto"/>
        </w:rPr>
        <w:t>Borrower has the power and legal right and authority to enter into this Amendment and any other instrument or agreement executed by the Borrower in connection with this Amendment (collectively, the “</w:t>
      </w:r>
      <w:r>
        <w:rPr>
          <w:rFonts w:ascii="Arial" w:cs="Arial" w:eastAsia="Arial" w:hAnsi="Arial"/>
          <w:sz w:val="16"/>
          <w:szCs w:val="16"/>
          <w:u w:val="single" w:color="auto"/>
          <w:color w:val="auto"/>
        </w:rPr>
        <w:t>Amendment Documents</w:t>
      </w:r>
      <w:r>
        <w:rPr>
          <w:rFonts w:ascii="Arial" w:cs="Arial" w:eastAsia="Arial" w:hAnsi="Arial"/>
          <w:sz w:val="16"/>
          <w:szCs w:val="16"/>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63" w:lineRule="exact"/>
        <w:rPr>
          <w:sz w:val="20"/>
          <w:szCs w:val="20"/>
          <w:color w:val="auto"/>
        </w:rPr>
      </w:pPr>
    </w:p>
    <w:p>
      <w:pPr>
        <w:ind w:left="560" w:right="220" w:firstLine="648"/>
        <w:spacing w:after="0" w:line="338"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No Adverse Claim</w:t>
      </w:r>
      <w:r>
        <w:rPr>
          <w:rFonts w:ascii="Arial" w:cs="Arial" w:eastAsia="Arial" w:hAnsi="Arial"/>
          <w:sz w:val="17"/>
          <w:szCs w:val="17"/>
          <w:color w:val="auto"/>
        </w:rPr>
        <w:t>. The Borrower warrants, acknowledges and agrees that no events have taken place and no</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exist at the date hereof which would give the Borrower a basis to assert a defense, offset or counterclaim to any claim of the Lender with respect to the Borrower’s obligations under the Credit Agreement as amended by this Amendment.</w:t>
      </w:r>
    </w:p>
    <w:p>
      <w:pPr>
        <w:spacing w:after="0" w:line="160" w:lineRule="exact"/>
        <w:rPr>
          <w:sz w:val="20"/>
          <w:szCs w:val="20"/>
          <w:color w:val="auto"/>
        </w:rPr>
      </w:pPr>
    </w:p>
    <w:p>
      <w:pPr>
        <w:ind w:left="640"/>
        <w:spacing w:after="0"/>
        <w:tabs>
          <w:tab w:leader="none" w:pos="26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Affirmation of Credit Agreement, Further References, Affirmation of Security Interest.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Lender and the 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205"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Merger and Integration, Superseding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from and after the date hereof, embodies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between the parties hereto and supersedes and has merged into</w:t>
      </w:r>
    </w:p>
    <w:p>
      <w:pPr>
        <w:sectPr>
          <w:pgSz w:w="11900" w:h="16838" w:orient="portrait"/>
          <w:cols w:equalWidth="0" w:num="1">
            <w:col w:w="10760"/>
          </w:cols>
          <w:pgMar w:left="900" w:top="611" w:right="239" w:bottom="1440" w:gutter="0" w:footer="0" w:header="0"/>
        </w:sectPr>
      </w:pPr>
    </w:p>
    <w:bookmarkStart w:id="49" w:name="page50"/>
    <w:bookmarkEnd w:id="49"/>
    <w:p>
      <w:pPr>
        <w:jc w:val="both"/>
        <w:spacing w:after="0" w:line="324" w:lineRule="auto"/>
        <w:rPr>
          <w:sz w:val="20"/>
          <w:szCs w:val="20"/>
          <w:color w:val="auto"/>
        </w:rPr>
      </w:pPr>
      <w:r>
        <w:rPr>
          <w:rFonts w:ascii="Arial" w:cs="Arial" w:eastAsia="Arial" w:hAnsi="Arial"/>
          <w:sz w:val="18"/>
          <w:szCs w:val="18"/>
          <w:color w:val="auto"/>
        </w:rPr>
        <w:t>this Amendment all prior oral and written agreements on the same subjects by and between the parties hereto with the effect that this Amendment shall control with respect to the specific subjects hereof and thereof.</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Amendment and any other statement,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85"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This Amendment shall be binding upon the Borrower and the Lender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and shall inure to the benefit of the Borrower and the Lender and the successors and assigns of the Lender.</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Legal Expenses</w:t>
      </w:r>
      <w:r>
        <w:rPr>
          <w:rFonts w:ascii="Arial" w:cs="Arial" w:eastAsia="Arial" w:hAnsi="Arial"/>
          <w:sz w:val="18"/>
          <w:szCs w:val="18"/>
          <w:color w:val="auto"/>
        </w:rPr>
        <w:t>. As provided in Section 8.2 of the Credit Agreement, the Borrower agrees to pay or reimburse</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 upon 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pacing w:after="0" w:line="185" w:lineRule="exact"/>
        <w:rPr>
          <w:sz w:val="20"/>
          <w:szCs w:val="20"/>
          <w:color w:val="auto"/>
        </w:rPr>
      </w:pPr>
    </w:p>
    <w:p>
      <w:pPr>
        <w:jc w:val="both"/>
        <w:ind w:right="20" w:firstLine="648"/>
        <w:spacing w:after="0" w:line="329"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various sections of this Amendment have been inserted for reference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a part of this Amendment.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several counterparts as deemed necessary or convenient,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7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AMENDMENT DOCUMENTS SHALL BE GOVERNED BY THE INTERNAL LAWS OF THE STATE OF CALIFORNIA, WITHOUT GIVING EFFECT TO CONFLICT OF LAW PRINCIPLES THEREOF, BUT GIVING EFFECT TO FEDERAL LAWS APPLICABLE TO NATIONAL BANKS, THEIR HOLDING COMPANIES AND THEIR AFFILIATES.</w:t>
      </w:r>
    </w:p>
    <w:p>
      <w:pPr>
        <w:sectPr>
          <w:pgSz w:w="11900" w:h="16838" w:orient="portrait"/>
          <w:cols w:equalWidth="0" w:num="1">
            <w:col w:w="10760"/>
          </w:cols>
          <w:pgMar w:left="900" w:top="611"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33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UNIVERSAL ELECTRONICS INC.</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U.S. BANK NATIONAL ASSOCIATION</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Andrew Williams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Seventh Amendment to Amended and Restated Credit Agreement]</w:t>
      </w:r>
    </w:p>
    <w:p>
      <w:pPr>
        <w:sectPr>
          <w:pgSz w:w="11900" w:h="16838" w:orient="portrait"/>
          <w:cols w:equalWidth="0" w:num="1">
            <w:col w:w="11400"/>
          </w:cols>
          <w:pgMar w:left="240" w:top="800" w:right="259" w:bottom="1440" w:gutter="0" w:footer="0" w:header="0"/>
        </w:sectPr>
      </w:pPr>
    </w:p>
    <w:bookmarkStart w:id="51" w:name="page52"/>
    <w:bookmarkEnd w:id="51"/>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Eighth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May 5, 2017,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55" w:lineRule="auto"/>
        <w:tabs>
          <w:tab w:leader="none" w:pos="10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and the Lender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the Third Amendment to Amended and Restated Credit Agreement dated as of November 10, 2015, the Fourth Amendment to Amended and Restated Credit Agreement dated as of February 3, 2016, the Fifth Amendment to Amended and Restated Credit Agreement dated as of September 19, 2016, the Sixth Amendment to Amended and Restated Credit Agreement dated as of January 18, 2017 and the Seventh Amendment to Amended and Restated Credit Agreement dated as of April 14, 2017 (together, as amended, restated, supplemented, or otherwise modified prior to the date hereof, the “Credit Agreement”).</w:t>
      </w:r>
    </w:p>
    <w:p>
      <w:pPr>
        <w:spacing w:after="0" w:line="189" w:lineRule="exact"/>
        <w:rPr>
          <w:sz w:val="20"/>
          <w:szCs w:val="20"/>
          <w:color w:val="auto"/>
        </w:rPr>
      </w:pPr>
    </w:p>
    <w:p>
      <w:pPr>
        <w:ind w:firstLine="656"/>
        <w:spacing w:after="0" w:line="277" w:lineRule="auto"/>
        <w:tabs>
          <w:tab w:leader="none" w:pos="10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Borrower has requested that the Lender make certain amendments to the Credit Agreement and the Lender is willing to do so,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herein set forth and for other good and valuable consideration, the Borrower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agree as follows:</w:t>
      </w:r>
    </w:p>
    <w:p>
      <w:pPr>
        <w:spacing w:after="0" w:line="234" w:lineRule="exact"/>
        <w:rPr>
          <w:sz w:val="20"/>
          <w:szCs w:val="20"/>
          <w:color w:val="auto"/>
        </w:rPr>
      </w:pPr>
    </w:p>
    <w:p>
      <w:pPr>
        <w:ind w:left="660" w:firstLine="648"/>
        <w:spacing w:after="0" w:line="329"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herein and not otherwise defined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them in the Credit Agreement, unless the context shall otherwise require.</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80" w:type="dxa"/>
            <w:vAlign w:val="bottom"/>
          </w:tcPr>
          <w:p>
            <w:pPr>
              <w:ind w:left="640"/>
              <w:spacing w:after="0"/>
              <w:rPr>
                <w:sz w:val="20"/>
                <w:szCs w:val="20"/>
                <w:color w:val="auto"/>
              </w:rPr>
            </w:pPr>
            <w:r>
              <w:rPr>
                <w:rFonts w:ascii="Arial" w:cs="Arial" w:eastAsia="Arial" w:hAnsi="Arial"/>
                <w:sz w:val="18"/>
                <w:szCs w:val="18"/>
                <w:b w:val="1"/>
                <w:bCs w:val="1"/>
                <w:color w:val="auto"/>
              </w:rPr>
              <w:t>Section 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8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The Credit Agreement is hereby amended as follows:</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80" w:type="dxa"/>
            <w:vAlign w:val="bottom"/>
          </w:tcPr>
          <w:p>
            <w:pPr>
              <w:ind w:left="1220"/>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0" w:type="dxa"/>
            <w:vAlign w:val="bottom"/>
            <w:gridSpan w:val="6"/>
          </w:tcPr>
          <w:p>
            <w:pPr>
              <w:spacing w:after="0"/>
              <w:rPr>
                <w:sz w:val="20"/>
                <w:szCs w:val="20"/>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Section 1.1 of the Credit Agreement is amended by:</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80" w:type="dxa"/>
            <w:vAlign w:val="bottom"/>
            <w:vMerge w:val="restart"/>
          </w:tcPr>
          <w:p>
            <w:pPr>
              <w:ind w:left="640"/>
              <w:spacing w:after="0"/>
              <w:rPr>
                <w:sz w:val="20"/>
                <w:szCs w:val="20"/>
                <w:color w:val="auto"/>
              </w:rPr>
            </w:pPr>
            <w:r>
              <w:rPr>
                <w:rFonts w:ascii="Arial" w:cs="Arial" w:eastAsia="Arial" w:hAnsi="Arial"/>
                <w:sz w:val="18"/>
                <w:szCs w:val="18"/>
                <w:color w:val="auto"/>
              </w:rPr>
              <w:t>as follows:</w:t>
            </w:r>
          </w:p>
        </w:tc>
        <w:tc>
          <w:tcPr>
            <w:tcW w:w="9080" w:type="dxa"/>
            <w:vAlign w:val="bottom"/>
            <w:gridSpan w:val="8"/>
          </w:tcPr>
          <w:p>
            <w:pPr>
              <w:ind w:left="260"/>
              <w:spacing w:after="0"/>
              <w:rPr>
                <w:sz w:val="20"/>
                <w:szCs w:val="20"/>
                <w:color w:val="auto"/>
              </w:rPr>
            </w:pPr>
            <w:r>
              <w:rPr>
                <w:rFonts w:ascii="Arial" w:cs="Arial" w:eastAsia="Arial" w:hAnsi="Arial"/>
                <w:sz w:val="18"/>
                <w:szCs w:val="18"/>
                <w:color w:val="auto"/>
                <w:w w:val="94"/>
              </w:rPr>
              <w:t>(a) Amending and restating the definition of “Revolving Commitment Amount” contained therein, to read in its entirety</w:t>
            </w: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680" w:type="dxa"/>
            <w:vAlign w:val="bottom"/>
          </w:tcPr>
          <w:p>
            <w:pPr>
              <w:spacing w:after="0"/>
              <w:rPr>
                <w:sz w:val="24"/>
                <w:szCs w:val="24"/>
                <w:color w:val="auto"/>
              </w:rPr>
            </w:pPr>
          </w:p>
        </w:tc>
        <w:tc>
          <w:tcPr>
            <w:tcW w:w="9080" w:type="dxa"/>
            <w:vAlign w:val="bottom"/>
            <w:gridSpan w:val="8"/>
          </w:tcPr>
          <w:p>
            <w:pPr>
              <w:ind w:left="260"/>
              <w:spacing w:after="0"/>
              <w:rPr>
                <w:sz w:val="20"/>
                <w:szCs w:val="20"/>
                <w:color w:val="auto"/>
              </w:rPr>
            </w:pPr>
            <w:r>
              <w:rPr>
                <w:rFonts w:ascii="Arial" w:cs="Arial" w:eastAsia="Arial" w:hAnsi="Arial"/>
                <w:sz w:val="18"/>
                <w:szCs w:val="18"/>
                <w:color w:val="auto"/>
                <w:w w:val="92"/>
              </w:rPr>
              <w:t>“Revolving Commitment Amount”: $115,000,000, or such increased amount as agreed to between the Borrower and the</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80" w:type="dxa"/>
            <w:vAlign w:val="bottom"/>
          </w:tcPr>
          <w:p>
            <w:pPr>
              <w:spacing w:after="0"/>
              <w:rPr>
                <w:sz w:val="20"/>
                <w:szCs w:val="20"/>
                <w:color w:val="auto"/>
              </w:rPr>
            </w:pPr>
          </w:p>
        </w:tc>
        <w:tc>
          <w:tcPr>
            <w:tcW w:w="9080" w:type="dxa"/>
            <w:vAlign w:val="bottom"/>
            <w:gridSpan w:val="8"/>
          </w:tcPr>
          <w:p>
            <w:pPr>
              <w:ind w:left="260"/>
              <w:spacing w:after="0"/>
              <w:rPr>
                <w:sz w:val="20"/>
                <w:szCs w:val="20"/>
                <w:color w:val="auto"/>
              </w:rPr>
            </w:pPr>
            <w:r>
              <w:rPr>
                <w:rFonts w:ascii="Arial" w:cs="Arial" w:eastAsia="Arial" w:hAnsi="Arial"/>
                <w:sz w:val="18"/>
                <w:szCs w:val="18"/>
                <w:color w:val="auto"/>
              </w:rPr>
              <w:t>Bank from time to time pursuant to Section 2.22 of this Agreement.</w:t>
            </w:r>
          </w:p>
        </w:tc>
        <w:tc>
          <w:tcPr>
            <w:tcW w:w="0" w:type="dxa"/>
            <w:vAlign w:val="bottom"/>
          </w:tcPr>
          <w:p>
            <w:pPr>
              <w:spacing w:after="0"/>
              <w:rPr>
                <w:sz w:val="1"/>
                <w:szCs w:val="1"/>
                <w:color w:val="auto"/>
              </w:rPr>
            </w:pPr>
          </w:p>
        </w:tc>
      </w:tr>
      <w:tr>
        <w:trPr>
          <w:trHeight w:val="419"/>
        </w:trPr>
        <w:tc>
          <w:tcPr>
            <w:tcW w:w="1680" w:type="dxa"/>
            <w:vAlign w:val="bottom"/>
          </w:tcPr>
          <w:p>
            <w:pPr>
              <w:ind w:left="640"/>
              <w:spacing w:after="0"/>
              <w:rPr>
                <w:sz w:val="20"/>
                <w:szCs w:val="20"/>
                <w:color w:val="auto"/>
              </w:rPr>
            </w:pPr>
            <w:r>
              <w:rPr>
                <w:rFonts w:ascii="Arial" w:cs="Arial" w:eastAsia="Arial" w:hAnsi="Arial"/>
                <w:sz w:val="18"/>
                <w:szCs w:val="18"/>
                <w:b w:val="1"/>
                <w:bCs w:val="1"/>
                <w:color w:val="auto"/>
              </w:rPr>
              <w:t>Section 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80" w:type="dxa"/>
            <w:vAlign w:val="bottom"/>
            <w:gridSpan w:val="5"/>
          </w:tcPr>
          <w:p>
            <w:pPr>
              <w:spacing w:after="0"/>
              <w:rPr>
                <w:sz w:val="20"/>
                <w:szCs w:val="20"/>
                <w:color w:val="auto"/>
              </w:rPr>
            </w:pPr>
            <w:r>
              <w:rPr>
                <w:rFonts w:ascii="Arial" w:cs="Arial" w:eastAsia="Arial" w:hAnsi="Arial"/>
                <w:sz w:val="18"/>
                <w:szCs w:val="18"/>
                <w:b w:val="1"/>
                <w:bCs w:val="1"/>
                <w:color w:val="auto"/>
                <w:w w:val="91"/>
              </w:rPr>
              <w:t xml:space="preserve">Conditions and Effectiveness. </w:t>
            </w:r>
            <w:r>
              <w:rPr>
                <w:rFonts w:ascii="Arial" w:cs="Arial" w:eastAsia="Arial" w:hAnsi="Arial"/>
                <w:sz w:val="18"/>
                <w:szCs w:val="18"/>
                <w:color w:val="auto"/>
                <w:w w:val="91"/>
              </w:rPr>
              <w:t>This Amendment shall become effective only upon satisfaction of the following</w:t>
            </w: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0"/>
                <w:szCs w:val="20"/>
                <w:color w:val="auto"/>
              </w:rPr>
            </w:pPr>
            <w:r>
              <w:rPr>
                <w:rFonts w:ascii="Arial" w:cs="Arial" w:eastAsia="Arial" w:hAnsi="Arial"/>
                <w:sz w:val="18"/>
                <w:szCs w:val="18"/>
                <w:color w:val="auto"/>
              </w:rPr>
              <w:t>conditions: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80" w:type="dxa"/>
            <w:vAlign w:val="bottom"/>
          </w:tcPr>
          <w:p>
            <w:pPr>
              <w:ind w:left="1200"/>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24"/>
                <w:szCs w:val="24"/>
                <w:color w:val="auto"/>
              </w:rPr>
            </w:pPr>
          </w:p>
        </w:tc>
        <w:tc>
          <w:tcPr>
            <w:tcW w:w="8740" w:type="dxa"/>
            <w:vAlign w:val="bottom"/>
            <w:gridSpan w:val="7"/>
          </w:tcPr>
          <w:p>
            <w:pPr>
              <w:ind w:left="140"/>
              <w:spacing w:after="0"/>
              <w:rPr>
                <w:sz w:val="20"/>
                <w:szCs w:val="20"/>
                <w:color w:val="auto"/>
              </w:rPr>
            </w:pPr>
            <w:r>
              <w:rPr>
                <w:rFonts w:ascii="Arial" w:cs="Arial" w:eastAsia="Arial" w:hAnsi="Arial"/>
                <w:sz w:val="18"/>
                <w:szCs w:val="18"/>
                <w:color w:val="auto"/>
              </w:rPr>
              <w:t>The Borrower shall have duly executed and delivered to the Lender this Amendment.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1220" w:firstLine="648"/>
        <w:spacing w:after="0" w:line="329"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The Borrower shall have satisfied any other conditions as specified by the Lender, including payment of all unpaid</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incurred by the Lender through the date of this Amendment in connection with the Credit Agreement.</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Section 4.</w:t>
            </w:r>
          </w:p>
        </w:tc>
        <w:tc>
          <w:tcPr>
            <w:tcW w:w="8600" w:type="dxa"/>
            <w:vAlign w:val="bottom"/>
            <w:gridSpan w:val="2"/>
          </w:tcPr>
          <w:p>
            <w:pPr>
              <w:ind w:left="520"/>
              <w:spacing w:after="0"/>
              <w:rPr>
                <w:sz w:val="20"/>
                <w:szCs w:val="20"/>
                <w:color w:val="auto"/>
              </w:rPr>
            </w:pPr>
            <w:r>
              <w:rPr>
                <w:rFonts w:ascii="Arial" w:cs="Arial" w:eastAsia="Arial" w:hAnsi="Arial"/>
                <w:sz w:val="18"/>
                <w:szCs w:val="18"/>
                <w:b w:val="1"/>
                <w:bCs w:val="1"/>
                <w:color w:val="auto"/>
              </w:rPr>
              <w:t>Representations, Warranties, Authority, No Adverse Claim.</w:t>
            </w:r>
          </w:p>
        </w:tc>
      </w:tr>
      <w:tr>
        <w:trPr>
          <w:trHeight w:val="432"/>
        </w:trPr>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4.1</w:t>
            </w: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Reassertion of Representations and Warranties, No Default. </w:t>
            </w:r>
            <w:r>
              <w:rPr>
                <w:rFonts w:ascii="Arial" w:cs="Arial" w:eastAsia="Arial" w:hAnsi="Arial"/>
                <w:sz w:val="18"/>
                <w:szCs w:val="18"/>
                <w:color w:val="auto"/>
                <w:w w:val="90"/>
              </w:rPr>
              <w:t>The Borrower hereby represents that on and as of the</w:t>
            </w:r>
          </w:p>
        </w:tc>
      </w:tr>
      <w:tr>
        <w:trPr>
          <w:trHeight w:val="20"/>
        </w:trPr>
        <w:tc>
          <w:tcPr>
            <w:tcW w:w="152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220"/>
        <w:spacing w:after="0" w:line="306" w:lineRule="auto"/>
        <w:rPr>
          <w:sz w:val="20"/>
          <w:szCs w:val="20"/>
          <w:color w:val="auto"/>
        </w:rPr>
      </w:pPr>
      <w:r>
        <w:rPr>
          <w:rFonts w:ascii="Arial" w:cs="Arial" w:eastAsia="Arial" w:hAnsi="Arial"/>
          <w:sz w:val="18"/>
          <w:szCs w:val="18"/>
          <w:color w:val="auto"/>
        </w:rPr>
        <w:t>date hereof and 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ectPr>
          <w:pgSz w:w="11900" w:h="16838" w:orient="portrait"/>
          <w:cols w:equalWidth="0" w:num="1">
            <w:col w:w="11420"/>
          </w:cols>
          <w:pgMar w:left="240" w:top="580" w:right="239" w:bottom="1440" w:gutter="0" w:footer="0" w:header="0"/>
        </w:sectPr>
      </w:pPr>
    </w:p>
    <w:bookmarkStart w:id="52" w:name="page53"/>
    <w:bookmarkEnd w:id="52"/>
    <w:p>
      <w:pPr>
        <w:ind w:left="1200"/>
        <w:spacing w:after="0"/>
        <w:tabs>
          <w:tab w:leader="none" w:pos="21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u w:val="single" w:color="auto"/>
          <w:color w:val="auto"/>
        </w:rPr>
        <w:t>Authority, No Conflict, No Consent Required, Enforceability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The Borrower represents and warrants that the</w:t>
      </w:r>
    </w:p>
    <w:p>
      <w:pPr>
        <w:spacing w:after="0" w:line="54" w:lineRule="exact"/>
        <w:rPr>
          <w:sz w:val="20"/>
          <w:szCs w:val="20"/>
          <w:color w:val="auto"/>
        </w:rPr>
      </w:pPr>
    </w:p>
    <w:p>
      <w:pPr>
        <w:jc w:val="both"/>
        <w:ind w:left="560"/>
        <w:spacing w:after="0" w:line="339" w:lineRule="auto"/>
        <w:rPr>
          <w:sz w:val="20"/>
          <w:szCs w:val="20"/>
          <w:color w:val="auto"/>
        </w:rPr>
      </w:pPr>
      <w:r>
        <w:rPr>
          <w:rFonts w:ascii="Arial" w:cs="Arial" w:eastAsia="Arial" w:hAnsi="Arial"/>
          <w:sz w:val="16"/>
          <w:szCs w:val="16"/>
          <w:color w:val="auto"/>
        </w:rPr>
        <w:t>Borrower has the power and legal right and authority to enter into this Amendment and any other instrument or agreement executed by the Borrower in connection with this Amendment (collectively, the “</w:t>
      </w:r>
      <w:r>
        <w:rPr>
          <w:rFonts w:ascii="Arial" w:cs="Arial" w:eastAsia="Arial" w:hAnsi="Arial"/>
          <w:sz w:val="16"/>
          <w:szCs w:val="16"/>
          <w:u w:val="single" w:color="auto"/>
          <w:color w:val="auto"/>
        </w:rPr>
        <w:t>Amendment Documents</w:t>
      </w:r>
      <w:r>
        <w:rPr>
          <w:rFonts w:ascii="Arial" w:cs="Arial" w:eastAsia="Arial" w:hAnsi="Arial"/>
          <w:sz w:val="16"/>
          <w:szCs w:val="16"/>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63" w:lineRule="exact"/>
        <w:rPr>
          <w:sz w:val="20"/>
          <w:szCs w:val="20"/>
          <w:color w:val="auto"/>
        </w:rPr>
      </w:pPr>
    </w:p>
    <w:p>
      <w:pPr>
        <w:ind w:left="560" w:right="220" w:firstLine="648"/>
        <w:spacing w:after="0" w:line="338"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No Adverse Claim</w:t>
      </w:r>
      <w:r>
        <w:rPr>
          <w:rFonts w:ascii="Arial" w:cs="Arial" w:eastAsia="Arial" w:hAnsi="Arial"/>
          <w:sz w:val="17"/>
          <w:szCs w:val="17"/>
          <w:color w:val="auto"/>
        </w:rPr>
        <w:t>. The Borrower warrants, acknowledges and agrees that no events have taken place and no</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exist at the date hereof which would give the Borrower a basis to assert a defense, offset or counterclaim to any claim of the Lender with respect to the Borrower’s obligations under the Credit Agreement as amended by this Amendment.</w:t>
      </w:r>
    </w:p>
    <w:p>
      <w:pPr>
        <w:spacing w:after="0" w:line="160" w:lineRule="exact"/>
        <w:rPr>
          <w:sz w:val="20"/>
          <w:szCs w:val="20"/>
          <w:color w:val="auto"/>
        </w:rPr>
      </w:pPr>
    </w:p>
    <w:p>
      <w:pPr>
        <w:ind w:left="640"/>
        <w:spacing w:after="0"/>
        <w:tabs>
          <w:tab w:leader="none" w:pos="26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Affirmation of Credit Agreement, Further References, Affirmation of Security Interest.</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Lender and the 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ectPr>
          <w:pgSz w:w="11900" w:h="16838" w:orient="portrait"/>
          <w:cols w:equalWidth="0" w:num="1">
            <w:col w:w="10760"/>
          </w:cols>
          <w:pgMar w:left="900" w:top="607" w:right="239" w:bottom="1440" w:gutter="0" w:footer="0" w:header="0"/>
        </w:sectPr>
      </w:pPr>
    </w:p>
    <w:bookmarkStart w:id="53" w:name="page54"/>
    <w:bookmarkEnd w:id="53"/>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Merger and Integration, Superseding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from and after the date hereof, embodies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Amendment and any other statement,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85"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This Amendment shall be binding upon the Borrower and the Lender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and shall inure to the benefit of the Borrower and the Lender and the successors and assigns of the Lender.</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Legal Expenses</w:t>
      </w:r>
      <w:r>
        <w:rPr>
          <w:rFonts w:ascii="Arial" w:cs="Arial" w:eastAsia="Arial" w:hAnsi="Arial"/>
          <w:sz w:val="18"/>
          <w:szCs w:val="18"/>
          <w:color w:val="auto"/>
        </w:rPr>
        <w:t>. As provided in Section 8.2 of the Credit Agreement, the Borrower agrees to pay or reimburse</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 upon 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pacing w:after="0" w:line="185" w:lineRule="exact"/>
        <w:rPr>
          <w:sz w:val="20"/>
          <w:szCs w:val="20"/>
          <w:color w:val="auto"/>
        </w:rPr>
      </w:pPr>
    </w:p>
    <w:p>
      <w:pPr>
        <w:jc w:val="both"/>
        <w:ind w:right="20" w:firstLine="648"/>
        <w:spacing w:after="0" w:line="329"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various sections of this Amendment have been inserted for reference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a part of this Amendment.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several counterparts as deemed necessary or convenient,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7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AMENDMENT DOCUMENTS SHALL BE GOVERNED BY THE INTERNAL LAWS OF THE STATE OF CALIFORNIA, WITHOUT GIVING EFFECT TO CONFLICT OF LAW PRINCIPLES THEREOF, BUT GIVING EFFECT TO FEDERAL LAWS APPLICABLE TO NATIONAL BANKS, THEIR HOLDING COMPANIES AND THEIR AFFILIATES.</w:t>
      </w:r>
    </w:p>
    <w:p>
      <w:pPr>
        <w:sectPr>
          <w:pgSz w:w="11900" w:h="16838" w:orient="portrait"/>
          <w:cols w:equalWidth="0" w:num="1">
            <w:col w:w="10760"/>
          </w:cols>
          <w:pgMar w:left="900" w:top="607" w:right="239" w:bottom="1440" w:gutter="0" w:footer="0" w:header="0"/>
        </w:sectPr>
      </w:pPr>
    </w:p>
    <w:bookmarkStart w:id="54" w:name="page55"/>
    <w:bookmarkEnd w:id="54"/>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33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UNIVERSAL ELECTRONICS INC.</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U.S. BANK NATIONAL ASSOCIATION</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Andrew Williams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Eighth Amendment to Amended and Restated Credit Agreement]</w:t>
      </w:r>
    </w:p>
    <w:p>
      <w:pPr>
        <w:sectPr>
          <w:pgSz w:w="11900" w:h="16838" w:orient="portrait"/>
          <w:cols w:equalWidth="0" w:num="1">
            <w:col w:w="11400"/>
          </w:cols>
          <w:pgMar w:left="240" w:top="1440"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2017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32"/>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lvl w:ilvl="1">
      <w:lvlJc w:val="left"/>
      <w:lvlText w:val="(%2)"/>
      <w:numFmt w:val="decimal"/>
      <w:start w:val="1"/>
    </w:lvl>
  </w:abstractNum>
  <w:abstractNum w:abstractNumId="19">
    <w:nsid w:val="75A2A8D4"/>
    <w:multiLevelType w:val="hybridMultilevel"/>
    <w:lvl w:ilvl="0">
      <w:lvlJc w:val="left"/>
      <w:lvlText w:val="(%1)"/>
      <w:numFmt w:val="lowerLetter"/>
      <w:start w:val="2"/>
    </w:lvl>
    <w:lvl w:ilvl="1">
      <w:lvlJc w:val="left"/>
      <w:lvlText w:val="%2"/>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6"/>
    </w:lvl>
  </w:abstractNum>
  <w:abstractNum w:abstractNumId="22">
    <w:nsid w:val="4353D0CD"/>
    <w:multiLevelType w:val="hybridMultilevel"/>
    <w:lvl w:ilvl="0">
      <w:lvlJc w:val="left"/>
      <w:lvlText w:val="%1."/>
      <w:numFmt w:val="upperLetter"/>
      <w:start w:val="1"/>
    </w:lvl>
  </w:abstractNum>
  <w:abstractNum w:abstractNumId="23">
    <w:nsid w:val="B03E0C6"/>
    <w:multiLevelType w:val="hybridMultilevel"/>
    <w:lvl w:ilvl="0">
      <w:lvlJc w:val="left"/>
      <w:lvlText w:val="%1."/>
      <w:numFmt w:val="upperLetter"/>
      <w:start w:val="3"/>
    </w:lvl>
  </w:abstractNum>
  <w:abstractNum w:abstractNumId="24">
    <w:nsid w:val="189A769B"/>
    <w:multiLevelType w:val="hybridMultilevel"/>
    <w:lvl w:ilvl="0">
      <w:lvlJc w:val="left"/>
      <w:lvlText w:val="%1."/>
      <w:numFmt w:val="upperLetter"/>
      <w:start w:val="1"/>
    </w:lvl>
  </w:abstractNum>
  <w:abstractNum w:abstractNumId="25">
    <w:nsid w:val="54E49EB4"/>
    <w:multiLevelType w:val="hybridMultilevel"/>
    <w:lvl w:ilvl="0">
      <w:lvlJc w:val="left"/>
      <w:lvlText w:val="%1."/>
      <w:numFmt w:val="upperLetter"/>
      <w:start w:val="3"/>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2019-12-29T05:54:03Z</dcterms:created>
  <dcterms:modified xsi:type="dcterms:W3CDTF">2019-12-29T05:54:03Z</dcterms:modified>
</cp:coreProperties>
</file>