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480"/>
        <w:spacing w:after="0"/>
        <w:tabs>
          <w:tab w:leader="none" w:pos="6640" w:val="left"/>
          <w:tab w:leader="none" w:pos="7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0-21044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UNIVERSAL ELECTRONICS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4340" w:type="dxa"/>
            <w:vAlign w:val="bottom"/>
          </w:tcPr>
          <w:p>
            <w:pPr>
              <w:jc w:val="center"/>
              <w:ind w:right="1962"/>
              <w:spacing w:after="0"/>
              <w:rPr>
                <w:sz w:val="20"/>
                <w:szCs w:val="20"/>
                <w:color w:val="auto"/>
              </w:rPr>
            </w:pPr>
            <w:r>
              <w:rPr>
                <w:rFonts w:ascii="Arial" w:cs="Arial" w:eastAsia="Arial" w:hAnsi="Arial"/>
                <w:sz w:val="18"/>
                <w:szCs w:val="18"/>
                <w:b w:val="1"/>
                <w:bCs w:val="1"/>
                <w:color w:val="auto"/>
                <w:w w:val="88"/>
              </w:rPr>
              <w:t>Delaware</w:t>
            </w:r>
          </w:p>
        </w:tc>
        <w:tc>
          <w:tcPr>
            <w:tcW w:w="3100" w:type="dxa"/>
            <w:vAlign w:val="bottom"/>
          </w:tcPr>
          <w:p>
            <w:pPr>
              <w:jc w:val="right"/>
              <w:ind w:right="24"/>
              <w:spacing w:after="0"/>
              <w:rPr>
                <w:sz w:val="20"/>
                <w:szCs w:val="20"/>
                <w:color w:val="auto"/>
              </w:rPr>
            </w:pPr>
            <w:r>
              <w:rPr>
                <w:rFonts w:ascii="Arial" w:cs="Arial" w:eastAsia="Arial" w:hAnsi="Arial"/>
                <w:sz w:val="18"/>
                <w:szCs w:val="18"/>
                <w:b w:val="1"/>
                <w:bCs w:val="1"/>
                <w:color w:val="auto"/>
              </w:rPr>
              <w:t>33-0204817</w:t>
            </w:r>
          </w:p>
        </w:tc>
      </w:tr>
      <w:tr>
        <w:trPr>
          <w:trHeight w:val="149"/>
        </w:trPr>
        <w:tc>
          <w:tcPr>
            <w:tcW w:w="434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100" w:type="dxa"/>
            <w:vAlign w:val="bottom"/>
          </w:tcPr>
          <w:p>
            <w:pPr>
              <w:jc w:val="center"/>
              <w:ind w:left="19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340" w:type="dxa"/>
            <w:vAlign w:val="bottom"/>
          </w:tcPr>
          <w:p>
            <w:pPr>
              <w:jc w:val="center"/>
              <w:ind w:right="1942"/>
              <w:spacing w:after="0"/>
              <w:rPr>
                <w:sz w:val="20"/>
                <w:szCs w:val="20"/>
                <w:color w:val="auto"/>
              </w:rPr>
            </w:pPr>
            <w:r>
              <w:rPr>
                <w:rFonts w:ascii="Arial" w:cs="Arial" w:eastAsia="Arial" w:hAnsi="Arial"/>
                <w:sz w:val="14"/>
                <w:szCs w:val="14"/>
                <w:b w:val="1"/>
                <w:bCs w:val="1"/>
                <w:color w:val="auto"/>
                <w:w w:val="89"/>
              </w:rPr>
              <w:t>of Incorporation or Organization)</w:t>
            </w:r>
          </w:p>
        </w:tc>
        <w:tc>
          <w:tcPr>
            <w:tcW w:w="3100" w:type="dxa"/>
            <w:vAlign w:val="bottom"/>
          </w:tcPr>
          <w:p>
            <w:pPr>
              <w:jc w:val="center"/>
              <w:ind w:left="196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340" w:type="dxa"/>
            <w:vAlign w:val="bottom"/>
          </w:tcPr>
          <w:p>
            <w:pPr>
              <w:jc w:val="center"/>
              <w:ind w:right="1942"/>
              <w:spacing w:after="0"/>
              <w:rPr>
                <w:sz w:val="20"/>
                <w:szCs w:val="20"/>
                <w:color w:val="auto"/>
              </w:rPr>
            </w:pPr>
            <w:r>
              <w:rPr>
                <w:rFonts w:ascii="Arial" w:cs="Arial" w:eastAsia="Arial" w:hAnsi="Arial"/>
                <w:sz w:val="18"/>
                <w:szCs w:val="18"/>
                <w:b w:val="1"/>
                <w:bCs w:val="1"/>
                <w:color w:val="auto"/>
                <w:w w:val="89"/>
              </w:rPr>
              <w:t>6101 Gateway Drive</w:t>
            </w:r>
          </w:p>
        </w:tc>
        <w:tc>
          <w:tcPr>
            <w:tcW w:w="3100" w:type="dxa"/>
            <w:vAlign w:val="bottom"/>
          </w:tcPr>
          <w:p>
            <w:pPr>
              <w:spacing w:after="0"/>
              <w:rPr>
                <w:sz w:val="24"/>
                <w:szCs w:val="24"/>
                <w:color w:val="auto"/>
              </w:rPr>
            </w:pPr>
          </w:p>
        </w:tc>
      </w:tr>
      <w:tr>
        <w:trPr>
          <w:trHeight w:val="218"/>
        </w:trPr>
        <w:tc>
          <w:tcPr>
            <w:tcW w:w="4340" w:type="dxa"/>
            <w:vAlign w:val="bottom"/>
          </w:tcPr>
          <w:p>
            <w:pPr>
              <w:jc w:val="center"/>
              <w:ind w:right="1962"/>
              <w:spacing w:after="0"/>
              <w:rPr>
                <w:sz w:val="20"/>
                <w:szCs w:val="20"/>
                <w:color w:val="auto"/>
              </w:rPr>
            </w:pPr>
            <w:r>
              <w:rPr>
                <w:rFonts w:ascii="Arial" w:cs="Arial" w:eastAsia="Arial" w:hAnsi="Arial"/>
                <w:sz w:val="18"/>
                <w:szCs w:val="18"/>
                <w:b w:val="1"/>
                <w:bCs w:val="1"/>
                <w:color w:val="auto"/>
                <w:w w:val="88"/>
              </w:rPr>
              <w:t>Cypress, California</w:t>
            </w:r>
          </w:p>
        </w:tc>
        <w:tc>
          <w:tcPr>
            <w:tcW w:w="3100" w:type="dxa"/>
            <w:vAlign w:val="bottom"/>
          </w:tcPr>
          <w:p>
            <w:pPr>
              <w:jc w:val="right"/>
              <w:ind w:right="224"/>
              <w:spacing w:after="0"/>
              <w:rPr>
                <w:sz w:val="20"/>
                <w:szCs w:val="20"/>
                <w:color w:val="auto"/>
              </w:rPr>
            </w:pPr>
            <w:r>
              <w:rPr>
                <w:rFonts w:ascii="Arial" w:cs="Arial" w:eastAsia="Arial" w:hAnsi="Arial"/>
                <w:sz w:val="18"/>
                <w:szCs w:val="18"/>
                <w:b w:val="1"/>
                <w:bCs w:val="1"/>
                <w:color w:val="auto"/>
              </w:rPr>
              <w:t>90630</w:t>
            </w:r>
          </w:p>
        </w:tc>
      </w:tr>
      <w:tr>
        <w:trPr>
          <w:trHeight w:val="174"/>
        </w:trPr>
        <w:tc>
          <w:tcPr>
            <w:tcW w:w="4340" w:type="dxa"/>
            <w:vAlign w:val="bottom"/>
          </w:tcPr>
          <w:p>
            <w:pPr>
              <w:jc w:val="center"/>
              <w:ind w:right="19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100" w:type="dxa"/>
            <w:vAlign w:val="bottom"/>
          </w:tcPr>
          <w:p>
            <w:pPr>
              <w:jc w:val="center"/>
              <w:ind w:left="196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right="24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70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702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40" w:type="dxa"/>
            <w:vAlign w:val="bottom"/>
          </w:tcPr>
          <w:p>
            <w:pPr>
              <w:ind w:left="8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8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by Rule 12b-2 of the Exchange Act).  Yes </w:t>
            </w:r>
            <w:r>
              <w:rPr>
                <w:rFonts w:ascii="MS PGothic" w:cs="MS PGothic" w:eastAsia="MS PGothic" w:hAnsi="MS PGothic"/>
                <w:sz w:val="18"/>
                <w:szCs w:val="18"/>
                <w:color w:val="auto"/>
                <w:w w:val="90"/>
              </w:rPr>
              <w:t>☐</w:t>
            </w:r>
          </w:p>
        </w:tc>
        <w:tc>
          <w:tcPr>
            <w:tcW w:w="22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14,982,666 shares of Common Stock, par value $0.01 per share, of the registrant were outstanding on August 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40" w:type="dxa"/>
            <w:vAlign w:val="bottom"/>
            <w:gridSpan w:val="4"/>
          </w:tcPr>
          <w:p>
            <w:pPr>
              <w:jc w:val="center"/>
              <w:ind w:right="3500"/>
              <w:spacing w:after="0"/>
              <w:rPr>
                <w:sz w:val="20"/>
                <w:szCs w:val="20"/>
                <w:color w:val="auto"/>
              </w:rPr>
            </w:pPr>
            <w:r>
              <w:rPr>
                <w:rFonts w:ascii="Arial" w:cs="Arial" w:eastAsia="Arial" w:hAnsi="Arial"/>
                <w:sz w:val="18"/>
                <w:szCs w:val="18"/>
                <w:b w:val="1"/>
                <w:bCs w:val="1"/>
                <w:color w:val="auto"/>
                <w:w w:val="98"/>
              </w:rPr>
              <w:t>UNIVERSAL ELECTRONICS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gridSpan w:val="2"/>
          </w:tcPr>
          <w:p>
            <w:pPr>
              <w:jc w:val="center"/>
              <w:ind w:right="4420"/>
              <w:spacing w:after="0"/>
              <w:rPr>
                <w:sz w:val="20"/>
                <w:szCs w:val="20"/>
                <w:color w:val="auto"/>
              </w:rPr>
            </w:pPr>
            <w:r>
              <w:rPr>
                <w:rFonts w:ascii="Arial" w:cs="Arial" w:eastAsia="Arial" w:hAnsi="Arial"/>
                <w:sz w:val="18"/>
                <w:szCs w:val="18"/>
                <w:b w:val="1"/>
                <w:bCs w:val="1"/>
                <w:color w:val="auto"/>
              </w:rPr>
              <w:t>INDEX</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820" w:type="dxa"/>
            <w:vAlign w:val="bottom"/>
            <w:gridSpan w:val="11"/>
            <w:vMerge w:val="restart"/>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8220" w:type="dxa"/>
            <w:vAlign w:val="bottom"/>
            <w:gridSpan w:val="8"/>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2820" w:type="dxa"/>
            <w:vAlign w:val="bottom"/>
            <w:tcBorders>
              <w:bottom w:val="single" w:sz="8" w:color="0000EE"/>
            </w:tcBorders>
            <w:gridSpan w:val="11"/>
            <w:vMerge w:val="continue"/>
          </w:tcPr>
          <w:p>
            <w:pPr>
              <w:spacing w:after="0"/>
              <w:rPr>
                <w:sz w:val="13"/>
                <w:szCs w:val="13"/>
                <w:color w:val="auto"/>
              </w:rPr>
            </w:pPr>
          </w:p>
        </w:tc>
        <w:tc>
          <w:tcPr>
            <w:tcW w:w="8220" w:type="dxa"/>
            <w:vAlign w:val="bottom"/>
            <w:gridSpan w:val="8"/>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Item 1. Consolidated Financial Statements (Unaudited)</w:t>
              </w:r>
            </w:hyperlink>
          </w:p>
        </w:tc>
        <w:tc>
          <w:tcPr>
            <w:tcW w:w="7160" w:type="dxa"/>
            <w:vAlign w:val="bottom"/>
            <w:gridSpan w:val="5"/>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4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Consolidated Balance Sheets</w:t>
              </w:r>
            </w:hyperlink>
          </w:p>
        </w:tc>
        <w:tc>
          <w:tcPr>
            <w:tcW w:w="85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Income Statements</w:t>
              </w:r>
            </w:hyperlink>
          </w:p>
        </w:tc>
        <w:tc>
          <w:tcPr>
            <w:tcW w:w="828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Comprehensive Income Statements</w:t>
              </w:r>
            </w:hyperlink>
          </w:p>
        </w:tc>
        <w:tc>
          <w:tcPr>
            <w:tcW w:w="71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Statements of Cash Flows</w:t>
              </w:r>
            </w:hyperlink>
          </w:p>
        </w:tc>
        <w:tc>
          <w:tcPr>
            <w:tcW w:w="78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3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the Consolidated Financial Statements</w:t>
              </w:r>
            </w:hyperlink>
          </w:p>
        </w:tc>
        <w:tc>
          <w:tcPr>
            <w:tcW w:w="72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8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3. Quantitative and Qualitative Disclosures About Market Risk</w:t>
              </w:r>
            </w:hyperlink>
          </w:p>
        </w:tc>
        <w:tc>
          <w:tcPr>
            <w:tcW w:w="2020" w:type="dxa"/>
            <w:vAlign w:val="bottom"/>
            <w:tcBorders>
              <w:top w:val="single" w:sz="8" w:color="0000EE"/>
            </w:tcBorders>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Item 4. Controls and Procedures</w:t>
              </w:r>
            </w:hyperlink>
          </w:p>
        </w:tc>
        <w:tc>
          <w:tcPr>
            <w:tcW w:w="87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PART II. OTHER INFORMATION</w:t>
              </w:r>
            </w:hyperlink>
          </w:p>
        </w:tc>
        <w:tc>
          <w:tcPr>
            <w:tcW w:w="852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Item 1. Legal Proceedings</w:t>
              </w:r>
            </w:hyperlink>
          </w:p>
        </w:tc>
        <w:tc>
          <w:tcPr>
            <w:tcW w:w="91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Item 1A. Risk Factors</w:t>
              </w:r>
            </w:hyperlink>
          </w:p>
        </w:tc>
        <w:tc>
          <w:tcPr>
            <w:tcW w:w="948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Item 2. Unregistered Sales of Equity Securities and Use of Proceeds</w:t>
              </w:r>
            </w:hyperlink>
          </w:p>
        </w:tc>
        <w:tc>
          <w:tcPr>
            <w:tcW w:w="62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6. Exhibits</w:t>
              </w:r>
            </w:hyperlink>
          </w:p>
        </w:tc>
        <w:tc>
          <w:tcPr>
            <w:tcW w:w="990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Signature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8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Exhibit Index</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83"/>
        </w:trPr>
        <w:tc>
          <w:tcPr>
            <w:tcW w:w="960" w:type="dxa"/>
            <w:vAlign w:val="bottom"/>
            <w:tcBorders>
              <w:top w:val="single" w:sz="8" w:color="0000EE"/>
            </w:tcBorders>
            <w:gridSpan w:val="3"/>
          </w:tcPr>
          <w:p>
            <w:pPr>
              <w:spacing w:after="0"/>
              <w:rPr>
                <w:sz w:val="24"/>
                <w:szCs w:val="24"/>
                <w:color w:val="auto"/>
              </w:rPr>
            </w:pPr>
          </w:p>
        </w:tc>
        <w:tc>
          <w:tcPr>
            <w:tcW w:w="5880" w:type="dxa"/>
            <w:vAlign w:val="bottom"/>
            <w:gridSpan w:val="15"/>
          </w:tcPr>
          <w:p>
            <w:pPr>
              <w:jc w:val="center"/>
              <w:ind w:left="3552"/>
              <w:spacing w:after="0"/>
              <w:rPr>
                <w:sz w:val="20"/>
                <w:szCs w:val="20"/>
                <w:color w:val="auto"/>
              </w:rPr>
            </w:pPr>
            <w:r>
              <w:rPr>
                <w:rFonts w:ascii="Arial" w:cs="Arial" w:eastAsia="Arial" w:hAnsi="Arial"/>
                <w:sz w:val="18"/>
                <w:szCs w:val="18"/>
                <w:color w:val="auto"/>
                <w:w w:val="79"/>
              </w:rPr>
              <w:t>2</w:t>
            </w:r>
          </w:p>
        </w:tc>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9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ind w:left="418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29,372</w:t>
            </w: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86,017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82,184</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90,904</w:t>
            </w: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3,773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3,045</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204,862</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212,063</w:t>
            </w: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80,449</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30,795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30,820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32,814</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5,285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5,350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358,294</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369,488</w:t>
            </w: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80" w:type="dxa"/>
            <w:vAlign w:val="bottom"/>
            <w:shd w:val="clear" w:color="auto" w:fill="CCEEFF"/>
          </w:tcPr>
          <w:p>
            <w:pPr>
              <w:ind w:left="260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55,430</w:t>
            </w: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Line of credit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payable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14,400</w:t>
            </w: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Accrued sales discounts, rebates and royalties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6,317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6,544</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5,707</w:t>
            </w: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Accrued compensation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29,629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29,204</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23"/>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Other accrued expenses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8,156</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105,491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127,302</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11,056</w:t>
            </w: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Income tax payable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1,136</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119,380</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139,499</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5,000,000 shares authorized; none issued or outstanding</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w w:val="90"/>
              </w:rPr>
              <w:t>Common stock, $0.01 par value, 50,000,000 shares authorized; 21,331,074 and 21,142,915 shares issued on June 30, 2012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and December 31, 2011, respectively</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177,496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173,701</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160,801</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154,016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337,955</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328,866</w:t>
            </w:r>
          </w:p>
        </w:tc>
      </w:tr>
      <w:tr>
        <w:trPr>
          <w:trHeight w:val="209"/>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Less cost of common stock in treasury, 6,358,515 and 6,353,035 shares on June 30, 2012 and December 31, 2011,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(99,041)</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(98,877)</w:t>
            </w:r>
          </w:p>
        </w:tc>
      </w:tr>
      <w:tr>
        <w:trPr>
          <w:trHeight w:val="230"/>
        </w:trPr>
        <w:tc>
          <w:tcPr>
            <w:tcW w:w="20" w:type="dxa"/>
            <w:vAlign w:val="bottom"/>
          </w:tcPr>
          <w:p>
            <w:pPr>
              <w:spacing w:after="0"/>
              <w:rPr>
                <w:sz w:val="20"/>
                <w:szCs w:val="20"/>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238,914</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229,989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358,294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369,488</w:t>
            </w: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116,704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121,746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220,436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83,734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159,139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164,935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61,297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62,523</w:t>
            </w:r>
          </w:p>
        </w:tc>
        <w:tc>
          <w:tcPr>
            <w:tcW w:w="0" w:type="dxa"/>
            <w:vAlign w:val="bottom"/>
          </w:tcPr>
          <w:p>
            <w:pPr>
              <w:spacing w:after="0"/>
              <w:rPr>
                <w:sz w:val="1"/>
                <w:szCs w:val="1"/>
                <w:color w:val="auto"/>
              </w:rPr>
            </w:pPr>
          </w:p>
        </w:tc>
      </w:tr>
      <w:tr>
        <w:trPr>
          <w:trHeight w:val="322"/>
        </w:trPr>
        <w:tc>
          <w:tcPr>
            <w:tcW w:w="76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3,424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3,157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6,887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6,466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8,310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8,778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10,845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7,948</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14,933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14,904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7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0"/>
              </w:rPr>
              <w:t>Three Months Ended</w:t>
            </w:r>
          </w:p>
        </w:tc>
        <w:tc>
          <w:tcPr>
            <w:tcW w:w="154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8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6"/>
              </w:rPr>
              <w:t>$ 6,121</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$ 6,785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foreign currency translation adjustment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rPr>
              <w:t>(2,421)</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1,494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2,732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$ 7,615</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$ 5,292</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6,785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72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8,525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Provision for doubtful accounts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720"/>
              <w:spacing w:after="0"/>
              <w:rPr>
                <w:sz w:val="20"/>
                <w:szCs w:val="20"/>
                <w:color w:val="auto"/>
              </w:rPr>
            </w:pPr>
            <w:r>
              <w:rPr>
                <w:rFonts w:ascii="Arial" w:cs="Arial" w:eastAsia="Arial" w:hAnsi="Arial"/>
                <w:sz w:val="18"/>
                <w:szCs w:val="18"/>
                <w:color w:val="auto"/>
              </w:rPr>
              <w:t>Provision for inventory write-downs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Deferred income taxes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720"/>
              <w:spacing w:after="0"/>
              <w:rPr>
                <w:sz w:val="20"/>
                <w:szCs w:val="20"/>
                <w:color w:val="auto"/>
              </w:rPr>
            </w:pPr>
            <w:r>
              <w:rPr>
                <w:rFonts w:ascii="Arial" w:cs="Arial" w:eastAsia="Arial" w:hAnsi="Arial"/>
                <w:sz w:val="18"/>
                <w:szCs w:val="18"/>
                <w:color w:val="auto"/>
              </w:rPr>
              <w:t>Tax benefit from exercise of stock options and vested restricted stock</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Excess tax benefit from stock-based compensation</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720"/>
              <w:spacing w:after="0"/>
              <w:rPr>
                <w:sz w:val="20"/>
                <w:szCs w:val="20"/>
                <w:color w:val="auto"/>
              </w:rPr>
            </w:pPr>
            <w:r>
              <w:rPr>
                <w:rFonts w:ascii="Arial" w:cs="Arial" w:eastAsia="Arial" w:hAnsi="Arial"/>
                <w:sz w:val="18"/>
                <w:szCs w:val="18"/>
                <w:color w:val="auto"/>
              </w:rPr>
              <w:t>Shares issued for employee benefit plan</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Stock-based compensation</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280"/>
              <w:spacing w:after="0"/>
              <w:rPr>
                <w:sz w:val="20"/>
                <w:szCs w:val="20"/>
                <w:color w:val="auto"/>
              </w:rPr>
            </w:pPr>
            <w:r>
              <w:rPr>
                <w:rFonts w:ascii="Arial" w:cs="Arial" w:eastAsia="Arial" w:hAnsi="Arial"/>
                <w:sz w:val="18"/>
                <w:szCs w:val="18"/>
                <w:color w:val="auto"/>
              </w:rPr>
              <w:t>Changes in operating assets and liabilities: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Accounts receivable</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720"/>
              <w:spacing w:after="0"/>
              <w:rPr>
                <w:sz w:val="20"/>
                <w:szCs w:val="20"/>
                <w:color w:val="auto"/>
              </w:rPr>
            </w:pPr>
            <w:r>
              <w:rPr>
                <w:rFonts w:ascii="Arial" w:cs="Arial" w:eastAsia="Arial" w:hAnsi="Arial"/>
                <w:sz w:val="18"/>
                <w:szCs w:val="18"/>
                <w:color w:val="auto"/>
              </w:rPr>
              <w:t>Inventories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10,630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Prepaid expenses and other assets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720"/>
              <w:spacing w:after="0"/>
              <w:rPr>
                <w:sz w:val="20"/>
                <w:szCs w:val="20"/>
                <w:color w:val="auto"/>
              </w:rPr>
            </w:pPr>
            <w:r>
              <w:rPr>
                <w:rFonts w:ascii="Arial" w:cs="Arial" w:eastAsia="Arial" w:hAnsi="Arial"/>
                <w:sz w:val="18"/>
                <w:szCs w:val="18"/>
                <w:color w:val="auto"/>
              </w:rPr>
              <w:t>Accounts payable and accrued expenses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(13,523)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Accrued income taxes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2140"/>
              <w:spacing w:after="0"/>
              <w:rPr>
                <w:sz w:val="20"/>
                <w:szCs w:val="20"/>
                <w:color w:val="auto"/>
              </w:rPr>
            </w:pPr>
            <w:r>
              <w:rPr>
                <w:rFonts w:ascii="Arial" w:cs="Arial" w:eastAsia="Arial" w:hAnsi="Arial"/>
                <w:sz w:val="18"/>
                <w:szCs w:val="18"/>
                <w:color w:val="auto"/>
              </w:rPr>
              <w:t>Net cash provided by operating activities</w:t>
            </w:r>
          </w:p>
        </w:tc>
        <w:tc>
          <w:tcPr>
            <w:tcW w:w="1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Acquisition of property, plant, and equipment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(4,261)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Acquisition of intangible assets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vMerge w:val="restart"/>
          </w:tcPr>
          <w:p>
            <w:pPr>
              <w:ind w:left="2140"/>
              <w:spacing w:after="0"/>
              <w:rPr>
                <w:sz w:val="20"/>
                <w:szCs w:val="20"/>
                <w:color w:val="auto"/>
              </w:rPr>
            </w:pPr>
            <w:r>
              <w:rPr>
                <w:rFonts w:ascii="Arial" w:cs="Arial" w:eastAsia="Arial" w:hAnsi="Arial"/>
                <w:sz w:val="18"/>
                <w:szCs w:val="18"/>
                <w:color w:val="auto"/>
              </w:rPr>
              <w:t>Net cash used for investing activities</w:t>
            </w:r>
          </w:p>
        </w:tc>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(4,691)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used for financing activities:</w:t>
            </w:r>
          </w:p>
        </w:tc>
        <w:tc>
          <w:tcPr>
            <w:tcW w:w="1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Issuance of debt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 of debt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Proceeds from stock options exercised</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Treasury stock purchased</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Excess tax benefit from stock-based compensation</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Net cash used for financing activities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(16,344)</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w:t>
            </w:r>
          </w:p>
        </w:tc>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40" w:type="dxa"/>
            <w:vAlign w:val="bottom"/>
            <w:gridSpan w:val="2"/>
            <w:vMerge w:val="continue"/>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29,372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54,249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30,688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 xml:space="preserve">Supplemental Cash Flow Information — </w:t>
      </w:r>
      <w:r>
        <w:rPr>
          <w:rFonts w:ascii="Arial" w:cs="Arial" w:eastAsia="Arial" w:hAnsi="Arial"/>
          <w:sz w:val="16"/>
          <w:szCs w:val="16"/>
          <w:i w:val="1"/>
          <w:iCs w:val="1"/>
          <w:color w:val="auto"/>
        </w:rPr>
        <w:t>We had income tax payments of $5.4 million and $6.4 million during the six months ended June 30, 2012</w:t>
      </w:r>
      <w:r>
        <w:rPr>
          <w:rFonts w:ascii="Arial" w:cs="Arial" w:eastAsia="Arial" w:hAnsi="Arial"/>
          <w:sz w:val="16"/>
          <w:szCs w:val="16"/>
          <w:color w:val="auto"/>
        </w:rPr>
        <w:t xml:space="preserve"> and </w:t>
      </w:r>
      <w:r>
        <w:rPr>
          <w:rFonts w:ascii="Arial" w:cs="Arial" w:eastAsia="Arial" w:hAnsi="Arial"/>
          <w:sz w:val="16"/>
          <w:szCs w:val="16"/>
          <w:i w:val="1"/>
          <w:iCs w:val="1"/>
          <w:color w:val="auto"/>
        </w:rPr>
        <w:t>2011,</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respectively. We had interest payments of $0.2 million and $0.2 million during the six months ended June 30, 2012 </w:t>
      </w:r>
      <w:r>
        <w:rPr>
          <w:rFonts w:ascii="Arial" w:cs="Arial" w:eastAsia="Arial" w:hAnsi="Arial"/>
          <w:sz w:val="16"/>
          <w:szCs w:val="16"/>
          <w:color w:val="auto"/>
        </w:rPr>
        <w:t>and</w:t>
      </w:r>
      <w:r>
        <w:rPr>
          <w:rFonts w:ascii="Arial" w:cs="Arial" w:eastAsia="Arial" w:hAnsi="Arial"/>
          <w:sz w:val="16"/>
          <w:szCs w:val="16"/>
          <w:i w:val="1"/>
          <w:iCs w:val="1"/>
          <w:color w:val="auto"/>
        </w:rPr>
        <w:t xml:space="preserve"> 2011,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2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results of operations for the three and six months ended June 30, 2012 are not necessarily indicative of the results to be expected for the full year. These financial statements should be read in conjunction with the “Risk Factors,” “Management Discussion and Analysis of Financial Conditions and Results of Operations,” “Quantitative and Qualitative Disclosures About Market Risk,” and the “Financial Statements and Supplementary Data” and notes thereto included in Items 1A, 7, 7A, and 8, respectively, of our Annual Report on Form 10-K for the fiscal year ended December 31,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judgments and assumptions, including those related to revenue recognition, allowance for sales returns and doubtful accounts, warranties, inventory valuation, business combination purchase price allocations, impairment of long-lived assets, intangible assets and goodwill, income taxes and stock-based compensation expense. Actual results may differ from our expectations. Based on our evaluation, our estimates, judgments and assumptions may be adjusted as more information becomes available. Any adjustment may be material.</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2011 for a summary of our significant accounting policies.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Financial Accounting Standards Board (“FASB”) did not issue any Accounting Standards Update (“ASU”) during the first six months of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May 2011, the FASB issued ASU No. 2011-04, “Amendments to Achieve Common Fair Value Measurement and Disclosure Requirements in U.S. GAAP and International Financial Reporting Standards (“IFRS”).” This pronouncement was issued to provide a consistent definition of fair value and ensure that the fair value measurement and disclosure requirements are similar between U.S. GAAP and IFRS. ASU 2011-04 changes certain fair value measurement principles and enhances the disclosure requirements particularly for level 3 fair value measurements. This pronouncement is effective for reporting periods beginning on or after December 15, 2011. We adopted this ASU beginning January 1, 2012.</w:t>
      </w:r>
    </w:p>
    <w:p>
      <w:pPr>
        <w:spacing w:after="0" w:line="1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During June 2011, the FASB issued ASU No. 2011-05 which requires an entity to present the components of net income and the components of other comprehensive income either in a single continuous statement or in two separate but consecutive statements. This pronouncement is effective for fiscal years, and interim periods within those years, beginning after December 15, 2011. We adopted this ASU beginning January 1, 2012.</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We adopted the following accounting standards during 2011, none of which had a material effect on our consolidated financial position and results of operations:</w:t>
      </w:r>
    </w:p>
    <w:p>
      <w:pPr>
        <w:spacing w:after="0" w:line="113" w:lineRule="exact"/>
        <w:rPr>
          <w:sz w:val="20"/>
          <w:szCs w:val="20"/>
          <w:color w:val="auto"/>
        </w:rPr>
      </w:pPr>
    </w:p>
    <w:p>
      <w:pPr>
        <w:ind w:left="460" w:right="4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January 2010, the FASB issued ASU No. 2010-6 to improve the disclosure and transparency of fair value measurements. These amendments clarify the level of disaggregation required, and the necessary disclosures about the valuation techniques and inputs used to measure fair value for both recurring and nonrecurring fair value measurements. We adopted this ASU beginning January 1, 2011.</w:t>
      </w:r>
    </w:p>
    <w:p>
      <w:pPr>
        <w:spacing w:after="0" w:line="59"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December 2010, the FASB issued ASU No. 2010-29 to address diversity in practice regarding the interpretation of the pro forma revenue and earnings disclosure requirements for business combinations. We adopted this ASU beginning January 1, 2011.</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October 2009, the FASB issued ASU No. 2009-14 to address accounting for arrangements that contain tangible products and software. We adopted this ASU beginning January 1, 2011.</w:t>
      </w:r>
    </w:p>
    <w:p>
      <w:pPr>
        <w:spacing w:after="0" w:line="50" w:lineRule="exact"/>
        <w:rPr>
          <w:rFonts w:ascii="Arial" w:cs="Arial" w:eastAsia="Arial" w:hAnsi="Arial"/>
          <w:sz w:val="18"/>
          <w:szCs w:val="18"/>
          <w:color w:val="auto"/>
        </w:rPr>
      </w:pPr>
    </w:p>
    <w:p>
      <w:pPr>
        <w:ind w:left="460" w:right="60" w:hanging="452"/>
        <w:spacing w:after="0" w:line="33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October 2009, the FASB issued ASU No. 2009-13 to address the accounting for multiple-deliverable arrangements to enable vendors to account for products or services (deliverables) separately rather than as a combined accounting unit. We adopted this ASU beginning January 1,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Our cash and cash equivalents that were accounted for at fair value on a recurring basis on June 30, 2012 and December 31, 2011 were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June 30, 2012</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3"/>
              </w:rPr>
              <w:t>December 31, 2011</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vMerge w:val="continue"/>
          </w:tcPr>
          <w:p>
            <w:pPr>
              <w:spacing w:after="0"/>
              <w:rPr>
                <w:sz w:val="12"/>
                <w:szCs w:val="12"/>
                <w:color w:val="auto"/>
              </w:rPr>
            </w:pPr>
          </w:p>
        </w:tc>
        <w:tc>
          <w:tcPr>
            <w:tcW w:w="2500" w:type="dxa"/>
            <w:vAlign w:val="bottom"/>
            <w:gridSpan w:val="6"/>
          </w:tcPr>
          <w:p>
            <w:pPr>
              <w:ind w:left="220"/>
              <w:spacing w:after="0" w:line="142" w:lineRule="exact"/>
              <w:rPr>
                <w:sz w:val="20"/>
                <w:szCs w:val="20"/>
                <w:color w:val="auto"/>
              </w:rPr>
            </w:pPr>
            <w:r>
              <w:rPr>
                <w:rFonts w:ascii="Arial" w:cs="Arial" w:eastAsia="Arial" w:hAnsi="Arial"/>
                <w:sz w:val="14"/>
                <w:szCs w:val="14"/>
                <w:b w:val="1"/>
                <w:bCs w:val="1"/>
                <w:color w:val="auto"/>
              </w:rPr>
              <w:t>Fair Value Measurement Using</w:t>
            </w: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ind w:left="220"/>
              <w:spacing w:after="0" w:line="142" w:lineRule="exact"/>
              <w:rPr>
                <w:sz w:val="20"/>
                <w:szCs w:val="20"/>
                <w:color w:val="auto"/>
              </w:rPr>
            </w:pPr>
            <w:r>
              <w:rPr>
                <w:rFonts w:ascii="Arial" w:cs="Arial" w:eastAsia="Arial" w:hAnsi="Arial"/>
                <w:sz w:val="14"/>
                <w:szCs w:val="14"/>
                <w:b w:val="1"/>
                <w:bCs w:val="1"/>
                <w:color w:val="auto"/>
                <w:w w:val="96"/>
              </w:rPr>
              <w:t>Fair Value Measurement Using</w:t>
            </w:r>
          </w:p>
        </w:tc>
        <w:tc>
          <w:tcPr>
            <w:tcW w:w="30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line="142" w:lineRule="exact"/>
              <w:rPr>
                <w:sz w:val="20"/>
                <w:szCs w:val="20"/>
                <w:color w:val="auto"/>
              </w:rPr>
            </w:pPr>
            <w:r>
              <w:rPr>
                <w:rFonts w:ascii="Arial" w:cs="Arial" w:eastAsia="Arial" w:hAnsi="Arial"/>
                <w:sz w:val="14"/>
                <w:szCs w:val="14"/>
                <w:b w:val="1"/>
                <w:bCs w:val="1"/>
                <w:color w:val="auto"/>
              </w:rPr>
              <w:t>Description</w:t>
            </w:r>
          </w:p>
        </w:tc>
        <w:tc>
          <w:tcPr>
            <w:tcW w:w="880" w:type="dxa"/>
            <w:vAlign w:val="bottom"/>
            <w:tcBorders>
              <w:top w:val="single" w:sz="8" w:color="auto"/>
            </w:tcBorders>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(Level 1)</w:t>
            </w:r>
          </w:p>
        </w:tc>
        <w:tc>
          <w:tcPr>
            <w:tcW w:w="5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4"/>
              </w:rPr>
              <w:t>(Level 2)</w:t>
            </w: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(Level 3)</w:t>
            </w:r>
          </w:p>
        </w:tc>
        <w:tc>
          <w:tcPr>
            <w:tcW w:w="280" w:type="dxa"/>
            <w:vAlign w:val="bottom"/>
          </w:tcPr>
          <w:p>
            <w:pPr>
              <w:spacing w:after="0"/>
              <w:rPr>
                <w:sz w:val="12"/>
                <w:szCs w:val="12"/>
                <w:color w:val="auto"/>
              </w:rPr>
            </w:pPr>
          </w:p>
        </w:tc>
        <w:tc>
          <w:tcPr>
            <w:tcW w:w="7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81"/>
              </w:rPr>
              <w:t>Balance</w:t>
            </w:r>
          </w:p>
        </w:tc>
        <w:tc>
          <w:tcPr>
            <w:tcW w:w="140" w:type="dxa"/>
            <w:vAlign w:val="bottom"/>
          </w:tcPr>
          <w:p>
            <w:pPr>
              <w:spacing w:after="0"/>
              <w:rPr>
                <w:sz w:val="12"/>
                <w:szCs w:val="12"/>
                <w:color w:val="auto"/>
              </w:rPr>
            </w:pPr>
          </w:p>
        </w:tc>
        <w:tc>
          <w:tcPr>
            <w:tcW w:w="88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7"/>
              </w:rPr>
              <w:t>(Level 1)</w:t>
            </w: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(Level 3)</w:t>
            </w:r>
          </w:p>
        </w:tc>
        <w:tc>
          <w:tcPr>
            <w:tcW w:w="300" w:type="dxa"/>
            <w:vAlign w:val="bottom"/>
          </w:tcPr>
          <w:p>
            <w:pPr>
              <w:spacing w:after="0"/>
              <w:rPr>
                <w:sz w:val="12"/>
                <w:szCs w:val="12"/>
                <w:color w:val="auto"/>
              </w:rPr>
            </w:pPr>
          </w:p>
        </w:tc>
        <w:tc>
          <w:tcPr>
            <w:tcW w:w="6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$30,688</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$30,688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$29,372</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$29,372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On June 30, 2012, we had approximately $1.3 million, $6.1 million, $19.8 million, $0.01 million and $3.5 million of cash and cash equivalents in the United States, Europe, Asia, Cayman Islands, and South America, respectively.</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December 31, 2011, we had approximately $4.1 million, $7.6 million, $16.5 million, $0.1 million, and $1.1 million of cash and cash equivalents in the United States, Europe, Asia, Cayman Islands and South America,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2 under the caption </w:t>
      </w:r>
      <w:r>
        <w:rPr>
          <w:rFonts w:ascii="Arial" w:cs="Arial" w:eastAsia="Arial" w:hAnsi="Arial"/>
          <w:sz w:val="16"/>
          <w:szCs w:val="16"/>
          <w:i w:val="1"/>
          <w:iCs w:val="1"/>
          <w:color w:val="auto"/>
        </w:rPr>
        <w:t>Cash and Cash Equivalents</w:t>
      </w:r>
      <w:r>
        <w:rPr>
          <w:rFonts w:ascii="Arial" w:cs="Arial" w:eastAsia="Arial" w:hAnsi="Arial"/>
          <w:sz w:val="16"/>
          <w:szCs w:val="16"/>
          <w:color w:val="auto"/>
        </w:rPr>
        <w:t xml:space="preserve"> in our Annual Report on Form 10-K for further information regarding our accounting principles.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 Net and Revenue Concentrations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 on June 30, 2012 and December 31, 2011:</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June 30,</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82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 receivables, gross</w:t>
            </w:r>
          </w:p>
        </w:tc>
        <w:tc>
          <w:tcPr>
            <w:tcW w:w="3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$84,181</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4160" w:type="dxa"/>
            <w:vAlign w:val="bottom"/>
            <w:gridSpan w:val="3"/>
          </w:tcPr>
          <w:p>
            <w:pPr>
              <w:jc w:val="right"/>
              <w:ind w:right="280"/>
              <w:spacing w:after="0"/>
              <w:rPr>
                <w:sz w:val="20"/>
                <w:szCs w:val="20"/>
                <w:color w:val="auto"/>
              </w:rPr>
            </w:pPr>
            <w:r>
              <w:rPr>
                <w:rFonts w:ascii="Arial" w:cs="Arial" w:eastAsia="Arial" w:hAnsi="Arial"/>
                <w:sz w:val="18"/>
                <w:szCs w:val="18"/>
                <w:color w:val="auto"/>
              </w:rPr>
              <w:t>(1,051)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3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21"/>
        </w:trPr>
        <w:tc>
          <w:tcPr>
            <w:tcW w:w="3300" w:type="dxa"/>
            <w:vAlign w:val="bottom"/>
          </w:tcPr>
          <w:p>
            <w:pPr>
              <w:ind w:left="440"/>
              <w:spacing w:after="0"/>
              <w:rPr>
                <w:sz w:val="20"/>
                <w:szCs w:val="20"/>
                <w:color w:val="auto"/>
              </w:rPr>
            </w:pPr>
            <w:r>
              <w:rPr>
                <w:rFonts w:ascii="Arial" w:cs="Arial" w:eastAsia="Arial" w:hAnsi="Arial"/>
                <w:sz w:val="18"/>
                <w:szCs w:val="18"/>
                <w:color w:val="auto"/>
              </w:rPr>
              <w:t>Trade receivables, net</w:t>
            </w:r>
          </w:p>
        </w:tc>
        <w:tc>
          <w:tcPr>
            <w:tcW w:w="32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82,352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3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3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86,017</w:t>
            </w:r>
          </w:p>
        </w:tc>
        <w:tc>
          <w:tcPr>
            <w:tcW w:w="340" w:type="dxa"/>
            <w:vAlign w:val="bottom"/>
          </w:tcPr>
          <w:p>
            <w:pPr>
              <w:spacing w:after="0"/>
              <w:rPr>
                <w:sz w:val="19"/>
                <w:szCs w:val="19"/>
                <w:color w:val="auto"/>
              </w:rPr>
            </w:pPr>
          </w:p>
        </w:tc>
        <w:tc>
          <w:tcPr>
            <w:tcW w:w="4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82,184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240" w:type="dxa"/>
            <w:vAlign w:val="bottom"/>
            <w:vMerge w:val="restart"/>
          </w:tcPr>
          <w:p>
            <w:pPr>
              <w:jc w:val="right"/>
              <w:ind w:right="2077"/>
              <w:spacing w:after="0"/>
              <w:rPr>
                <w:sz w:val="20"/>
                <w:szCs w:val="20"/>
                <w:color w:val="auto"/>
              </w:rPr>
            </w:pPr>
            <w:r>
              <w:rPr>
                <w:rFonts w:ascii="Arial" w:cs="Arial" w:eastAsia="Arial" w:hAnsi="Arial"/>
                <w:sz w:val="18"/>
                <w:szCs w:val="18"/>
                <w:color w:val="auto"/>
              </w:rPr>
              <w:t>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Changes in the allowance for doubtful accounts during the three months ended June 30, 2012 and 2011 were the following:</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wp:posOffset>
            </wp:positionV>
            <wp:extent cx="5575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Valuation account for trade receivables</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Three months ended June 30, 2012</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Three months ended June 30, 2011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3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Additions</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9"/>
        </w:trPr>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360" w:type="dxa"/>
            <w:vAlign w:val="bottom"/>
          </w:tcPr>
          <w:p>
            <w:pPr>
              <w:spacing w:after="0"/>
              <w:rPr>
                <w:sz w:val="12"/>
                <w:szCs w:val="12"/>
                <w:color w:val="auto"/>
              </w:rPr>
            </w:pPr>
          </w:p>
        </w:tc>
        <w:tc>
          <w:tcPr>
            <w:tcW w:w="12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2"/>
              </w:rPr>
              <w:t>to Costs</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r>
      <w:tr>
        <w:trPr>
          <w:trHeight w:val="149"/>
        </w:trPr>
        <w:tc>
          <w:tcPr>
            <w:tcW w:w="100" w:type="dxa"/>
            <w:vAlign w:val="bottom"/>
          </w:tcPr>
          <w:p>
            <w:pPr>
              <w:spacing w:after="0"/>
              <w:rPr>
                <w:sz w:val="12"/>
                <w:szCs w:val="12"/>
                <w:color w:val="auto"/>
              </w:rPr>
            </w:pP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of</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0"/>
              </w:rPr>
              <w:t>and</w:t>
            </w: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12"/>
                <w:szCs w:val="12"/>
                <w:color w:val="auto"/>
              </w:rPr>
            </w:pPr>
          </w:p>
        </w:tc>
        <w:tc>
          <w:tcPr>
            <w:tcW w:w="5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87"/>
              </w:rPr>
              <w:t>End of</w:t>
            </w:r>
          </w:p>
        </w:tc>
      </w:tr>
      <w:tr>
        <w:trPr>
          <w:trHeight w:val="161"/>
        </w:trPr>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87"/>
              </w:rPr>
              <w:t>Period</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79"/>
              </w:rPr>
              <w:t>Expenses</w:t>
            </w:r>
          </w:p>
        </w:tc>
        <w:tc>
          <w:tcPr>
            <w:tcW w:w="700" w:type="dxa"/>
            <w:vAlign w:val="bottom"/>
          </w:tcPr>
          <w:p>
            <w:pPr>
              <w:spacing w:after="0"/>
              <w:rPr>
                <w:sz w:val="14"/>
                <w:szCs w:val="1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FX Effects</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7"/>
              </w:rPr>
              <w:t>Period</w:t>
            </w:r>
          </w:p>
        </w:tc>
      </w:tr>
      <w:tr>
        <w:trPr>
          <w:trHeight w:val="404"/>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1,008</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7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1,051</w:t>
            </w:r>
          </w:p>
        </w:tc>
      </w:tr>
      <w:tr>
        <w:trPr>
          <w:trHeight w:val="222"/>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868</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231</w:t>
            </w:r>
          </w:p>
        </w:tc>
        <w:tc>
          <w:tcPr>
            <w:tcW w:w="7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-409575</wp:posOffset>
            </wp:positionV>
            <wp:extent cx="666369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-135255</wp:posOffset>
            </wp:positionV>
            <wp:extent cx="666369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5520" w:space="720"/>
            <w:col w:w="5120"/>
          </w:cols>
          <w:pgMar w:left="240" w:top="459" w:right="299" w:bottom="1440" w:gutter="0" w:footer="0" w:header="0"/>
          <w:type w:val="continuous"/>
        </w:sectPr>
      </w:pPr>
    </w:p>
    <w:p>
      <w:pPr>
        <w:spacing w:after="0"/>
        <w:rPr>
          <w:sz w:val="20"/>
          <w:szCs w:val="20"/>
          <w:color w:val="auto"/>
        </w:rPr>
      </w:pPr>
      <w:r>
        <w:rPr>
          <w:rFonts w:ascii="Arial" w:cs="Arial" w:eastAsia="Arial" w:hAnsi="Arial"/>
          <w:sz w:val="15"/>
          <w:szCs w:val="15"/>
          <w:color w:val="auto"/>
        </w:rPr>
        <w:t>Changes in the allowance for doubtful accounts during the six months ended June 30, 2012 and 2011 were the following:</w:t>
      </w:r>
    </w:p>
    <w:p>
      <w:pPr>
        <w:sectPr>
          <w:pgSz w:w="11900" w:h="16838" w:orient="portrait"/>
          <w:cols w:equalWidth="0" w:num="1">
            <w:col w:w="11360"/>
          </w:cols>
          <w:pgMar w:left="240" w:top="459" w:right="29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wp:posOffset>
            </wp:positionV>
            <wp:extent cx="5575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5"/>
          <w:szCs w:val="15"/>
          <w:color w:val="auto"/>
        </w:rPr>
        <w:t>Valuation account for trade receivables</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5"/>
          <w:szCs w:val="15"/>
          <w:color w:val="auto"/>
        </w:rPr>
        <w:t>Six months ended June 30, 2012</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5"/>
          <w:szCs w:val="15"/>
          <w:color w:val="auto"/>
        </w:rPr>
        <w:t>Six months ended June 30, 2011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Additions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9"/>
        </w:trPr>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to Costs</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r>
      <w:tr>
        <w:trPr>
          <w:trHeight w:val="149"/>
        </w:trPr>
        <w:tc>
          <w:tcPr>
            <w:tcW w:w="100" w:type="dxa"/>
            <w:vAlign w:val="bottom"/>
          </w:tcPr>
          <w:p>
            <w:pPr>
              <w:spacing w:after="0"/>
              <w:rPr>
                <w:sz w:val="12"/>
                <w:szCs w:val="12"/>
                <w:color w:val="auto"/>
              </w:rPr>
            </w:pP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of</w:t>
            </w:r>
          </w:p>
        </w:tc>
        <w:tc>
          <w:tcPr>
            <w:tcW w:w="140" w:type="dxa"/>
            <w:vAlign w:val="bottom"/>
          </w:tcPr>
          <w:p>
            <w:pPr>
              <w:spacing w:after="0"/>
              <w:rPr>
                <w:sz w:val="12"/>
                <w:szCs w:val="12"/>
                <w:color w:val="auto"/>
              </w:rPr>
            </w:pPr>
          </w:p>
        </w:tc>
        <w:tc>
          <w:tcPr>
            <w:tcW w:w="7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6"/>
              </w:rPr>
              <w:t>and</w:t>
            </w:r>
          </w:p>
        </w:tc>
        <w:tc>
          <w:tcPr>
            <w:tcW w:w="30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12"/>
                <w:szCs w:val="12"/>
                <w:color w:val="auto"/>
              </w:rPr>
            </w:pPr>
          </w:p>
        </w:tc>
        <w:tc>
          <w:tcPr>
            <w:tcW w:w="5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87"/>
              </w:rPr>
              <w:t>End of</w:t>
            </w:r>
          </w:p>
        </w:tc>
      </w:tr>
      <w:tr>
        <w:trPr>
          <w:trHeight w:val="161"/>
        </w:trPr>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87"/>
              </w:rPr>
              <w:t>Period</w:t>
            </w:r>
          </w:p>
        </w:tc>
        <w:tc>
          <w:tcPr>
            <w:tcW w:w="620" w:type="dxa"/>
            <w:vAlign w:val="bottom"/>
          </w:tcPr>
          <w:p>
            <w:pPr>
              <w:spacing w:after="0"/>
              <w:rPr>
                <w:sz w:val="14"/>
                <w:szCs w:val="14"/>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79"/>
              </w:rPr>
              <w:t>Expenses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FX Effects</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7"/>
              </w:rPr>
              <w:t>Period</w:t>
            </w:r>
          </w:p>
        </w:tc>
      </w:tr>
      <w:tr>
        <w:trPr>
          <w:trHeight w:val="404"/>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1,051</w:t>
            </w:r>
          </w:p>
        </w:tc>
      </w:tr>
      <w:tr>
        <w:trPr>
          <w:trHeight w:val="222"/>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878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238</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-3868420</wp:posOffset>
            </wp:positionH>
            <wp:positionV relativeFrom="paragraph">
              <wp:posOffset>-409575</wp:posOffset>
            </wp:positionV>
            <wp:extent cx="666369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-135255</wp:posOffset>
            </wp:positionV>
            <wp:extent cx="666369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452" w:lineRule="exact"/>
        <w:rPr>
          <w:sz w:val="20"/>
          <w:szCs w:val="20"/>
          <w:color w:val="auto"/>
        </w:rPr>
      </w:pPr>
    </w:p>
    <w:p>
      <w:pPr>
        <w:sectPr>
          <w:pgSz w:w="11900" w:h="16838" w:orient="portrait"/>
          <w:cols w:equalWidth="0" w:num="2">
            <w:col w:w="5840" w:space="720"/>
            <w:col w:w="4800"/>
          </w:cols>
          <w:pgMar w:left="240" w:top="459" w:right="299" w:bottom="1440" w:gutter="0" w:footer="0" w:header="0"/>
          <w:type w:val="continuous"/>
        </w:sectPr>
      </w:pPr>
    </w:p>
    <w:p>
      <w:pPr>
        <w:jc w:val="both"/>
        <w:spacing w:after="0" w:line="298" w:lineRule="auto"/>
        <w:rPr>
          <w:sz w:val="20"/>
          <w:szCs w:val="20"/>
          <w:color w:val="auto"/>
        </w:rPr>
      </w:pPr>
      <w:r>
        <w:rPr>
          <w:rFonts w:ascii="Arial" w:cs="Arial" w:eastAsia="Arial" w:hAnsi="Arial"/>
          <w:sz w:val="16"/>
          <w:szCs w:val="16"/>
          <w:color w:val="auto"/>
        </w:rPr>
        <w:t>The allowance for sales returns balance at June 30, 2012 and December 31, 2011 contained reserves for items returned prior to year-end, but were not completely processed, and therefore had not yet been removed from the allowance for sales returns balance. If these returns had been fully processed, the allowance for sales returns balance would have been approximately $0.5 million and $0.7 million on June 30, 2012 and December 31, 2011, respectively. The value of these returned goods was included in our inventory balance at June 30, 2012 and December 31,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three and six months ended June 30, 2012, we had net sales to one significant customer, that when combined with its sub-contractors, totaled more than 10% of our net sales. During the six months ended June 30, 2011, we had net sales to one significant customer, that when combined with its sub-contractors, totaled more than 10% of our net sales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87"/>
              </w:rPr>
              <w:t>Three Months Ended June 30,</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4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(thousands)</w:t>
            </w:r>
          </w:p>
        </w:tc>
        <w:tc>
          <w:tcPr>
            <w:tcW w:w="7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4"/>
              </w:rPr>
              <w:t>% of Net Sales</w:t>
            </w:r>
          </w:p>
        </w:tc>
        <w:tc>
          <w:tcPr>
            <w:tcW w:w="4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(thousands)</w:t>
            </w:r>
          </w:p>
        </w:tc>
        <w:tc>
          <w:tcPr>
            <w:tcW w:w="1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4"/>
              </w:rPr>
              <w:t>% of Net Sales</w:t>
            </w:r>
          </w:p>
        </w:tc>
        <w:tc>
          <w:tcPr>
            <w:tcW w:w="200" w:type="dxa"/>
            <w:vAlign w:val="bottom"/>
            <w:tcBorders>
              <w:bottom w:val="single" w:sz="8" w:color="CCEEFF"/>
            </w:tcBorders>
          </w:tcPr>
          <w:p>
            <w:pPr>
              <w:spacing w:after="0"/>
              <w:rPr>
                <w:sz w:val="12"/>
                <w:szCs w:val="12"/>
                <w:color w:val="auto"/>
              </w:rPr>
            </w:pPr>
          </w:p>
        </w:tc>
      </w:tr>
      <w:tr>
        <w:trPr>
          <w:trHeight w:val="210"/>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DIRECTV</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19,215</w:t>
            </w:r>
          </w:p>
        </w:tc>
        <w:tc>
          <w:tcPr>
            <w:tcW w:w="7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365"/>
        </w:trPr>
        <w:tc>
          <w:tcPr>
            <w:tcW w:w="4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87"/>
              </w:rPr>
              <w:t>Six Months Ended June 30,</w:t>
            </w:r>
          </w:p>
        </w:tc>
        <w:tc>
          <w:tcPr>
            <w:tcW w:w="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4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4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(thousands)</w:t>
            </w:r>
          </w:p>
        </w:tc>
        <w:tc>
          <w:tcPr>
            <w:tcW w:w="7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4"/>
              </w:rPr>
              <w:t>% of Net Sales</w:t>
            </w:r>
          </w:p>
        </w:tc>
        <w:tc>
          <w:tcPr>
            <w:tcW w:w="4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(thousands)</w:t>
            </w:r>
          </w:p>
        </w:tc>
        <w:tc>
          <w:tcPr>
            <w:tcW w:w="1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4"/>
              </w:rPr>
              <w:t>% of Net Sales</w:t>
            </w:r>
          </w:p>
        </w:tc>
        <w:tc>
          <w:tcPr>
            <w:tcW w:w="200" w:type="dxa"/>
            <w:vAlign w:val="bottom"/>
            <w:tcBorders>
              <w:bottom w:val="single" w:sz="8" w:color="CCEEFF"/>
            </w:tcBorders>
          </w:tcPr>
          <w:p>
            <w:pPr>
              <w:spacing w:after="0"/>
              <w:rPr>
                <w:sz w:val="12"/>
                <w:szCs w:val="12"/>
                <w:color w:val="auto"/>
              </w:rPr>
            </w:pPr>
          </w:p>
        </w:tc>
      </w:tr>
      <w:tr>
        <w:trPr>
          <w:trHeight w:val="210"/>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DIRECTV</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35,426</w:t>
            </w:r>
          </w:p>
        </w:tc>
        <w:tc>
          <w:tcPr>
            <w:tcW w:w="7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Sony</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26,906</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11.8%</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with these customers were the following on June 30, 2012 and December 31,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2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w w:val="85"/>
              </w:rPr>
              <w:t>June 30, 2012</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46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 of Accounts</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 of Accounts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Receivable,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Receivable,</w:t>
            </w: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2"/>
              </w:rPr>
              <w:t>(thousands)</w:t>
            </w: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520" w:type="dxa"/>
            <w:vAlign w:val="bottom"/>
          </w:tcPr>
          <w:p>
            <w:pPr>
              <w:spacing w:after="0"/>
              <w:rPr>
                <w:sz w:val="14"/>
                <w:szCs w:val="14"/>
                <w:color w:val="auto"/>
              </w:rPr>
            </w:pPr>
          </w:p>
        </w:tc>
        <w:tc>
          <w:tcPr>
            <w:tcW w:w="460" w:type="dxa"/>
            <w:vAlign w:val="bottom"/>
            <w:gridSpan w:val="2"/>
          </w:tcPr>
          <w:p>
            <w:pPr>
              <w:ind w:left="360"/>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2"/>
              </w:rPr>
              <w:t>(thousands)</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DIRECTV</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10,262</w:t>
            </w:r>
          </w:p>
        </w:tc>
        <w:tc>
          <w:tcPr>
            <w:tcW w:w="76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6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Sony</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7,064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56"/>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8"/>
                <w:szCs w:val="18"/>
                <w:color w:val="auto"/>
              </w:rPr>
              <w:t>9</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loss of these customers or any other customer, either in the United States or abroad, due to their financial weakness or bankruptcy, or our inability to obtain orders or maintain our order volume with them, may have a material effect on our financial condition, results of operations and cash flows.</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See Note 2 under the captions </w:t>
      </w:r>
      <w:r>
        <w:rPr>
          <w:rFonts w:ascii="Arial" w:cs="Arial" w:eastAsia="Arial" w:hAnsi="Arial"/>
          <w:sz w:val="18"/>
          <w:szCs w:val="18"/>
          <w:i w:val="1"/>
          <w:iCs w:val="1"/>
          <w:color w:val="auto"/>
        </w:rPr>
        <w:t>Revenue Recognition and Sales Allowances</w:t>
      </w:r>
      <w:r>
        <w:rPr>
          <w:rFonts w:ascii="Arial" w:cs="Arial" w:eastAsia="Arial" w:hAnsi="Arial"/>
          <w:sz w:val="18"/>
          <w:szCs w:val="18"/>
          <w:color w:val="auto"/>
        </w:rPr>
        <w:t xml:space="preserve"> and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in our Annual Report on Form 10-K for further information regarding our accounting principles.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Net and Significant Suppliers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 on June 30, 2012 and December 31, 2011:</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June 30,</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65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$14,960</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Components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16,656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Finished goods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46,906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54,447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77,798</w:t>
            </w:r>
          </w:p>
        </w:tc>
        <w:tc>
          <w:tcPr>
            <w:tcW w:w="340" w:type="dxa"/>
            <w:vAlign w:val="bottom"/>
          </w:tcPr>
          <w:p>
            <w:pPr>
              <w:spacing w:after="0"/>
              <w:rPr>
                <w:sz w:val="19"/>
                <w:szCs w:val="19"/>
                <w:color w:val="auto"/>
              </w:rPr>
            </w:pPr>
          </w:p>
        </w:tc>
        <w:tc>
          <w:tcPr>
            <w:tcW w:w="4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90,904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reserve for excess and obsolete inventory during the three months ended June 30, 2012 and 2011 were composed of the following:</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575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Reserve for excess and obsolete inventory:</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Three Months Ended June 30, 2012</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Three Months Ended June 30, 2011</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w w:val="92"/>
              </w:rPr>
              <w:t>Additions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9"/>
        </w:trPr>
        <w:tc>
          <w:tcPr>
            <w:tcW w:w="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4"/>
              </w:rPr>
              <w:t>Balance at</w:t>
            </w:r>
          </w:p>
        </w:tc>
        <w:tc>
          <w:tcPr>
            <w:tcW w:w="46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Charged to</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r>
      <w:tr>
        <w:trPr>
          <w:trHeight w:val="134"/>
        </w:trPr>
        <w:tc>
          <w:tcPr>
            <w:tcW w:w="7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6"/>
              </w:rPr>
              <w:t>Beginning of</w:t>
            </w:r>
          </w:p>
        </w:tc>
        <w:tc>
          <w:tcPr>
            <w:tcW w:w="4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w w:val="88"/>
              </w:rPr>
              <w:t>Costs and</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rPr>
              <w:t>Sell</w:t>
            </w:r>
          </w:p>
        </w:tc>
        <w:tc>
          <w:tcPr>
            <w:tcW w:w="22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Write-offs/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22"/>
              <w:spacing w:after="0" w:line="135" w:lineRule="exact"/>
              <w:rPr>
                <w:sz w:val="20"/>
                <w:szCs w:val="20"/>
                <w:color w:val="auto"/>
              </w:rPr>
            </w:pPr>
            <w:r>
              <w:rPr>
                <w:rFonts w:ascii="Arial" w:cs="Arial" w:eastAsia="Arial" w:hAnsi="Arial"/>
                <w:sz w:val="14"/>
                <w:szCs w:val="14"/>
                <w:b w:val="1"/>
                <w:bCs w:val="1"/>
                <w:color w:val="auto"/>
                <w:w w:val="87"/>
              </w:rPr>
              <w:t>End of</w:t>
            </w:r>
          </w:p>
        </w:tc>
      </w:tr>
      <w:tr>
        <w:trPr>
          <w:trHeight w:val="176"/>
        </w:trPr>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Period</w:t>
            </w:r>
          </w:p>
        </w:tc>
        <w:tc>
          <w:tcPr>
            <w:tcW w:w="460" w:type="dxa"/>
            <w:vAlign w:val="bottom"/>
          </w:tcPr>
          <w:p>
            <w:pPr>
              <w:spacing w:after="0"/>
              <w:rPr>
                <w:sz w:val="15"/>
                <w:szCs w:val="15"/>
                <w:color w:val="auto"/>
              </w:rPr>
            </w:pPr>
          </w:p>
        </w:tc>
        <w:tc>
          <w:tcPr>
            <w:tcW w:w="68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85"/>
              </w:rPr>
              <w:t>Expenses</w:t>
            </w:r>
            <w:r>
              <w:rPr>
                <w:rFonts w:ascii="Arial" w:cs="Arial" w:eastAsia="Arial" w:hAnsi="Arial"/>
                <w:sz w:val="20"/>
                <w:szCs w:val="20"/>
                <w:b w:val="1"/>
                <w:bCs w:val="1"/>
                <w:color w:val="auto"/>
                <w:w w:val="85"/>
                <w:vertAlign w:val="superscript"/>
              </w:rPr>
              <w:t>(1)</w:t>
            </w:r>
          </w:p>
        </w:tc>
        <w:tc>
          <w:tcPr>
            <w:tcW w:w="460" w:type="dxa"/>
            <w:vAlign w:val="bottom"/>
          </w:tcPr>
          <w:p>
            <w:pPr>
              <w:spacing w:after="0"/>
              <w:rPr>
                <w:sz w:val="15"/>
                <w:szCs w:val="15"/>
                <w:color w:val="auto"/>
              </w:rPr>
            </w:pPr>
          </w:p>
        </w:tc>
        <w:tc>
          <w:tcPr>
            <w:tcW w:w="6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92"/>
              </w:rPr>
              <w:t>Through</w:t>
            </w:r>
            <w:r>
              <w:rPr>
                <w:rFonts w:ascii="Arial" w:cs="Arial" w:eastAsia="Arial" w:hAnsi="Arial"/>
                <w:sz w:val="20"/>
                <w:szCs w:val="20"/>
                <w:b w:val="1"/>
                <w:bCs w:val="1"/>
                <w:color w:val="auto"/>
                <w:w w:val="92"/>
                <w:vertAlign w:val="superscript"/>
              </w:rPr>
              <w:t>(2)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FX Effects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7"/>
              </w:rPr>
              <w:t>Period</w:t>
            </w:r>
          </w:p>
        </w:tc>
      </w:tr>
      <w:tr>
        <w:trPr>
          <w:trHeight w:val="40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3,228</w:t>
            </w: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668</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(656)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3,037</w:t>
            </w: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2,272</w:t>
            </w: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960</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(296)</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(411)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-409575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-135255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5420" w:space="720"/>
            <w:col w:w="528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Changes in the reserve for excess and obsolete inventory during the six months ended June 30, 2012 and 2011 were composed of the following:</w:t>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575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Reserve for excess and obsolete inventory:</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Six Months Ended June 30, 2012</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Six Months Ended 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w w:val="92"/>
              </w:rPr>
              <w:t>Additions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9"/>
        </w:trPr>
        <w:tc>
          <w:tcPr>
            <w:tcW w:w="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4"/>
              </w:rPr>
              <w:t>Balance at</w:t>
            </w:r>
          </w:p>
        </w:tc>
        <w:tc>
          <w:tcPr>
            <w:tcW w:w="46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Charged to</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r>
      <w:tr>
        <w:trPr>
          <w:trHeight w:val="134"/>
        </w:trPr>
        <w:tc>
          <w:tcPr>
            <w:tcW w:w="7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6"/>
              </w:rPr>
              <w:t>Beginning of</w:t>
            </w:r>
          </w:p>
        </w:tc>
        <w:tc>
          <w:tcPr>
            <w:tcW w:w="46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w w:val="91"/>
              </w:rPr>
              <w:t>Costs and</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700"/>
              <w:spacing w:after="0" w:line="135" w:lineRule="exact"/>
              <w:rPr>
                <w:sz w:val="20"/>
                <w:szCs w:val="20"/>
                <w:color w:val="auto"/>
              </w:rPr>
            </w:pPr>
            <w:r>
              <w:rPr>
                <w:rFonts w:ascii="Arial" w:cs="Arial" w:eastAsia="Arial" w:hAnsi="Arial"/>
                <w:sz w:val="14"/>
                <w:szCs w:val="14"/>
                <w:b w:val="1"/>
                <w:bCs w:val="1"/>
                <w:color w:val="auto"/>
              </w:rPr>
              <w:t>Sell</w:t>
            </w:r>
          </w:p>
        </w:tc>
        <w:tc>
          <w:tcPr>
            <w:tcW w:w="9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Write-offs/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22"/>
              <w:spacing w:after="0" w:line="135" w:lineRule="exact"/>
              <w:rPr>
                <w:sz w:val="20"/>
                <w:szCs w:val="20"/>
                <w:color w:val="auto"/>
              </w:rPr>
            </w:pPr>
            <w:r>
              <w:rPr>
                <w:rFonts w:ascii="Arial" w:cs="Arial" w:eastAsia="Arial" w:hAnsi="Arial"/>
                <w:sz w:val="14"/>
                <w:szCs w:val="14"/>
                <w:b w:val="1"/>
                <w:bCs w:val="1"/>
                <w:color w:val="auto"/>
                <w:w w:val="87"/>
              </w:rPr>
              <w:t>End of</w:t>
            </w:r>
          </w:p>
        </w:tc>
      </w:tr>
      <w:tr>
        <w:trPr>
          <w:trHeight w:val="176"/>
        </w:trPr>
        <w:tc>
          <w:tcPr>
            <w:tcW w:w="140" w:type="dxa"/>
            <w:vAlign w:val="bottom"/>
          </w:tcPr>
          <w:p>
            <w:pPr>
              <w:spacing w:after="0"/>
              <w:rPr>
                <w:sz w:val="15"/>
                <w:szCs w:val="15"/>
                <w:color w:val="auto"/>
              </w:rPr>
            </w:pPr>
          </w:p>
        </w:tc>
        <w:tc>
          <w:tcPr>
            <w:tcW w:w="62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Period</w:t>
            </w:r>
          </w:p>
        </w:tc>
        <w:tc>
          <w:tcPr>
            <w:tcW w:w="460" w:type="dxa"/>
            <w:vAlign w:val="bottom"/>
          </w:tcPr>
          <w:p>
            <w:pPr>
              <w:spacing w:after="0"/>
              <w:rPr>
                <w:sz w:val="15"/>
                <w:szCs w:val="15"/>
                <w:color w:val="auto"/>
              </w:rPr>
            </w:pPr>
          </w:p>
        </w:tc>
        <w:tc>
          <w:tcPr>
            <w:tcW w:w="70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w w:val="85"/>
              </w:rPr>
              <w:t>Expenses</w:t>
            </w:r>
            <w:r>
              <w:rPr>
                <w:rFonts w:ascii="Arial" w:cs="Arial" w:eastAsia="Arial" w:hAnsi="Arial"/>
                <w:sz w:val="20"/>
                <w:szCs w:val="20"/>
                <w:b w:val="1"/>
                <w:bCs w:val="1"/>
                <w:color w:val="auto"/>
                <w:w w:val="85"/>
                <w:vertAlign w:val="superscript"/>
              </w:rPr>
              <w:t>(1)</w:t>
            </w:r>
          </w:p>
        </w:tc>
        <w:tc>
          <w:tcPr>
            <w:tcW w:w="460" w:type="dxa"/>
            <w:vAlign w:val="bottom"/>
          </w:tcPr>
          <w:p>
            <w:pPr>
              <w:spacing w:after="0"/>
              <w:rPr>
                <w:sz w:val="15"/>
                <w:szCs w:val="15"/>
                <w:color w:val="auto"/>
              </w:rPr>
            </w:pPr>
          </w:p>
        </w:tc>
        <w:tc>
          <w:tcPr>
            <w:tcW w:w="64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89"/>
              </w:rPr>
              <w:t>Through</w:t>
            </w:r>
            <w:r>
              <w:rPr>
                <w:rFonts w:ascii="Arial" w:cs="Arial" w:eastAsia="Arial" w:hAnsi="Arial"/>
                <w:sz w:val="20"/>
                <w:szCs w:val="20"/>
                <w:b w:val="1"/>
                <w:bCs w:val="1"/>
                <w:color w:val="auto"/>
                <w:w w:val="89"/>
                <w:vertAlign w:val="superscript"/>
              </w:rPr>
              <w:t>(2)</w:t>
            </w:r>
          </w:p>
        </w:tc>
        <w:tc>
          <w:tcPr>
            <w:tcW w:w="4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FX Effects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w w:val="87"/>
              </w:rPr>
              <w:t>Period</w:t>
            </w:r>
          </w:p>
        </w:tc>
      </w:tr>
      <w:tr>
        <w:trPr>
          <w:trHeight w:val="20"/>
        </w:trPr>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40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3,447</w:t>
            </w:r>
          </w:p>
        </w:tc>
        <w:tc>
          <w:tcPr>
            <w:tcW w:w="4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1,386</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(1,238)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3,037</w:t>
            </w: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2,135</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1,749</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(752)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-409575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-135255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5380" w:space="720"/>
            <w:col w:w="5320"/>
          </w:cols>
          <w:pgMar w:left="240" w:top="459" w:right="239" w:bottom="1440" w:gutter="0" w:footer="0" w:header="0"/>
          <w:type w:val="continuous"/>
        </w:sectPr>
      </w:pPr>
    </w:p>
    <w:p>
      <w:pPr>
        <w:ind w:left="460" w:hanging="452"/>
        <w:spacing w:after="0"/>
        <w:tabs>
          <w:tab w:leader="none" w:pos="460" w:val="left"/>
        </w:tabs>
        <w:numPr>
          <w:ilvl w:val="0"/>
          <w:numId w:val="4"/>
        </w:numPr>
        <w:rPr>
          <w:rFonts w:ascii="Arial" w:cs="Arial" w:eastAsia="Arial" w:hAnsi="Arial"/>
          <w:sz w:val="20"/>
          <w:szCs w:val="20"/>
          <w:color w:val="auto"/>
          <w:vertAlign w:val="superscript"/>
        </w:rPr>
      </w:pPr>
      <w:r>
        <w:rPr>
          <w:rFonts w:ascii="Arial" w:cs="Arial" w:eastAsia="Arial" w:hAnsi="Arial"/>
          <w:sz w:val="16"/>
          <w:szCs w:val="16"/>
          <w:color w:val="auto"/>
        </w:rPr>
        <w:t>The additions charged to costs and expenses does not include inventory directly written-off that was scrapped during production totaling $0.1 million and</w:t>
      </w:r>
    </w:p>
    <w:p>
      <w:pPr>
        <w:spacing w:after="0" w:line="7" w:lineRule="exact"/>
        <w:rPr>
          <w:rFonts w:ascii="Arial" w:cs="Arial" w:eastAsia="Arial" w:hAnsi="Arial"/>
          <w:sz w:val="20"/>
          <w:szCs w:val="20"/>
          <w:color w:val="auto"/>
          <w:vertAlign w:val="superscript"/>
        </w:rPr>
      </w:pPr>
    </w:p>
    <w:p>
      <w:pPr>
        <w:ind w:left="460"/>
        <w:spacing w:after="0" w:line="276" w:lineRule="auto"/>
        <w:rPr>
          <w:rFonts w:ascii="Arial" w:cs="Arial" w:eastAsia="Arial" w:hAnsi="Arial"/>
          <w:sz w:val="20"/>
          <w:szCs w:val="20"/>
          <w:color w:val="auto"/>
          <w:vertAlign w:val="superscript"/>
        </w:rPr>
      </w:pPr>
      <w:r>
        <w:rPr>
          <w:rFonts w:ascii="Arial" w:cs="Arial" w:eastAsia="Arial" w:hAnsi="Arial"/>
          <w:sz w:val="16"/>
          <w:szCs w:val="16"/>
          <w:color w:val="auto"/>
        </w:rPr>
        <w:t>$0.3 million for the three months ended June 30, 2012 and 2011, respectively, and $0.2 million and $0.4 million for the six months ended June 30, 2012 and 2011, respectively. These amounts are production waste and are not included in management’s reserve for excess and obsolete inventory.</w:t>
      </w:r>
    </w:p>
    <w:p>
      <w:pPr>
        <w:spacing w:after="0" w:line="1" w:lineRule="exact"/>
        <w:rPr>
          <w:rFonts w:ascii="Arial" w:cs="Arial" w:eastAsia="Arial" w:hAnsi="Arial"/>
          <w:sz w:val="20"/>
          <w:szCs w:val="20"/>
          <w:color w:val="auto"/>
          <w:vertAlign w:val="superscript"/>
        </w:rPr>
      </w:pPr>
    </w:p>
    <w:p>
      <w:pPr>
        <w:ind w:left="460" w:right="200" w:hanging="452"/>
        <w:spacing w:after="0" w:line="233"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This column represents the gross book value of inventory items sold during the period that had been previously written down to zero net book value. Sell through is the result of differences between our judgment concerning the salability of inventory items during the excess and obsolete inventory review process and our subsequent experience.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Inventory write-downs for excess and obsolescence are a normal part of our business and result primarily from product life cycle estimation variances.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Inventories</w:t>
      </w:r>
      <w:r>
        <w:rPr>
          <w:rFonts w:ascii="Arial" w:cs="Arial" w:eastAsia="Arial" w:hAnsi="Arial"/>
          <w:sz w:val="18"/>
          <w:szCs w:val="18"/>
          <w:color w:val="auto"/>
        </w:rPr>
        <w:t xml:space="preserve"> in our Annual Report on Form 10-K for further information regarding our accounting principles.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We purchase integrated circuits, components and finished goods from multiple sources. The total integrated circuit purchases from Samsung were greater than 10% of our total inventory purchases for the three and six months ended June 30, 2012 and 2011. In addition, our component and finished good purchases from Samjin amounted to greater than 10% of our total inventory purchases for the six months ended June 30, 2012.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2012 and 2011, the amount purchased from this supplier was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2012</w:t>
            </w:r>
          </w:p>
        </w:tc>
        <w:tc>
          <w:tcPr>
            <w:tcW w:w="66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2011</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31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 of Total</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 of Total</w:t>
            </w:r>
          </w:p>
        </w:tc>
        <w:tc>
          <w:tcPr>
            <w:tcW w:w="100" w:type="dxa"/>
            <w:vAlign w:val="bottom"/>
          </w:tcPr>
          <w:p>
            <w:pPr>
              <w:spacing w:after="0"/>
              <w:rPr>
                <w:sz w:val="11"/>
                <w:szCs w:val="11"/>
                <w:color w:val="auto"/>
              </w:rPr>
            </w:pPr>
          </w:p>
        </w:tc>
      </w:tr>
      <w:tr>
        <w:trPr>
          <w:trHeight w:val="149"/>
        </w:trPr>
        <w:tc>
          <w:tcPr>
            <w:tcW w:w="3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Inventory</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Inventory</w:t>
            </w:r>
          </w:p>
        </w:tc>
      </w:tr>
      <w:tr>
        <w:trPr>
          <w:trHeight w:val="161"/>
        </w:trPr>
        <w:tc>
          <w:tcPr>
            <w:tcW w:w="3160" w:type="dxa"/>
            <w:vAlign w:val="bottom"/>
          </w:tcPr>
          <w:p>
            <w:pPr>
              <w:spacing w:after="0"/>
              <w:rPr>
                <w:sz w:val="14"/>
                <w:szCs w:val="14"/>
                <w:color w:val="auto"/>
              </w:rPr>
            </w:pPr>
          </w:p>
        </w:tc>
        <w:tc>
          <w:tcPr>
            <w:tcW w:w="2620" w:type="dxa"/>
            <w:vAlign w:val="bottom"/>
            <w:gridSpan w:val="2"/>
          </w:tcPr>
          <w:p>
            <w:pPr>
              <w:ind w:left="25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2"/>
              </w:rPr>
              <w:t>(thousands)</w:t>
            </w:r>
          </w:p>
        </w:tc>
        <w:tc>
          <w:tcPr>
            <w:tcW w:w="5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Purchases</w:t>
            </w:r>
          </w:p>
        </w:tc>
        <w:tc>
          <w:tcPr>
            <w:tcW w:w="700" w:type="dxa"/>
            <w:vAlign w:val="bottom"/>
            <w:gridSpan w:val="2"/>
          </w:tcPr>
          <w:p>
            <w:pPr>
              <w:ind w:left="620"/>
              <w:spacing w:after="0"/>
              <w:rPr>
                <w:sz w:val="20"/>
                <w:szCs w:val="20"/>
                <w:color w:val="auto"/>
              </w:rPr>
            </w:pPr>
            <w:r>
              <w:rPr>
                <w:rFonts w:ascii="Arial" w:cs="Arial" w:eastAsia="Arial" w:hAnsi="Arial"/>
                <w:sz w:val="14"/>
                <w:szCs w:val="14"/>
                <w:b w:val="1"/>
                <w:bCs w:val="1"/>
                <w:color w:val="auto"/>
                <w:w w:val="76"/>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(thousands)</w:t>
            </w:r>
          </w:p>
        </w:tc>
        <w:tc>
          <w:tcPr>
            <w:tcW w:w="56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Purchases</w:t>
            </w:r>
          </w:p>
        </w:tc>
      </w:tr>
      <w:tr>
        <w:trPr>
          <w:trHeight w:val="210"/>
        </w:trPr>
        <w:tc>
          <w:tcPr>
            <w:tcW w:w="3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Samsung</w:t>
            </w:r>
          </w:p>
        </w:tc>
        <w:tc>
          <w:tcPr>
            <w:tcW w:w="2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9,206</w:t>
            </w: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2012 and 2011, the amounts purchased from these two suppliers were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w w:val="99"/>
              </w:rPr>
              <w:t>Six Months Ended June 30,</w:t>
            </w: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29"/>
        </w:trPr>
        <w:tc>
          <w:tcPr>
            <w:tcW w:w="5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 of Total</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Pr>
          <w:p>
            <w:pPr>
              <w:spacing w:after="0"/>
              <w:rPr>
                <w:sz w:val="11"/>
                <w:szCs w:val="11"/>
                <w:color w:val="auto"/>
              </w:rPr>
            </w:pPr>
          </w:p>
        </w:tc>
      </w:tr>
      <w:tr>
        <w:trPr>
          <w:trHeight w:val="149"/>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Inventory</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Inventory</w:t>
            </w:r>
          </w:p>
        </w:tc>
      </w:tr>
      <w:tr>
        <w:trPr>
          <w:trHeight w:val="161"/>
        </w:trPr>
        <w:tc>
          <w:tcPr>
            <w:tcW w:w="5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(thousands)</w:t>
            </w:r>
          </w:p>
        </w:tc>
        <w:tc>
          <w:tcPr>
            <w:tcW w:w="6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Purchases</w:t>
            </w:r>
          </w:p>
        </w:tc>
        <w:tc>
          <w:tcPr>
            <w:tcW w:w="7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6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Purchases</w:t>
            </w:r>
          </w:p>
        </w:tc>
        <w:tc>
          <w:tcPr>
            <w:tcW w:w="200" w:type="dxa"/>
            <w:vAlign w:val="bottom"/>
            <w:tcBorders>
              <w:bottom w:val="single" w:sz="8" w:color="CCEEFF"/>
            </w:tcBorders>
          </w:tcPr>
          <w:p>
            <w:pPr>
              <w:spacing w:after="0"/>
              <w:rPr>
                <w:sz w:val="14"/>
                <w:szCs w:val="14"/>
                <w:color w:val="auto"/>
              </w:rPr>
            </w:pPr>
          </w:p>
        </w:tc>
      </w:tr>
      <w:tr>
        <w:trPr>
          <w:trHeight w:val="210"/>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Samsung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10,935</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15,842</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Samjin</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11,193</w:t>
            </w:r>
          </w:p>
        </w:tc>
        <w:tc>
          <w:tcPr>
            <w:tcW w:w="2040" w:type="dxa"/>
            <w:vAlign w:val="bottom"/>
            <w:gridSpan w:val="3"/>
          </w:tcPr>
          <w:p>
            <w:pPr>
              <w:ind w:left="96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total accounts payable to each of these suppliers on June 30, 2012 and December 31, 2011 were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Pr>
          <w:p>
            <w:pPr>
              <w:spacing w:after="0"/>
              <w:rPr>
                <w:sz w:val="14"/>
                <w:szCs w:val="14"/>
                <w:color w:val="auto"/>
              </w:rPr>
            </w:pPr>
          </w:p>
        </w:tc>
        <w:tc>
          <w:tcPr>
            <w:tcW w:w="25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 of Accounts</w:t>
            </w:r>
          </w:p>
        </w:tc>
        <w:tc>
          <w:tcPr>
            <w:tcW w:w="8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 of Accounts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79"/>
              </w:rPr>
              <w:t>(thousands)</w:t>
            </w:r>
          </w:p>
        </w:tc>
        <w:tc>
          <w:tcPr>
            <w:tcW w:w="74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6"/>
              </w:rPr>
              <w:t>Payable</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2"/>
              </w:rPr>
              <w:t>(thousands)</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Payable</w:t>
            </w:r>
          </w:p>
        </w:tc>
        <w:tc>
          <w:tcPr>
            <w:tcW w:w="0" w:type="dxa"/>
            <w:vAlign w:val="bottom"/>
          </w:tcPr>
          <w:p>
            <w:pPr>
              <w:spacing w:after="0"/>
              <w:rPr>
                <w:sz w:val="1"/>
                <w:szCs w:val="1"/>
                <w:color w:val="auto"/>
              </w:rPr>
            </w:pPr>
          </w:p>
        </w:tc>
      </w:tr>
      <w:tr>
        <w:trPr>
          <w:trHeight w:val="20"/>
        </w:trPr>
        <w:tc>
          <w:tcPr>
            <w:tcW w:w="2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Samsung</w:t>
            </w:r>
          </w:p>
        </w:tc>
        <w:tc>
          <w:tcPr>
            <w:tcW w:w="19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40" w:type="dxa"/>
            <w:vAlign w:val="bottom"/>
            <w:vMerge w:val="continue"/>
            <w:shd w:val="clear" w:color="auto" w:fill="CCEEFF"/>
          </w:tcPr>
          <w:p>
            <w:pPr>
              <w:spacing w:after="0"/>
              <w:rPr>
                <w:sz w:val="18"/>
                <w:szCs w:val="18"/>
                <w:color w:val="auto"/>
              </w:rPr>
            </w:pPr>
          </w:p>
        </w:tc>
        <w:tc>
          <w:tcPr>
            <w:tcW w:w="1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79"/>
              </w:rPr>
              <w:t>2,185</w:t>
            </w:r>
          </w:p>
        </w:tc>
        <w:tc>
          <w:tcPr>
            <w:tcW w:w="740" w:type="dxa"/>
            <w:vAlign w:val="bottom"/>
            <w:vMerge w:val="continue"/>
            <w:shd w:val="clear" w:color="auto" w:fill="CCEEFF"/>
          </w:tcPr>
          <w:p>
            <w:pPr>
              <w:spacing w:after="0"/>
              <w:rPr>
                <w:sz w:val="18"/>
                <w:szCs w:val="18"/>
                <w:color w:val="auto"/>
              </w:rPr>
            </w:pPr>
          </w:p>
        </w:tc>
        <w:tc>
          <w:tcPr>
            <w:tcW w:w="1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74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2640" w:type="dxa"/>
            <w:vAlign w:val="bottom"/>
          </w:tcPr>
          <w:p>
            <w:pPr>
              <w:spacing w:after="0"/>
              <w:rPr>
                <w:sz w:val="20"/>
                <w:szCs w:val="20"/>
                <w:color w:val="auto"/>
              </w:rPr>
            </w:pPr>
            <w:r>
              <w:rPr>
                <w:rFonts w:ascii="Arial" w:cs="Arial" w:eastAsia="Arial" w:hAnsi="Arial"/>
                <w:sz w:val="18"/>
                <w:szCs w:val="18"/>
                <w:color w:val="auto"/>
              </w:rPr>
              <w:t>Samjin</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w w:val="79"/>
              </w:rPr>
              <w:t>3,764</w:t>
            </w:r>
          </w:p>
        </w:tc>
        <w:tc>
          <w:tcPr>
            <w:tcW w:w="1620" w:type="dxa"/>
            <w:vAlign w:val="bottom"/>
            <w:gridSpan w:val="2"/>
          </w:tcPr>
          <w:p>
            <w:pPr>
              <w:ind w:left="1400"/>
              <w:spacing w:after="0"/>
              <w:rPr>
                <w:sz w:val="20"/>
                <w:szCs w:val="20"/>
                <w:color w:val="auto"/>
              </w:rPr>
            </w:pPr>
            <w:r>
              <w:rPr>
                <w:rFonts w:ascii="Arial" w:cs="Arial" w:eastAsia="Arial" w:hAnsi="Arial"/>
                <w:sz w:val="18"/>
                <w:szCs w:val="18"/>
                <w:color w:val="auto"/>
                <w:w w:val="79"/>
              </w:rPr>
              <w:t>8.3</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generally maintain inventories of our integrated circuits, which may be utilized to mitigate, but not eliminate, delays resulting from supply interruptions. An extended interruption, shortage or termination in the supply of any of the components used in our products, a reduction in their quality or reliability, or a significant increase in the prices of components, would have an adverse effect on our operating results, financial condition and cash flows.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purchase certain printed circuit board assemblies (“PCBAs”) from a related party vendor. The vendor is considered a related party for financial reporting purposes because the Senior Vice President of Manufacturing of Enson Assets Limited (“Enson”) owns 40% of this vendor. Our purchases from this vendor for the three and six months ended June 30, 2012 totaled approximately $2.2 million and $3.5 million, or 3.8% and 3.3% of total inventory purchases, respectively. Our purchases from this vendor for the three and six months ended June 30, 2011 totaled approximately $2.2 million and $3.9 million, or 2.8% and 2.9% of total inventory purchases, respectively. Payable amounts outstanding to this vendor were approximately $1.6 million and $1.9 million on June 30, 2012 and December 31, 2011, respectively. Our payment terms and pricing with this vendor are consistent with the terms offered by other vendors in the ordinary course of business. The accounting policies that we apply to our transactions with our related party are consistent with those applied in transactions with independent third parties. Corporate management routinely monitors purchases from our related party vendor to ensure these purchases remain consistent with our business objectives.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Under the accounting guidance, the unit of accounting for goodwill is at a level of reporting referred to as a “reporting unit.” A reporting unit is either (1) an operating segment or (2) one level below an operating segment — referred to as a component. During the fourth quarter 2010, as a result of us flattening our management structure, we merged our international component with our domestic component. We no longer have segment management of the international component and the financial results of our international component are not separate. In addition, these components have similar economic characteristics. As a result of these changes, our domestic and international components have been merged into our single operating segment.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goodwill balance on June 30, 2012 and the changes in the carrying amount of goodwill during the six months ended June 30, 2012 were the following:</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 xml:space="preserve">Goodwill adjustment </w:t>
            </w:r>
            <w:r>
              <w:rPr>
                <w:rFonts w:ascii="Arial" w:cs="Arial" w:eastAsia="Arial" w:hAnsi="Arial"/>
                <w:sz w:val="11"/>
                <w:szCs w:val="11"/>
                <w:color w:val="auto"/>
              </w:rPr>
              <w:t>(1)</w:t>
            </w:r>
          </w:p>
        </w:tc>
        <w:tc>
          <w:tcPr>
            <w:tcW w:w="24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2012</w:t>
            </w:r>
          </w:p>
        </w:tc>
        <w:tc>
          <w:tcPr>
            <w:tcW w:w="246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30,795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40" w:hanging="452"/>
        <w:spacing w:after="0" w:line="228"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The adjustment, which relates to international goodwill, was the result of fluctuations in the foreign currency exchange rates used to translate the balances into U.S. dollars.</w:t>
      </w:r>
    </w:p>
    <w:p>
      <w:pPr>
        <w:spacing w:after="0" w:line="157"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 xml:space="preserve">Please see Note 2 under the captions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and </w:t>
      </w:r>
      <w:r>
        <w:rPr>
          <w:rFonts w:ascii="Arial" w:cs="Arial" w:eastAsia="Arial" w:hAnsi="Arial"/>
          <w:sz w:val="18"/>
          <w:szCs w:val="18"/>
          <w:i w:val="1"/>
          <w:iCs w:val="1"/>
          <w:color w:val="auto"/>
        </w:rPr>
        <w:t>Fair-Value Measurements</w:t>
      </w:r>
      <w:r>
        <w:rPr>
          <w:rFonts w:ascii="Arial" w:cs="Arial" w:eastAsia="Arial" w:hAnsi="Arial"/>
          <w:sz w:val="18"/>
          <w:szCs w:val="18"/>
          <w:color w:val="auto"/>
        </w:rPr>
        <w:t xml:space="preserve"> in our Annual Report on Form 10-K for further information regarding our accounting principles and the valuation methodology utilized.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on June 30, 2012 and December 31, 2011 were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0"/>
              </w:rPr>
              <w:t>December 31, 2011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500" w:type="dxa"/>
            <w:vAlign w:val="bottom"/>
          </w:tcPr>
          <w:p>
            <w:pPr>
              <w:jc w:val="right"/>
              <w:ind w:right="55"/>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6"/>
        </w:trPr>
        <w:tc>
          <w:tcPr>
            <w:tcW w:w="5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Carrying amount</w:t>
            </w:r>
            <w:r>
              <w:rPr>
                <w:rFonts w:ascii="Arial" w:cs="Arial" w:eastAsia="Arial" w:hAnsi="Arial"/>
                <w:sz w:val="11"/>
                <w:szCs w:val="11"/>
                <w:color w:val="auto"/>
              </w:rPr>
              <w:t>(1)</w:t>
            </w: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Distribution rights (10 years)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363</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Patents (10 years)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Trademarks and trade names (10 years)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2,840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1,856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2,837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Developed and core technology (5-15 years)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Capitalized software development costs (1-2 years)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1,515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relationships (10-15 years)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26,397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21,817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26,367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Total carrying amount</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42,002</w:t>
            </w:r>
          </w:p>
        </w:tc>
        <w:tc>
          <w:tcPr>
            <w:tcW w:w="2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(10,810)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31,192</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44,079</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(11,265)</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620" w:right="980" w:hanging="5612"/>
        <w:spacing w:after="0" w:line="387" w:lineRule="auto"/>
        <w:tabs>
          <w:tab w:leader="none" w:pos="448"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This table excludes fully amortized intangible assets of $10.6 million and $8.1 million on June 30, 2012 and December 31, 2011, respectively. 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Amortization expense is recorded in selling, general and administrative expenses, except amortization expense related to capitalized software development costs which is recorded in cost of sales. Amortization expense by income statement caption for the three and six months ended June 30, 2012 and 2011 is the following:</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954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2,077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our intangible assets, net at June 30, 2012, is the following:</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2012 (remaining 6 months)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2013</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2015</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Thereafter</w:t>
            </w:r>
          </w:p>
        </w:tc>
        <w:tc>
          <w:tcPr>
            <w:tcW w:w="2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13,556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31,192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Measured at Fair Value on a Nonrecurring Basis</w:t>
      </w:r>
    </w:p>
    <w:p>
      <w:pPr>
        <w:spacing w:after="0" w:line="90"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We did not record any material impairment charges related to our intangible assets during the six months ended June 30, 2012. Impairment charges are recorded in selling, general and administrative expenses as a component of amortization expense, except impairment charges related to capitalized software development costs which are recorded in cost of sales. Quoted prices for identical or similar patents, trademarks and trade names are unavailable. The fair value of intangible assets is based upon management’s judgment. Management believes that the net book value represents the fair value of our patents, trademarks and trade names. The fair value adjustments for intangible assets measured at fair value on a nonrecurring basis during the six months ended June 30, 2012 were composed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Fair Value Measurement Using</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720" w:type="dxa"/>
            <w:vAlign w:val="bottom"/>
          </w:tcPr>
          <w:p>
            <w:pPr>
              <w:spacing w:after="0"/>
              <w:rPr>
                <w:sz w:val="12"/>
                <w:szCs w:val="12"/>
                <w:color w:val="auto"/>
              </w:rPr>
            </w:pPr>
          </w:p>
        </w:tc>
        <w:tc>
          <w:tcPr>
            <w:tcW w:w="17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100" w:type="dxa"/>
            <w:vAlign w:val="bottom"/>
          </w:tcPr>
          <w:p>
            <w:pPr>
              <w:spacing w:after="0"/>
              <w:rPr>
                <w:sz w:val="12"/>
                <w:szCs w:val="12"/>
                <w:color w:val="auto"/>
              </w:rPr>
            </w:pPr>
          </w:p>
        </w:tc>
        <w:tc>
          <w:tcPr>
            <w:tcW w:w="74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86"/>
              </w:rPr>
              <w:t>Significant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Observable</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4"/>
        </w:trPr>
        <w:tc>
          <w:tcPr>
            <w:tcW w:w="43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27"/>
              <w:spacing w:after="0" w:line="135" w:lineRule="exact"/>
              <w:rPr>
                <w:sz w:val="20"/>
                <w:szCs w:val="20"/>
                <w:color w:val="auto"/>
              </w:rPr>
            </w:pPr>
            <w:r>
              <w:rPr>
                <w:rFonts w:ascii="Arial" w:cs="Arial" w:eastAsia="Arial" w:hAnsi="Arial"/>
                <w:sz w:val="14"/>
                <w:szCs w:val="14"/>
                <w:b w:val="1"/>
                <w:bCs w:val="1"/>
                <w:color w:val="auto"/>
                <w:w w:val="78"/>
              </w:rPr>
              <w:t>Assets</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center"/>
              <w:ind w:right="820"/>
              <w:spacing w:after="0" w:line="135"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1"/>
                <w:szCs w:val="11"/>
                <w:color w:val="auto"/>
              </w:rPr>
            </w:pPr>
          </w:p>
        </w:tc>
        <w:tc>
          <w:tcPr>
            <w:tcW w:w="740" w:type="dxa"/>
            <w:vAlign w:val="bottom"/>
          </w:tcPr>
          <w:p>
            <w:pPr>
              <w:jc w:val="center"/>
              <w:ind w:right="7"/>
              <w:spacing w:after="0" w:line="135" w:lineRule="exact"/>
              <w:rPr>
                <w:sz w:val="20"/>
                <w:szCs w:val="20"/>
                <w:color w:val="auto"/>
              </w:rPr>
            </w:pPr>
            <w:r>
              <w:rPr>
                <w:rFonts w:ascii="Arial" w:cs="Arial" w:eastAsia="Arial" w:hAnsi="Arial"/>
                <w:sz w:val="14"/>
                <w:szCs w:val="14"/>
                <w:b w:val="1"/>
                <w:bCs w:val="1"/>
                <w:color w:val="auto"/>
                <w:w w:val="90"/>
              </w:rPr>
              <w:t>Inputs</w:t>
            </w:r>
          </w:p>
        </w:tc>
        <w:tc>
          <w:tcPr>
            <w:tcW w:w="720" w:type="dxa"/>
            <w:vAlign w:val="bottom"/>
          </w:tcPr>
          <w:p>
            <w:pPr>
              <w:spacing w:after="0"/>
              <w:rPr>
                <w:sz w:val="11"/>
                <w:szCs w:val="11"/>
                <w:color w:val="auto"/>
              </w:rPr>
            </w:pPr>
          </w:p>
        </w:tc>
        <w:tc>
          <w:tcPr>
            <w:tcW w:w="58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87"/>
              </w:rPr>
              <w:t>Gains</w:t>
            </w: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5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June 30, 2012</w:t>
            </w:r>
          </w:p>
        </w:tc>
        <w:tc>
          <w:tcPr>
            <w:tcW w:w="120" w:type="dxa"/>
            <w:vAlign w:val="bottom"/>
          </w:tcPr>
          <w:p>
            <w:pPr>
              <w:spacing w:after="0"/>
              <w:rPr>
                <w:sz w:val="12"/>
                <w:szCs w:val="12"/>
                <w:color w:val="auto"/>
              </w:rPr>
            </w:pPr>
          </w:p>
        </w:tc>
        <w:tc>
          <w:tcPr>
            <w:tcW w:w="860" w:type="dxa"/>
            <w:vAlign w:val="bottom"/>
          </w:tcPr>
          <w:p>
            <w:pPr>
              <w:jc w:val="center"/>
              <w:ind w:right="47"/>
              <w:spacing w:after="0" w:line="129" w:lineRule="exact"/>
              <w:rPr>
                <w:sz w:val="20"/>
                <w:szCs w:val="20"/>
                <w:color w:val="auto"/>
              </w:rPr>
            </w:pPr>
            <w:r>
              <w:rPr>
                <w:rFonts w:ascii="Arial" w:cs="Arial" w:eastAsia="Arial" w:hAnsi="Arial"/>
                <w:sz w:val="14"/>
                <w:szCs w:val="14"/>
                <w:b w:val="1"/>
                <w:bCs w:val="1"/>
                <w:color w:val="auto"/>
                <w:w w:val="87"/>
              </w:rPr>
              <w:t>(Level 1)</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2"/>
                <w:szCs w:val="12"/>
                <w:color w:val="auto"/>
              </w:rPr>
            </w:pPr>
          </w:p>
        </w:tc>
        <w:tc>
          <w:tcPr>
            <w:tcW w:w="740" w:type="dxa"/>
            <w:vAlign w:val="bottom"/>
          </w:tcPr>
          <w:p>
            <w:pPr>
              <w:jc w:val="center"/>
              <w:ind w:right="7"/>
              <w:spacing w:after="0" w:line="129" w:lineRule="exact"/>
              <w:rPr>
                <w:sz w:val="20"/>
                <w:szCs w:val="20"/>
                <w:color w:val="auto"/>
              </w:rPr>
            </w:pPr>
            <w:r>
              <w:rPr>
                <w:rFonts w:ascii="Arial" w:cs="Arial" w:eastAsia="Arial" w:hAnsi="Arial"/>
                <w:sz w:val="14"/>
                <w:szCs w:val="14"/>
                <w:b w:val="1"/>
                <w:bCs w:val="1"/>
                <w:color w:val="auto"/>
                <w:w w:val="87"/>
              </w:rPr>
              <w:t>(Level 3)</w:t>
            </w:r>
          </w:p>
        </w:tc>
        <w:tc>
          <w:tcPr>
            <w:tcW w:w="720" w:type="dxa"/>
            <w:vAlign w:val="bottom"/>
          </w:tcPr>
          <w:p>
            <w:pPr>
              <w:spacing w:after="0"/>
              <w:rPr>
                <w:sz w:val="12"/>
                <w:szCs w:val="12"/>
                <w:color w:val="auto"/>
              </w:rPr>
            </w:pPr>
          </w:p>
        </w:tc>
        <w:tc>
          <w:tcPr>
            <w:tcW w:w="5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79"/>
              </w:rPr>
              <w:t>(Losses)</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Patents, trademarks and trade names</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6,059</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62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6,059</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We disposed of 11 patents with an immaterial aggregate carrying amount during the six months ended June 30, 2012. We disposed of four patent and 11 trademarks with an immaterial aggregate carrying amount during the six months ended June 30, 2011.</w:t>
      </w:r>
    </w:p>
    <w:p>
      <w:pPr>
        <w:spacing w:after="0" w:line="132"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 xml:space="preserve">See Note 2 under the captions </w:t>
      </w:r>
      <w:r>
        <w:rPr>
          <w:rFonts w:ascii="Arial" w:cs="Arial" w:eastAsia="Arial" w:hAnsi="Arial"/>
          <w:sz w:val="16"/>
          <w:szCs w:val="16"/>
          <w:i w:val="1"/>
          <w:iCs w:val="1"/>
          <w:color w:val="auto"/>
        </w:rPr>
        <w:t>Long-Lived Assets and Intangible Assets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Capitalized Software Development Costs</w:t>
      </w:r>
      <w:r>
        <w:rPr>
          <w:rFonts w:ascii="Arial" w:cs="Arial" w:eastAsia="Arial" w:hAnsi="Arial"/>
          <w:sz w:val="16"/>
          <w:szCs w:val="16"/>
          <w:color w:val="auto"/>
        </w:rPr>
        <w:t xml:space="preserve">, and </w:t>
      </w:r>
      <w:r>
        <w:rPr>
          <w:rFonts w:ascii="Arial" w:cs="Arial" w:eastAsia="Arial" w:hAnsi="Arial"/>
          <w:sz w:val="16"/>
          <w:szCs w:val="16"/>
          <w:i w:val="1"/>
          <w:iCs w:val="1"/>
          <w:color w:val="auto"/>
        </w:rPr>
        <w:t>Fair-Value Measurements</w:t>
      </w:r>
      <w:r>
        <w:rPr>
          <w:rFonts w:ascii="Arial" w:cs="Arial" w:eastAsia="Arial" w:hAnsi="Arial"/>
          <w:sz w:val="16"/>
          <w:szCs w:val="16"/>
          <w:color w:val="auto"/>
        </w:rPr>
        <w:t xml:space="preserve"> in our Annual Report on Form 10-K for further information regarding our accounting principles and valuation methodology utilized.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Notes Payable and Line of Credit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Notes payable and line of credit on June 30, 2012 and December 31, 2011 were composed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6"/>
              </w:rPr>
              <w:t>Amount Outstanding</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June 30, 2012</w:t>
            </w:r>
          </w:p>
        </w:tc>
        <w:tc>
          <w:tcPr>
            <w:tcW w:w="1920" w:type="dxa"/>
            <w:vAlign w:val="bottom"/>
            <w:gridSpan w:val="3"/>
          </w:tcPr>
          <w:p>
            <w:pPr>
              <w:ind w:left="820"/>
              <w:spacing w:after="0" w:line="142" w:lineRule="exact"/>
              <w:rPr>
                <w:sz w:val="20"/>
                <w:szCs w:val="20"/>
                <w:color w:val="auto"/>
              </w:rPr>
            </w:pPr>
            <w:r>
              <w:rPr>
                <w:rFonts w:ascii="Arial" w:cs="Arial" w:eastAsia="Arial" w:hAnsi="Arial"/>
                <w:sz w:val="14"/>
                <w:szCs w:val="14"/>
                <w:b w:val="1"/>
                <w:bCs w:val="1"/>
                <w:color w:val="auto"/>
                <w:w w:val="85"/>
              </w:rPr>
              <w:t>December 31,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U.S. Bank Term Loan Facility</w:t>
            </w:r>
            <w:r>
              <w:rPr>
                <w:rFonts w:ascii="Arial" w:cs="Arial" w:eastAsia="Arial" w:hAnsi="Arial"/>
                <w:sz w:val="11"/>
                <w:szCs w:val="11"/>
                <w:color w:val="auto"/>
              </w:rPr>
              <w:t>(1)</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 xml:space="preserve">U.S. Bank Revolving Credit Line </w:t>
            </w:r>
            <w:r>
              <w:rPr>
                <w:rFonts w:ascii="Arial" w:cs="Arial" w:eastAsia="Arial" w:hAnsi="Arial"/>
                <w:sz w:val="11"/>
                <w:szCs w:val="11"/>
                <w:color w:val="auto"/>
              </w:rPr>
              <w:t>(2)</w:t>
            </w:r>
          </w:p>
        </w:tc>
        <w:tc>
          <w:tcPr>
            <w:tcW w:w="1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8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jc w:val="both"/>
        <w:ind w:left="460" w:right="100" w:hanging="452"/>
        <w:spacing w:after="0" w:line="267" w:lineRule="auto"/>
        <w:tabs>
          <w:tab w:leader="none" w:pos="46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Under the U.S. Bank term loan, we may elect to pay interest based on the bank’s prime rate or LIBOR plus a fixed margin of 1.5%. The applicable LIBOR (1, 3, 6, or 12-month LIBOR) corresponds with the loan period we select. On June 30, 2012, the 1-month LIBOR plus the fixed margin was approximately 1.7% and the bank’s prime rate was 3.25%. If a LIBOR rate loan is prepaid prior to the completion of the loan period, the Company must pay the bank the difference between the interest the bank would have earned had prepayment not occurred and the interest the bank actually earned.</w:t>
      </w:r>
    </w:p>
    <w:p>
      <w:pPr>
        <w:ind w:left="460" w:hanging="452"/>
        <w:spacing w:after="0" w:line="256" w:lineRule="auto"/>
        <w:tabs>
          <w:tab w:leader="none" w:pos="460" w:val="left"/>
        </w:tabs>
        <w:numPr>
          <w:ilvl w:val="0"/>
          <w:numId w:val="7"/>
        </w:numPr>
        <w:rPr>
          <w:rFonts w:ascii="Arial" w:cs="Arial" w:eastAsia="Arial" w:hAnsi="Arial"/>
          <w:sz w:val="21"/>
          <w:szCs w:val="21"/>
          <w:color w:val="auto"/>
          <w:vertAlign w:val="superscript"/>
        </w:rPr>
      </w:pPr>
      <w:r>
        <w:rPr>
          <w:rFonts w:ascii="Arial" w:cs="Arial" w:eastAsia="Arial" w:hAnsi="Arial"/>
          <w:sz w:val="17"/>
          <w:szCs w:val="17"/>
          <w:color w:val="auto"/>
        </w:rPr>
        <w:t>Under the U.S. Bank secured revolving credit line, we may elect to pay interest based on the bank’s prime rate or LIBOR plus a fixed margin of 1.8%. The applicable LIBOR (1, 3, 6, or 12-month LIBOR) corresponds with the loan period we select. At June 30, 2012, the 1-month LIBOR plus the fixed margin was approximately 2.0%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Our total interest expense on borrowings was $0.1 million and $0.2 million during each of the three and six months ended June 30, 2012 and 2011.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 We recorded income tax expense of $1.1 million and $1.7 million for the three months ended June 30, 2012 and 2011, respectively. Our effective tax rate was 18.1% and 22.1% during the three months ended June 30, 2012 and 2011, respectively. The decline in our effective tax rate is due to the reversal of unrecognized tax benefits originally recorded in 2007, 2010 and 2011 which amounted to $0.3 million.</w:t>
      </w:r>
    </w:p>
    <w:p>
      <w:pPr>
        <w:spacing w:after="0" w:line="143"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We recorded income tax expense of $1.5 million and $2.3 million for the six months ended June 30, 2012 and 2011, respectively. Our effective tax rate was 17.7% and 22.6% during the six months ended June 30, 2012 and 2011, respectively. The decline in our effective tax rate is due to the reversal of unrecognized tax benefits originally recorded in 2007, 2008, 2009, 2010 and 2011 which amounted to $0.5 million.</w:t>
      </w:r>
    </w:p>
    <w:p>
      <w:pPr>
        <w:spacing w:after="0" w:line="10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On June 30, 2012, we had gross unrecognized tax benefits of approximately $5.0 million, including interest and penalties, of which approximately $4.5 million would affect the annual effective tax rate if these tax benefits are realized. Further, we are unaware of any positions for which it is reasonably possible that the total amount of unrecognized tax benefits will significantly increase within the next twelve months. However, based on federal, state and foreign statute expirations in various jurisdictions, we anticipate a decrease in unrecognized tax benefits of approximately $0.1 million within the next twelve months.</w:t>
      </w:r>
    </w:p>
    <w:p>
      <w:pPr>
        <w:spacing w:after="0" w:line="113" w:lineRule="exact"/>
        <w:rPr>
          <w:sz w:val="20"/>
          <w:szCs w:val="20"/>
          <w:color w:val="auto"/>
        </w:rPr>
      </w:pPr>
    </w:p>
    <w:p>
      <w:pPr>
        <w:ind w:right="940"/>
        <w:spacing w:after="0" w:line="268"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$0.1 million on June 30, 2012 and December 31, 2011 are included in our unrecognized tax benefits.</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On June 30, 2012, the open statutes of limitations in our significant tax jurisdictions are as follows: federal 2008 through 2011, state 2007 through 2011, and non-U.S. 2005 through 2011. On June 30, 2012, our gross unrecognized tax benefits of $5.0 million, which included $0.1 million of interest, are classified as long term because we do not anticipate the payment of cash related to those unrecognized tax benefits within one year.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Annual Report on Form 10-K for further information regarding our accounting principles.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on June 30, 2012 and December 31, 2011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June 30, 2012</w:t>
            </w:r>
          </w:p>
        </w:tc>
        <w:tc>
          <w:tcPr>
            <w:tcW w:w="2020" w:type="dxa"/>
            <w:vAlign w:val="bottom"/>
            <w:gridSpan w:val="4"/>
          </w:tcPr>
          <w:p>
            <w:pPr>
              <w:ind w:left="820"/>
              <w:spacing w:after="0"/>
              <w:rPr>
                <w:sz w:val="20"/>
                <w:szCs w:val="20"/>
                <w:color w:val="auto"/>
              </w:rPr>
            </w:pPr>
            <w:r>
              <w:rPr>
                <w:rFonts w:ascii="Arial" w:cs="Arial" w:eastAsia="Arial" w:hAnsi="Arial"/>
                <w:sz w:val="14"/>
                <w:szCs w:val="14"/>
                <w:b w:val="1"/>
                <w:bCs w:val="1"/>
                <w:color w:val="auto"/>
                <w:w w:val="93"/>
              </w:rPr>
              <w:t>December 31, 2011</w:t>
            </w:r>
          </w:p>
        </w:tc>
      </w:tr>
      <w:tr>
        <w:trPr>
          <w:trHeight w:val="210"/>
        </w:trPr>
        <w:tc>
          <w:tcPr>
            <w:tcW w:w="5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social insurance</w:t>
            </w:r>
            <w:r>
              <w:rPr>
                <w:rFonts w:ascii="Arial" w:cs="Arial" w:eastAsia="Arial" w:hAnsi="Arial"/>
                <w:sz w:val="11"/>
                <w:szCs w:val="11"/>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19,831</w:t>
            </w:r>
          </w:p>
        </w:tc>
        <w:tc>
          <w:tcPr>
            <w:tcW w:w="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Accrued salary/wages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4,199</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4,084</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vacation/holiday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Accrued bonus</w:t>
            </w:r>
            <w:r>
              <w:rPr>
                <w:rFonts w:ascii="Arial" w:cs="Arial" w:eastAsia="Arial" w:hAnsi="Arial"/>
                <w:sz w:val="11"/>
                <w:szCs w:val="11"/>
                <w:color w:val="auto"/>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1,734</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Accrued medical insurance claims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473</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compensation</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8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8"/>
                <w:szCs w:val="18"/>
                <w:color w:val="auto"/>
              </w:rPr>
            </w:pPr>
          </w:p>
        </w:tc>
      </w:tr>
      <w:tr>
        <w:trPr>
          <w:trHeight w:val="222"/>
        </w:trPr>
        <w:tc>
          <w:tcPr>
            <w:tcW w:w="5860" w:type="dxa"/>
            <w:vAlign w:val="bottom"/>
          </w:tcPr>
          <w:p>
            <w:pPr>
              <w:ind w:left="440"/>
              <w:spacing w:after="0"/>
              <w:rPr>
                <w:sz w:val="20"/>
                <w:szCs w:val="20"/>
                <w:color w:val="auto"/>
              </w:rPr>
            </w:pPr>
            <w:r>
              <w:rPr>
                <w:rFonts w:ascii="Arial" w:cs="Arial" w:eastAsia="Arial" w:hAnsi="Arial"/>
                <w:sz w:val="18"/>
                <w:szCs w:val="18"/>
                <w:color w:val="auto"/>
              </w:rPr>
              <w:t>Total accrued compensation</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29,629</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29,204</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line="241"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Effective January 1, 2008, the Chinese Labor Contract Law was enacted in the People’s Republic of China (“PRC”). This law mandated that PRC employers remit the applicable social insurance payments to their local government. Social insurance is composed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June 30, 2012 and December 31, 2011.</w:t>
      </w:r>
    </w:p>
    <w:p>
      <w:pPr>
        <w:spacing w:after="0" w:line="1" w:lineRule="exact"/>
        <w:rPr>
          <w:rFonts w:ascii="Arial" w:cs="Arial" w:eastAsia="Arial" w:hAnsi="Arial"/>
          <w:sz w:val="22"/>
          <w:szCs w:val="22"/>
          <w:color w:val="auto"/>
          <w:vertAlign w:val="superscript"/>
        </w:rPr>
      </w:pPr>
    </w:p>
    <w:p>
      <w:pPr>
        <w:ind w:left="460" w:right="220" w:hanging="452"/>
        <w:spacing w:after="0" w:line="239"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Accrued bonus contains an accrual for an extra month of salary (“13</w:t>
      </w:r>
      <w:r>
        <w:rPr>
          <w:rFonts w:ascii="Arial" w:cs="Arial" w:eastAsia="Arial" w:hAnsi="Arial"/>
          <w:sz w:val="11"/>
          <w:szCs w:val="11"/>
          <w:color w:val="auto"/>
        </w:rPr>
        <w:t>th</w:t>
      </w:r>
      <w:r>
        <w:rPr>
          <w:rFonts w:ascii="Arial" w:cs="Arial" w:eastAsia="Arial" w:hAnsi="Arial"/>
          <w:sz w:val="18"/>
          <w:szCs w:val="18"/>
          <w:color w:val="auto"/>
        </w:rPr>
        <w:t xml:space="preserve"> month salary”) to be paid to employees in certain geographies where it is the customary business practice. This 13</w:t>
      </w:r>
      <w:r>
        <w:rPr>
          <w:rFonts w:ascii="Arial" w:cs="Arial" w:eastAsia="Arial" w:hAnsi="Arial"/>
          <w:sz w:val="11"/>
          <w:szCs w:val="11"/>
          <w:color w:val="auto"/>
        </w:rPr>
        <w:t>th</w:t>
      </w:r>
      <w:r>
        <w:rPr>
          <w:rFonts w:ascii="Arial" w:cs="Arial" w:eastAsia="Arial" w:hAnsi="Arial"/>
          <w:sz w:val="18"/>
          <w:szCs w:val="18"/>
          <w:color w:val="auto"/>
        </w:rPr>
        <w:t xml:space="preserve"> month salary is paid to these employees if they remain employed with us through December 31 of each year. The total accrued for the 13</w:t>
      </w:r>
      <w:r>
        <w:rPr>
          <w:rFonts w:ascii="Arial" w:cs="Arial" w:eastAsia="Arial" w:hAnsi="Arial"/>
          <w:sz w:val="11"/>
          <w:szCs w:val="11"/>
          <w:color w:val="auto"/>
        </w:rPr>
        <w:t>th</w:t>
      </w:r>
      <w:r>
        <w:rPr>
          <w:rFonts w:ascii="Arial" w:cs="Arial" w:eastAsia="Arial" w:hAnsi="Arial"/>
          <w:sz w:val="18"/>
          <w:szCs w:val="18"/>
          <w:color w:val="auto"/>
        </w:rPr>
        <w:t xml:space="preserve"> month salary is $0.4 million and $0.4 million on June 30, 2012 and December 31, 2011, respectively. The remaining accrued bonus for 2012 is the estimated amount that will be paid to non-executive and executive level employees. Executive management was not paid bonuses related to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-1393190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Accrued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on June 30, 2012 and December 31, 2011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2012</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Advertising and marketing</w:t>
            </w:r>
          </w:p>
        </w:tc>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 xml:space="preserve">Amount due to CG International Holdings Limited </w:t>
            </w:r>
            <w:r>
              <w:rPr>
                <w:rFonts w:ascii="Arial" w:cs="Arial" w:eastAsia="Arial" w:hAnsi="Arial"/>
                <w:sz w:val="11"/>
                <w:szCs w:val="11"/>
                <w:color w:val="auto"/>
              </w:rPr>
              <w:t>(1)</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Duties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Freight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Professional fees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Property, plant, and equipment </w:t>
            </w:r>
            <w:r>
              <w:rPr>
                <w:rFonts w:ascii="Arial" w:cs="Arial" w:eastAsia="Arial" w:hAnsi="Arial"/>
                <w:sz w:val="11"/>
                <w:szCs w:val="11"/>
                <w:color w:val="auto"/>
              </w:rPr>
              <w:t>(3)</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Sales taxes and VAT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Tooling </w:t>
            </w:r>
            <w:r>
              <w:rPr>
                <w:rFonts w:ascii="Arial" w:cs="Arial" w:eastAsia="Arial" w:hAnsi="Arial"/>
                <w:sz w:val="11"/>
                <w:szCs w:val="11"/>
                <w:color w:val="auto"/>
              </w:rPr>
              <w:t>(2)</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Third-party commissions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2,202</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other accrued expenses</w:t>
            </w:r>
          </w:p>
        </w:tc>
        <w:tc>
          <w:tcPr>
            <w:tcW w:w="1580" w:type="dxa"/>
            <w:vAlign w:val="bottom"/>
            <w:gridSpan w:val="2"/>
            <w:shd w:val="clear" w:color="auto" w:fill="CCEEFF"/>
          </w:tcPr>
          <w:p>
            <w:pPr>
              <w:ind w:left="148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8,156</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0" w:hanging="452"/>
        <w:spacing w:after="0" w:line="235"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The amount due to CG International Holdings Limited is related to the $5.0 million holdback that was originally recorded as of the acquisition date. See Note 21 to the consolidated financial statements included in our Annual Report on Form 10-K for the year ended December 31, 2011 for further information regarding our acquisition of Enson.</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The tooling accrual balance relates to unearned revenue for tooling that will be sold to customers.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The property, plant and equipment accrual balance relates to amounts capitalized within property, plant, and equipment, net.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indemnify our directors and officers to the maximum extent permitted under the laws of the State of Delaware and we have entered into Indemnification Agreements with each of our directors and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directors or officers.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9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14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ectPr>
          <w:pgSz w:w="11900" w:h="16838" w:orient="portrait"/>
          <w:cols w:equalWidth="0" w:num="1">
            <w:col w:w="11420"/>
          </w:cols>
          <w:pgMar w:left="240" w:top="459" w:right="23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liability for product warranty claim costs are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575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Six Months Ended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Accruals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(Reductions)</w:t>
            </w:r>
          </w:p>
        </w:tc>
        <w:tc>
          <w:tcPr>
            <w:tcW w:w="38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Settlements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for</w:t>
            </w:r>
          </w:p>
        </w:tc>
        <w:tc>
          <w:tcPr>
            <w:tcW w:w="380" w:type="dxa"/>
            <w:vAlign w:val="bottom"/>
          </w:tcPr>
          <w:p>
            <w:pPr>
              <w:spacing w:after="0"/>
              <w:rPr>
                <w:sz w:val="12"/>
                <w:szCs w:val="12"/>
                <w:color w:val="auto"/>
              </w:rPr>
            </w:pPr>
          </w:p>
        </w:tc>
        <w:tc>
          <w:tcPr>
            <w:tcW w:w="11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(in Cash or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c>
          <w:tcPr>
            <w:tcW w:w="800" w:type="dxa"/>
            <w:vAlign w:val="bottom"/>
          </w:tcPr>
          <w:p>
            <w:pPr>
              <w:spacing w:after="0"/>
              <w:rPr>
                <w:sz w:val="12"/>
                <w:szCs w:val="12"/>
                <w:color w:val="auto"/>
              </w:rPr>
            </w:pPr>
          </w:p>
        </w:tc>
        <w:tc>
          <w:tcPr>
            <w:tcW w:w="12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Warranties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in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Issued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Kind)</w:t>
            </w:r>
          </w:p>
        </w:tc>
        <w:tc>
          <w:tcPr>
            <w:tcW w:w="3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182"/>
              <w:spacing w:after="0" w:line="149" w:lineRule="exact"/>
              <w:rPr>
                <w:sz w:val="20"/>
                <w:szCs w:val="20"/>
                <w:color w:val="auto"/>
              </w:rPr>
            </w:pPr>
            <w:r>
              <w:rPr>
                <w:rFonts w:ascii="Arial" w:cs="Arial" w:eastAsia="Arial" w:hAnsi="Arial"/>
                <w:sz w:val="14"/>
                <w:szCs w:val="14"/>
                <w:b w:val="1"/>
                <w:bCs w:val="1"/>
                <w:color w:val="auto"/>
              </w:rPr>
              <w:t>of</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During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During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87"/>
              </w:rPr>
              <w:t>End of</w:t>
            </w: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42"/>
              <w:spacing w:after="0"/>
              <w:rPr>
                <w:sz w:val="20"/>
                <w:szCs w:val="20"/>
                <w:color w:val="auto"/>
              </w:rPr>
            </w:pPr>
            <w:r>
              <w:rPr>
                <w:rFonts w:ascii="Arial" w:cs="Arial" w:eastAsia="Arial" w:hAnsi="Arial"/>
                <w:sz w:val="14"/>
                <w:szCs w:val="14"/>
                <w:b w:val="1"/>
                <w:bCs w:val="1"/>
                <w:color w:val="auto"/>
                <w:w w:val="87"/>
              </w:rPr>
              <w:t>Period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the Period</w:t>
            </w:r>
          </w:p>
        </w:tc>
        <w:tc>
          <w:tcPr>
            <w:tcW w:w="38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the Period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w w:val="87"/>
              </w:rPr>
              <w:t>Period</w:t>
            </w:r>
          </w:p>
        </w:tc>
      </w:tr>
      <w:tr>
        <w:trPr>
          <w:trHeight w:val="201"/>
        </w:trPr>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8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ind w:left="420"/>
              <w:spacing w:after="0" w:line="201"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ind w:left="300"/>
              <w:spacing w:after="0" w:line="201"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r>
      <w:tr>
        <w:trPr>
          <w:trHeight w:val="222"/>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(38)</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ectPr>
          <w:pgSz w:w="11900" w:h="16838" w:orient="portrait"/>
          <w:cols w:equalWidth="0" w:num="2">
            <w:col w:w="5500" w:space="720"/>
            <w:col w:w="5200"/>
          </w:cols>
          <w:pgMar w:left="240" w:top="459"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July 15, 2011, we filed a lawsuit against Logitech, Inc., Logitech International S.A. and Logitech Europe S.A. in the United States District Court, Central District of California (Universal Electronics Inc. v. Logitech, Inc., Logitech International S.A. and Logitech Europe S.A., SACV 11-1056-JVS(ANx)) alleging that the Logitech companies are infringing seventeen of our patents related to remote control technology. We have alleged that this complaint relates to multiple Logitech remote control products, including the Harmony H300, H650, H700, H900, One, H1100, Logitech Revue (for Google TV), Harmony remote apps for iOS and Android platforms, and other applications and/or programming for touch screen mobile devices. We are seeking monetary relief for the infringement, including enhanced damages due to the willfulness of the Logitech companies’ actions, injunctive relief to enjoin the Logitech companies from further infringing, including contributory infringement and/or inducing infringement, and attorney’s fees. In its answer, filed on November 3, 2011, the Logitech companies generally denied all of our allegations of infringement and counterclaimed that we are infringing five of their patents. On November 24, 2011, we answered the Logitech companies’ counterclaims, generally denying all of their allegations of infringement, and we are vigorously defending ourselves against these counterclaims. We are presently in settlement discussions with Logitech.</w:t>
      </w:r>
    </w:p>
    <w:p>
      <w:pPr>
        <w:spacing w:after="0" w:line="123"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On March 2, 2012, we filed a lawsuit against Universal Remote Control, Inc. (“URC”) in the United States District Court, Central District of California (Universal Electronics Inc. v. Universal Remote Control, Inc., SACV12-0039 AG (JPRx)) alleging that URC is infringing, directly and indirectly, four of our patents related to remote control technology. We have alleged that this complaint relates to multiple URC remote control products, including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URC model numbers UR5U-9000L, WR7 and other remote controls with different model names or numbers, but with substantially the same designs, features, and functionalities. We are seeking monetary relief for the infringement, including enhanced damages due to the willfulness of URC’s actions, injunctive relief to enjoin URC from further infringing, including contributory infringement and/or inducing infringement, and attorney’s fees. URC has denied infringing our patents. This matter is in the very early stages, with discovery just beginning.</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or results of operations. Moreover, we believe that our products do not infringe any third parties’ patents or other intellectual property rights.</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adopted a non-qualified deferred compensation plan for the benefit of a select group of highly compensated employees. For each plan year a participant may elect to defer compensation in fixed dollar amounts or percentages subject to the minimums and maximums established under the plan. Generally, an election to defer compensation is irrevocable for the entire plan year. A participant is always fully vested in their elective deferrals and may direct these funds into various investment options available under the plan. These investment options are utilized for measurement purposes only, and may not represent the actual investment made by us. In this respect, the participant is an unsecured creditor of ours. On June 30, 2012 and December 31, 2011, the amounts deferred under the plan were immaterial to our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subsidiary in India maintains a defined benefit pension plan (“India Plan”) for local employees, which is consistent with local statutes and practices. The pension plan was adequately funded on June 30, 2012 and December 31, 2011 based on its latest actuarial report. The India Plan has an independent external manager that advises us of the appropriate funding contribution requirements to which we comply. At June 30, 2012, approximately 37 percent of our India subsidiary employees had qualified for eligibility. An individual must be employed by our India subsidiary for a minimum of five years before becoming eligible. Upon the termination, resignation or retirement of an eligible employee, we are liable to pay the employee an amount equal to 15 days salary for each full year of service completed. The total amount of liability outstanding at June 30, 2012 and December 31, 2011 for the India Plan is not material. During the six months ended June 30, 2012 and 2011, the net periodic benefit costs were also not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Treasury Stock</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six months ended June 30, 2012 and 2011, we repurchased 27,980 and 137,190 shares of our common stock at a cost of $0.5 million and $3.5 million, respectively. Repurchased shares are recorded as shares held in treasury at cost. We generally hold these shares for future use as our management and Board of Directors deem appropriate, including compensating our outside directors. During the six months ended June 30, 2012 and 2011, we issued 22,500 and 15,000 shares, respectively, to outside directors for services performed (see Note 13).</w:t>
      </w:r>
    </w:p>
    <w:p>
      <w:pPr>
        <w:spacing w:after="0" w:line="14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On February 11, 2010, our Board of Directors authorized management to repurchase up to 1,000,000 shares of our issued and outstanding common stock. As of June 30, 2012, we have repurchased 958,070 shares of our common stock under this authorization, leaving 41,930 shares available for repurchase.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On October 26, 2011, our Board of Directors authorized management to repurchase an additional 1,000,000 shares of our issued and outstanding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2012, we have not repurchased any shares under the Board authorization approved on October 26, 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Segment and Foreign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for the three and six months ended June 30, 2012 and 2011 were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40,125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30,912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74,295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880"/>
              <w:spacing w:after="0"/>
              <w:rPr>
                <w:sz w:val="20"/>
                <w:szCs w:val="20"/>
                <w:color w:val="auto"/>
              </w:rPr>
            </w:pPr>
            <w:r>
              <w:rPr>
                <w:rFonts w:ascii="Arial" w:cs="Arial" w:eastAsia="Arial" w:hAnsi="Arial"/>
                <w:sz w:val="18"/>
                <w:szCs w:val="18"/>
                <w:color w:val="auto"/>
              </w:rPr>
              <w:t>People’s Republic of China</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19,826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35,037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Argentina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4,562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880"/>
              <w:spacing w:after="0"/>
              <w:rPr>
                <w:sz w:val="20"/>
                <w:szCs w:val="20"/>
                <w:color w:val="auto"/>
              </w:rPr>
            </w:pPr>
            <w:r>
              <w:rPr>
                <w:rFonts w:ascii="Arial" w:cs="Arial" w:eastAsia="Arial" w:hAnsi="Arial"/>
                <w:sz w:val="18"/>
                <w:szCs w:val="18"/>
                <w:color w:val="auto"/>
              </w:rPr>
              <w:t>Australia</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Brazil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5,773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880"/>
              <w:spacing w:after="0"/>
              <w:rPr>
                <w:sz w:val="20"/>
                <w:szCs w:val="20"/>
                <w:color w:val="auto"/>
              </w:rPr>
            </w:pPr>
            <w:r>
              <w:rPr>
                <w:rFonts w:ascii="Arial" w:cs="Arial" w:eastAsia="Arial" w:hAnsi="Arial"/>
                <w:sz w:val="18"/>
                <w:szCs w:val="18"/>
                <w:color w:val="auto"/>
              </w:rPr>
              <w:t>Canada</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2,543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5,887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880"/>
              <w:spacing w:after="0"/>
              <w:rPr>
                <w:sz w:val="20"/>
                <w:szCs w:val="20"/>
                <w:color w:val="auto"/>
              </w:rPr>
            </w:pPr>
            <w:r>
              <w:rPr>
                <w:rFonts w:ascii="Arial" w:cs="Arial" w:eastAsia="Arial" w:hAnsi="Arial"/>
                <w:sz w:val="18"/>
                <w:szCs w:val="18"/>
                <w:color w:val="auto"/>
              </w:rPr>
              <w:t>Germany</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3,946</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Israel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3,860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880"/>
              <w:spacing w:after="0"/>
              <w:rPr>
                <w:sz w:val="20"/>
                <w:szCs w:val="20"/>
                <w:color w:val="auto"/>
              </w:rPr>
            </w:pPr>
            <w:r>
              <w:rPr>
                <w:rFonts w:ascii="Arial" w:cs="Arial" w:eastAsia="Arial" w:hAnsi="Arial"/>
                <w:sz w:val="18"/>
                <w:szCs w:val="18"/>
                <w:color w:val="auto"/>
              </w:rPr>
              <w:t>Italy</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752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Japan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20,036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880"/>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5,217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Malaysia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6,431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880"/>
              <w:spacing w:after="0"/>
              <w:rPr>
                <w:sz w:val="20"/>
                <w:szCs w:val="20"/>
                <w:color w:val="auto"/>
              </w:rPr>
            </w:pPr>
            <w:r>
              <w:rPr>
                <w:rFonts w:ascii="Arial" w:cs="Arial" w:eastAsia="Arial" w:hAnsi="Arial"/>
                <w:sz w:val="18"/>
                <w:szCs w:val="18"/>
                <w:color w:val="auto"/>
              </w:rPr>
              <w:t>Netherlands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1,567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Portugal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880"/>
              <w:spacing w:after="0"/>
              <w:rPr>
                <w:sz w:val="20"/>
                <w:szCs w:val="20"/>
                <w:color w:val="auto"/>
              </w:rPr>
            </w:pPr>
            <w:r>
              <w:rPr>
                <w:rFonts w:ascii="Arial" w:cs="Arial" w:eastAsia="Arial" w:hAnsi="Arial"/>
                <w:sz w:val="18"/>
                <w:szCs w:val="18"/>
                <w:color w:val="auto"/>
              </w:rPr>
              <w:t>Singapore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6,641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South Africa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880"/>
              <w:spacing w:after="0"/>
              <w:rPr>
                <w:sz w:val="20"/>
                <w:szCs w:val="20"/>
                <w:color w:val="auto"/>
              </w:rPr>
            </w:pPr>
            <w:r>
              <w:rPr>
                <w:rFonts w:ascii="Arial" w:cs="Arial" w:eastAsia="Arial" w:hAnsi="Arial"/>
                <w:sz w:val="18"/>
                <w:szCs w:val="18"/>
                <w:color w:val="auto"/>
              </w:rPr>
              <w:t>Spain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1,708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5,941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880"/>
              <w:spacing w:after="0"/>
              <w:rPr>
                <w:sz w:val="20"/>
                <w:szCs w:val="20"/>
                <w:color w:val="auto"/>
              </w:rPr>
            </w:pPr>
            <w:r>
              <w:rPr>
                <w:rFonts w:ascii="Arial" w:cs="Arial" w:eastAsia="Arial" w:hAnsi="Arial"/>
                <w:sz w:val="18"/>
                <w:szCs w:val="18"/>
                <w:color w:val="auto"/>
              </w:rPr>
              <w:t>Thailand</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4,995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10,252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United Kingdom</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11,603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880"/>
              <w:spacing w:after="0"/>
              <w:rPr>
                <w:sz w:val="20"/>
                <w:szCs w:val="20"/>
                <w:color w:val="auto"/>
              </w:rPr>
            </w:pPr>
            <w:r>
              <w:rPr>
                <w:rFonts w:ascii="Arial" w:cs="Arial" w:eastAsia="Arial" w:hAnsi="Arial"/>
                <w:sz w:val="18"/>
                <w:szCs w:val="18"/>
                <w:color w:val="auto"/>
              </w:rPr>
              <w:t>All other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13,323</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international</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76,579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146,141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166,036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Total net sales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116,704</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121,746</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220,436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227,458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Specific identification of the customer billing location was the basis used for attributing revenues from external customers to individual countries.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 information is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Long-lived tangible assets:</w:t>
            </w:r>
          </w:p>
        </w:tc>
        <w:tc>
          <w:tcPr>
            <w:tcW w:w="2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3,722</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People’s Republic of China</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75,995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All other countries</w:t>
            </w:r>
          </w:p>
        </w:tc>
        <w:tc>
          <w:tcPr>
            <w:tcW w:w="2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83,310</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Stock-based compensation expense for each employee and director is presented in the same income statement caption as their cash compensation. Stock-based compensation expense by income statement caption for the three and six months ended June 30, 2012 and 2011 is the following:</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14"/>
                <w:szCs w:val="14"/>
                <w:color w:val="auto"/>
              </w:rPr>
            </w:pPr>
          </w:p>
        </w:tc>
        <w:tc>
          <w:tcPr>
            <w:tcW w:w="148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1,007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Stock-based compensation expense before income taxes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1,140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1,053</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2,337</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 includes pre-tax stock-based compensation related to stock option awards granted to outside directors of $0.01 million and $0 during the three months ended June 30, 2012 and 2011, respectively. During the six months ended June 30, 2012 and 2011, pre-tax stock-based compensation related to options granted to directors was $0.03 million and $0.1 million, respectively.</w:t>
      </w:r>
    </w:p>
    <w:p>
      <w:pPr>
        <w:spacing w:after="0" w:line="14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Selling, general and administrative expense also includes stock-based compensation related to restricted stock awards granted to outside directors of $0.2 million and $0.1 million during the three months ended June 30, 2012 and 2011, respectively. During the six months ended June 30, 2012 and 2011, stock-based compensation related to restricted stock awards granted to outside directors was $0.4 million and $0.2 million, respectively.</w:t>
      </w:r>
    </w:p>
    <w:p>
      <w:pPr>
        <w:spacing w:after="0" w:line="10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income tax benefit from the recognition of stock-based compensation during the three months ended June 30, 2012 and 2011 was $0.4 million and $0.3 million, respectively. The income tax benefit from the recognition of stock-based compensation during the six months ended June 30, 2012 and 2011 was $0.8 million and $0.7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jc w:val="both"/>
        <w:ind w:right="600"/>
        <w:spacing w:after="0" w:line="370" w:lineRule="auto"/>
        <w:rPr>
          <w:sz w:val="20"/>
          <w:szCs w:val="20"/>
          <w:color w:val="auto"/>
        </w:rPr>
      </w:pPr>
      <w:r>
        <w:rPr>
          <w:rFonts w:ascii="Arial" w:cs="Arial" w:eastAsia="Arial" w:hAnsi="Arial"/>
          <w:sz w:val="15"/>
          <w:szCs w:val="15"/>
          <w:color w:val="auto"/>
        </w:rPr>
        <w:t>During the six months ended June 30, 2012, the Compensation Committee and Board of Directors granted 148,200 stock options to our Named Executive Officers with an aggregate grant date fair value of $1.4 million under various stock incentive plans. The stock options granted consisted of the following:</w:t>
      </w:r>
    </w:p>
    <w:p>
      <w:pPr>
        <w:spacing w:after="0" w:line="200" w:lineRule="exact"/>
        <w:rPr>
          <w:sz w:val="20"/>
          <w:szCs w:val="20"/>
          <w:color w:val="auto"/>
        </w:rPr>
      </w:pPr>
    </w:p>
    <w:p>
      <w:pPr>
        <w:spacing w:after="0" w:line="263"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amounts)</w:t>
            </w:r>
          </w:p>
        </w:tc>
        <w:tc>
          <w:tcPr>
            <w:tcW w:w="10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8"/>
              </w:rPr>
              <w:t>Number of</w:t>
            </w: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Grant</w:t>
            </w:r>
          </w:p>
        </w:tc>
        <w:tc>
          <w:tcPr>
            <w:tcW w:w="3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8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w:t>
            </w: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Shares</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3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80" w:type="dxa"/>
            <w:vAlign w:val="bottom"/>
            <w:gridSpan w:val="2"/>
            <w:vMerge w:val="continue"/>
          </w:tcPr>
          <w:p>
            <w:pPr>
              <w:spacing w:after="0"/>
              <w:rPr>
                <w:sz w:val="11"/>
                <w:szCs w:val="11"/>
                <w:color w:val="auto"/>
              </w:rPr>
            </w:pPr>
          </w:p>
        </w:tc>
        <w:tc>
          <w:tcPr>
            <w:tcW w:w="1040" w:type="dxa"/>
            <w:vAlign w:val="bottom"/>
            <w:gridSpan w:val="3"/>
          </w:tcPr>
          <w:p>
            <w:pPr>
              <w:jc w:val="center"/>
              <w:ind w:right="380"/>
              <w:spacing w:after="0" w:line="135" w:lineRule="exact"/>
              <w:rPr>
                <w:sz w:val="20"/>
                <w:szCs w:val="20"/>
                <w:color w:val="auto"/>
              </w:rPr>
            </w:pPr>
            <w:r>
              <w:rPr>
                <w:rFonts w:ascii="Arial" w:cs="Arial" w:eastAsia="Arial" w:hAnsi="Arial"/>
                <w:sz w:val="14"/>
                <w:szCs w:val="14"/>
                <w:b w:val="1"/>
                <w:bCs w:val="1"/>
                <w:color w:val="auto"/>
                <w:w w:val="90"/>
              </w:rPr>
              <w:t>Underlying</w:t>
            </w: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Fair</w:t>
            </w:r>
          </w:p>
        </w:tc>
        <w:tc>
          <w:tcPr>
            <w:tcW w:w="3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Grant Date</w:t>
            </w:r>
          </w:p>
        </w:tc>
        <w:tc>
          <w:tcPr>
            <w:tcW w:w="104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6"/>
              </w:rPr>
              <w:t>Options</w:t>
            </w: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360" w:type="dxa"/>
            <w:vAlign w:val="bottom"/>
          </w:tcPr>
          <w:p>
            <w:pPr>
              <w:spacing w:after="0"/>
              <w:rPr>
                <w:sz w:val="12"/>
                <w:szCs w:val="12"/>
                <w:color w:val="auto"/>
              </w:rPr>
            </w:pPr>
          </w:p>
        </w:tc>
        <w:tc>
          <w:tcPr>
            <w:tcW w:w="3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Vesting Period</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February 8, 2012</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148,200</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1,430</w:t>
            </w:r>
          </w:p>
        </w:tc>
        <w:tc>
          <w:tcPr>
            <w:tcW w:w="360" w:type="dxa"/>
            <w:vAlign w:val="bottom"/>
            <w:shd w:val="clear" w:color="auto" w:fill="CCEEFF"/>
          </w:tcPr>
          <w:p>
            <w:pPr>
              <w:spacing w:after="0"/>
              <w:rPr>
                <w:sz w:val="17"/>
                <w:szCs w:val="17"/>
                <w:color w:val="auto"/>
              </w:rPr>
            </w:pPr>
          </w:p>
        </w:tc>
        <w:tc>
          <w:tcPr>
            <w:tcW w:w="36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3-Year Vesting Period (8.33% each quarter)</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148,200</w:t>
            </w:r>
          </w:p>
        </w:tc>
        <w:tc>
          <w:tcPr>
            <w:tcW w:w="36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1,430</w:t>
            </w:r>
          </w:p>
        </w:tc>
        <w:tc>
          <w:tcPr>
            <w:tcW w:w="3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440"/>
        <w:spacing w:after="0" w:line="440" w:lineRule="auto"/>
        <w:rPr>
          <w:sz w:val="20"/>
          <w:szCs w:val="20"/>
          <w:color w:val="auto"/>
        </w:rPr>
      </w:pPr>
      <w:r>
        <w:rPr>
          <w:rFonts w:ascii="Arial" w:cs="Arial" w:eastAsia="Arial" w:hAnsi="Arial"/>
          <w:sz w:val="18"/>
          <w:szCs w:val="18"/>
          <w:color w:val="auto"/>
        </w:rPr>
        <w:t>During the 6 months ended June 30, 2012, we recognized $0.2 million of pre-tax stock-based compensation expense related to our 2012 stock option grants. 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we utilized in the Black-Scholes option pricing model and the resulting weighted average fair values of stock option grants were the following:</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8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60" w:type="dxa"/>
            <w:vAlign w:val="bottom"/>
          </w:tcPr>
          <w:p>
            <w:pPr>
              <w:spacing w:after="0"/>
              <w:rPr>
                <w:sz w:val="12"/>
                <w:szCs w:val="12"/>
                <w:color w:val="auto"/>
              </w:rPr>
            </w:pPr>
          </w:p>
        </w:tc>
        <w:tc>
          <w:tcPr>
            <w:tcW w:w="4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2012</w:t>
            </w:r>
          </w:p>
        </w:tc>
        <w:tc>
          <w:tcPr>
            <w:tcW w:w="11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210"/>
        </w:trPr>
        <w:tc>
          <w:tcPr>
            <w:tcW w:w="6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fair value of grants</w:t>
            </w:r>
            <w:r>
              <w:rPr>
                <w:rFonts w:ascii="Arial" w:cs="Arial" w:eastAsia="Arial" w:hAnsi="Arial"/>
                <w:sz w:val="11"/>
                <w:szCs w:val="11"/>
                <w:color w:val="auto"/>
              </w:rPr>
              <w:t>(1)</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13.89</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$ 9.65</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$13.74</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2.33%</w:t>
            </w:r>
          </w:p>
        </w:tc>
        <w:tc>
          <w:tcPr>
            <w:tcW w:w="1060" w:type="dxa"/>
            <w:vAlign w:val="bottom"/>
            <w:gridSpan w:val="2"/>
          </w:tcPr>
          <w:p>
            <w:pPr>
              <w:jc w:val="right"/>
              <w:ind w:right="332"/>
              <w:spacing w:after="0"/>
              <w:rPr>
                <w:sz w:val="20"/>
                <w:szCs w:val="20"/>
                <w:color w:val="auto"/>
              </w:rPr>
            </w:pPr>
            <w:r>
              <w:rPr>
                <w:rFonts w:ascii="Arial" w:cs="Arial" w:eastAsia="Arial" w:hAnsi="Arial"/>
                <w:sz w:val="18"/>
                <w:szCs w:val="18"/>
                <w:color w:val="auto"/>
              </w:rPr>
              <w:t>0.86%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52.28%</w:t>
            </w:r>
          </w:p>
        </w:tc>
        <w:tc>
          <w:tcPr>
            <w:tcW w:w="10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55.25%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52.25%</w:t>
            </w:r>
          </w:p>
        </w:tc>
      </w:tr>
      <w:tr>
        <w:trPr>
          <w:trHeight w:val="222"/>
        </w:trPr>
        <w:tc>
          <w:tcPr>
            <w:tcW w:w="66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540"/>
              <w:spacing w:after="0"/>
              <w:rPr>
                <w:sz w:val="20"/>
                <w:szCs w:val="20"/>
                <w:color w:val="auto"/>
              </w:rPr>
            </w:pPr>
            <w:r>
              <w:rPr>
                <w:rFonts w:ascii="Arial" w:cs="Arial" w:eastAsia="Arial" w:hAnsi="Arial"/>
                <w:sz w:val="18"/>
                <w:szCs w:val="18"/>
                <w:color w:val="auto"/>
              </w:rPr>
              <w:t>5.03</w:t>
            </w:r>
          </w:p>
        </w:tc>
        <w:tc>
          <w:tcPr>
            <w:tcW w:w="1060" w:type="dxa"/>
            <w:vAlign w:val="bottom"/>
            <w:gridSpan w:val="2"/>
          </w:tcPr>
          <w:p>
            <w:pPr>
              <w:jc w:val="right"/>
              <w:ind w:right="492"/>
              <w:spacing w:after="0"/>
              <w:rPr>
                <w:sz w:val="20"/>
                <w:szCs w:val="20"/>
                <w:color w:val="auto"/>
              </w:rPr>
            </w:pPr>
            <w:r>
              <w:rPr>
                <w:rFonts w:ascii="Arial" w:cs="Arial" w:eastAsia="Arial" w:hAnsi="Arial"/>
                <w:sz w:val="18"/>
                <w:szCs w:val="18"/>
                <w:color w:val="auto"/>
              </w:rPr>
              <w:t>5.14</w:t>
            </w:r>
          </w:p>
        </w:tc>
        <w:tc>
          <w:tcPr>
            <w:tcW w:w="500" w:type="dxa"/>
            <w:vAlign w:val="bottom"/>
          </w:tcPr>
          <w:p>
            <w:pPr>
              <w:jc w:val="right"/>
              <w:spacing w:after="0"/>
              <w:rPr>
                <w:sz w:val="20"/>
                <w:szCs w:val="20"/>
                <w:color w:val="auto"/>
              </w:rPr>
            </w:pPr>
            <w:r>
              <w:rPr>
                <w:rFonts w:ascii="Arial" w:cs="Arial" w:eastAsia="Arial" w:hAnsi="Arial"/>
                <w:sz w:val="18"/>
                <w:szCs w:val="18"/>
                <w:color w:val="auto"/>
              </w:rPr>
              <w:t>5.03</w:t>
            </w: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The weighted average fair value of grants was calculated utilizing the stock options granted during each respective period.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six months ended June 30, 2012 was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82"/>
              </w:rPr>
              <w:t>Weighted-</w:t>
            </w: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2"/>
                <w:szCs w:val="12"/>
                <w:color w:val="auto"/>
              </w:rPr>
            </w:pPr>
          </w:p>
        </w:tc>
        <w:tc>
          <w:tcPr>
            <w:tcW w:w="11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Average</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2"/>
                <w:szCs w:val="12"/>
                <w:color w:val="auto"/>
              </w:rPr>
            </w:pPr>
          </w:p>
        </w:tc>
        <w:tc>
          <w:tcPr>
            <w:tcW w:w="11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Exercise</w:t>
            </w: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Price</w:t>
            </w: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(In years)</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on December 31, 2011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20.09</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14.94</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Forfeited/cancelled/expired</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20.03</w:t>
            </w: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June 30, 2012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19.85</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on June 30, 2012</w:t>
            </w: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19.85</w:t>
            </w:r>
          </w:p>
        </w:tc>
        <w:tc>
          <w:tcPr>
            <w:tcW w:w="130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5.07</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6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1,517</w:t>
            </w:r>
          </w:p>
        </w:tc>
        <w:tc>
          <w:tcPr>
            <w:tcW w:w="32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Exercisable on June 30, 2012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19.25</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aggregate intrinsic value in the table above represents the total pre-tax value that option holders would have received had all option holders exercised their options on June 30, 2012. The aggregate intrinsic value is the difference between the closing price of Universal Electronics Inc.’s common stock on the last trading day of the second quarter of 2012 and the option exercise price, multiplied by the number of in-the-money options. This amount will change based on the fair market value of our stock. The total intrinsic value of options exercised for the three months ended June 30, 2012 and 2011, was $0.1 million and $0.6 million, respectively. The total intrinsic value of options exercised for the six months ended June 30, 2012 and 2011, was $0.2 million and $0.8 million, respectively.</w:t>
      </w:r>
    </w:p>
    <w:p>
      <w:pPr>
        <w:spacing w:after="0" w:line="14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At June 30, 2012, there was $2.9 million of unrecognized pre-tax stock-based compensation expense related to non-vested stock options which we expect to recognize over a weighted-average period of 2.0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During the six months ended June 30, 2012, the Compensation Committee and Board of Directors granted 71,300 restricted stock awards to our Named Executive Officers with an aggregate grant date fair value of $1.4 million under the 2010 Stock Incentive Plan. The restricted stock awards consisted of the following:</w:t>
      </w:r>
    </w:p>
    <w:p>
      <w:pPr>
        <w:spacing w:after="0" w:line="99"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amounts)</w:t>
            </w:r>
          </w:p>
        </w:tc>
        <w:tc>
          <w:tcPr>
            <w:tcW w:w="110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1"/>
              </w:rPr>
              <w:t>Number of</w:t>
            </w: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Grant</w:t>
            </w:r>
          </w:p>
        </w:tc>
        <w:tc>
          <w:tcPr>
            <w:tcW w:w="4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0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Restricted Stock</w:t>
            </w: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Shares</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c>
          <w:tcPr>
            <w:tcW w:w="4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40" w:type="dxa"/>
            <w:vAlign w:val="bottom"/>
            <w:gridSpan w:val="2"/>
            <w:vMerge w:val="continue"/>
          </w:tcPr>
          <w:p>
            <w:pPr>
              <w:spacing w:after="0"/>
              <w:rPr>
                <w:sz w:val="11"/>
                <w:szCs w:val="11"/>
                <w:color w:val="auto"/>
              </w:rPr>
            </w:pPr>
          </w:p>
        </w:tc>
        <w:tc>
          <w:tcPr>
            <w:tcW w:w="1100" w:type="dxa"/>
            <w:vAlign w:val="bottom"/>
            <w:gridSpan w:val="3"/>
          </w:tcPr>
          <w:p>
            <w:pPr>
              <w:jc w:val="center"/>
              <w:ind w:right="460"/>
              <w:spacing w:after="0" w:line="135" w:lineRule="exact"/>
              <w:rPr>
                <w:sz w:val="20"/>
                <w:szCs w:val="20"/>
                <w:color w:val="auto"/>
              </w:rPr>
            </w:pPr>
            <w:r>
              <w:rPr>
                <w:rFonts w:ascii="Arial" w:cs="Arial" w:eastAsia="Arial" w:hAnsi="Arial"/>
                <w:sz w:val="14"/>
                <w:szCs w:val="14"/>
                <w:b w:val="1"/>
                <w:bCs w:val="1"/>
                <w:color w:val="auto"/>
                <w:w w:val="87"/>
              </w:rPr>
              <w:t>Underlying</w:t>
            </w: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Fair</w:t>
            </w:r>
          </w:p>
        </w:tc>
        <w:tc>
          <w:tcPr>
            <w:tcW w:w="4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Grant Date</w:t>
            </w:r>
          </w:p>
        </w:tc>
        <w:tc>
          <w:tcPr>
            <w:tcW w:w="1100" w:type="dxa"/>
            <w:vAlign w:val="bottom"/>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6"/>
              </w:rPr>
              <w:t>Options</w:t>
            </w: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Value</w:t>
            </w:r>
          </w:p>
        </w:tc>
        <w:tc>
          <w:tcPr>
            <w:tcW w:w="440" w:type="dxa"/>
            <w:vAlign w:val="bottom"/>
          </w:tcPr>
          <w:p>
            <w:pPr>
              <w:spacing w:after="0"/>
              <w:rPr>
                <w:sz w:val="12"/>
                <w:szCs w:val="12"/>
                <w:color w:val="auto"/>
              </w:rPr>
            </w:pPr>
          </w:p>
        </w:tc>
        <w:tc>
          <w:tcPr>
            <w:tcW w:w="3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Vesting Period</w:t>
            </w:r>
          </w:p>
        </w:tc>
        <w:tc>
          <w:tcPr>
            <w:tcW w:w="0" w:type="dxa"/>
            <w:vAlign w:val="bottom"/>
          </w:tcPr>
          <w:p>
            <w:pPr>
              <w:spacing w:after="0"/>
              <w:rPr>
                <w:sz w:val="1"/>
                <w:szCs w:val="1"/>
                <w:color w:val="auto"/>
              </w:rPr>
            </w:pPr>
          </w:p>
        </w:tc>
      </w:tr>
      <w:tr>
        <w:trPr>
          <w:trHeight w:val="20"/>
        </w:trPr>
        <w:tc>
          <w:tcPr>
            <w:tcW w:w="102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February 8, 2012</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71,300</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1,432</w:t>
            </w:r>
          </w:p>
        </w:tc>
        <w:tc>
          <w:tcPr>
            <w:tcW w:w="440" w:type="dxa"/>
            <w:vAlign w:val="bottom"/>
            <w:shd w:val="clear" w:color="auto" w:fill="CCEEFF"/>
          </w:tcPr>
          <w:p>
            <w:pPr>
              <w:spacing w:after="0"/>
              <w:rPr>
                <w:sz w:val="17"/>
                <w:szCs w:val="17"/>
                <w:color w:val="auto"/>
              </w:rPr>
            </w:pPr>
          </w:p>
        </w:tc>
        <w:tc>
          <w:tcPr>
            <w:tcW w:w="35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3-Year Vesting Period (8.33% each quarter)</w:t>
            </w: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71,300</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1,432</w:t>
            </w:r>
          </w:p>
        </w:tc>
        <w:tc>
          <w:tcPr>
            <w:tcW w:w="4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the six months ended June 30, 2012, we recognized $0.2 million of pre-tax stock-based compensation expense related to our 2012 restricted stock award grants.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Non-vested restricted stock award activity during the six months ended June 30, 2012 (including restricted stock issued to directors as described in Note 11) was the following:</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Granted</w:t>
            </w:r>
          </w:p>
        </w:tc>
        <w:tc>
          <w:tcPr>
            <w:tcW w:w="110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100" w:type="dxa"/>
            <w:vAlign w:val="bottom"/>
            <w:gridSpan w:val="3"/>
          </w:tcPr>
          <w:p>
            <w:pPr>
              <w:jc w:val="center"/>
              <w:ind w:left="1539"/>
              <w:spacing w:after="0"/>
              <w:rPr>
                <w:sz w:val="20"/>
                <w:szCs w:val="20"/>
                <w:color w:val="auto"/>
              </w:rPr>
            </w:pPr>
            <w:r>
              <w:rPr>
                <w:rFonts w:ascii="Arial" w:cs="Arial" w:eastAsia="Arial" w:hAnsi="Arial"/>
                <w:sz w:val="14"/>
                <w:szCs w:val="14"/>
                <w:b w:val="1"/>
                <w:bCs w:val="1"/>
                <w:color w:val="auto"/>
                <w:w w:val="84"/>
              </w:rPr>
              <w:t>(thousands)</w:t>
            </w:r>
          </w:p>
        </w:tc>
        <w:tc>
          <w:tcPr>
            <w:tcW w:w="34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on December 31, 2011</w:t>
            </w:r>
          </w:p>
        </w:tc>
        <w:tc>
          <w:tcPr>
            <w:tcW w:w="20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Granted</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Forfeited</w:t>
            </w:r>
          </w:p>
        </w:tc>
        <w:tc>
          <w:tcPr>
            <w:tcW w:w="202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Non-vested on June 30, 2012</w:t>
            </w:r>
          </w:p>
        </w:tc>
        <w:tc>
          <w:tcPr>
            <w:tcW w:w="20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At June 30, 2012, we expect to recognize $4.1 million of unrecognized pre-tax stock-based compensation expense related to non-vested restricted stock awards over a weighted-average period of 2.1 years.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2 under the caption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in our Annual Report on Form 10-K for further information regarding our accounting principles.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Expense,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expense, net for the three and six months ended June 30, 2012 and 2011 are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4"/>
                <w:szCs w:val="14"/>
                <w:color w:val="auto"/>
              </w:rPr>
            </w:pPr>
          </w:p>
        </w:tc>
        <w:tc>
          <w:tcPr>
            <w:tcW w:w="15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2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2011</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gain on foreign currency exchange contracts</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(254)</w:t>
            </w:r>
          </w:p>
        </w:tc>
        <w:tc>
          <w:tcPr>
            <w:tcW w:w="5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$(214)</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gain (loss) on foreign currency exchange transactions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3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(1,218)</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372"/>
              <w:spacing w:after="0"/>
              <w:rPr>
                <w:sz w:val="20"/>
                <w:szCs w:val="20"/>
                <w:color w:val="auto"/>
              </w:rPr>
            </w:pPr>
            <w:r>
              <w:rPr>
                <w:rFonts w:ascii="Arial" w:cs="Arial" w:eastAsia="Arial" w:hAnsi="Arial"/>
                <w:sz w:val="18"/>
                <w:szCs w:val="18"/>
                <w:color w:val="auto"/>
              </w:rPr>
              <w:t>(126)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(384)</w:t>
            </w: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This represents the losses incurred on foreign currency hedging derivatives (see Note 16 for further details).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computation of diluted earnings per common share for the three months ended June 30, 2012 and 2011, we have excluded 1,227,975 and 484,889 stock options, respectively, with exercise prices greater than the average market price of the underlying common stock, because their inclusion would have been anti-dilutive. Furthermore, for the three months ended June 30, 2012 and 2011, we have excluded 167,033 and 42,177 of unvested shares of restricted stock, respectively, whose combined unamortized fair value and excess tax benefits were greater in each of those periods than the average market price of the underlying common stock, as their effect would be anti-dilutive.</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computation of diluted earnings per common share for the six months ended June 30, 2012 and 2011, we have excluded 967,499 and 431,561 stock options, respectively, with exercise prices greater than the average market price of the underlying common stock, because their inclusion would have been anti-dilutive. Furthermore, for the six months ended June 30, 2012 and 2011, we have excluded 161,787 and 21,827 of unvested shares of restricted stock, respectively, whose combined unamortized fair value and excess tax benefits were greater in each of those periods than the average market price of the underlying common stock, as their effect would be anti-dilutive.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for the three and six months ended June 30, 2012 and 2011 are calculated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top w:val="single" w:sz="8" w:color="CCEEFF"/>
            </w:tcBorders>
            <w:shd w:val="clear" w:color="auto" w:fill="CCEEFF"/>
          </w:tcPr>
          <w:p>
            <w:pPr>
              <w:jc w:val="center"/>
              <w:ind w:right="292"/>
              <w:spacing w:after="0" w:line="196" w:lineRule="exact"/>
              <w:rPr>
                <w:sz w:val="20"/>
                <w:szCs w:val="20"/>
                <w:color w:val="auto"/>
              </w:rPr>
            </w:pPr>
            <w:r>
              <w:rPr>
                <w:rFonts w:ascii="Arial" w:cs="Arial" w:eastAsia="Arial" w:hAnsi="Arial"/>
                <w:sz w:val="18"/>
                <w:szCs w:val="18"/>
                <w:b w:val="1"/>
                <w:bCs w:val="1"/>
                <w:color w:val="auto"/>
                <w:w w:val="96"/>
              </w:rPr>
              <w:t>BASIC</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5,153</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6,121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6,785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14,933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15,025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14,904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0.35</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0.46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CCEEFF"/>
          </w:tcPr>
          <w:p>
            <w:pPr>
              <w:jc w:val="center"/>
              <w:ind w:right="272"/>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5,153</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6,121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6,785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14,933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15,025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14,904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15,048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15,407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15,080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0.34</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0.45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Measured at Fair Value on a Recurring Basis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exposed to market risks from foreign currency exchange rates, which may adversely affect our operating results and financial position. Our foreign currency exposures are primarily concentrated in the Argentine Peso, Brazilian Real, British Pound, Chinese Yuan Renminbi, Euro, Hong Kong dollar, Indian Rupee, and Singapore dollar. We periodically enter into foreign currency exchange contracts with terms normally lasting less than nine months to protect against the adverse effects that exchange rate fluctuations may have on our foreign currency 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12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gains and losses on both the derivatives and the foreign currency-denominated balances are recorded as foreign exchange transaction gains or losses and are classified in other expense, net. Derivatives are recorded on the balance sheet at fair value. The estimated fair values of our derivative financial instruments represent the amount required to enter into offsetting contracts with similar remaining maturities based on quoted market prices.</w:t>
      </w:r>
    </w:p>
    <w:p>
      <w:pPr>
        <w:spacing w:after="0" w:line="107"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 xml:space="preserve">We have determined that the fair value of our derivatives is derived from level 2 inputs in the fair value hierarchy. See Note 2 under the captions </w:t>
      </w:r>
      <w:r>
        <w:rPr>
          <w:rFonts w:ascii="Arial" w:cs="Arial" w:eastAsia="Arial" w:hAnsi="Arial"/>
          <w:sz w:val="15"/>
          <w:szCs w:val="15"/>
          <w:i w:val="1"/>
          <w:iCs w:val="1"/>
          <w:color w:val="auto"/>
        </w:rPr>
        <w:t>Derivatives</w:t>
      </w:r>
      <w:r>
        <w:rPr>
          <w:rFonts w:ascii="Arial" w:cs="Arial" w:eastAsia="Arial" w:hAnsi="Arial"/>
          <w:sz w:val="15"/>
          <w:szCs w:val="15"/>
          <w:color w:val="auto"/>
        </w:rPr>
        <w:t xml:space="preserve"> and </w:t>
      </w:r>
      <w:r>
        <w:rPr>
          <w:rFonts w:ascii="Arial" w:cs="Arial" w:eastAsia="Arial" w:hAnsi="Arial"/>
          <w:sz w:val="15"/>
          <w:szCs w:val="15"/>
          <w:i w:val="1"/>
          <w:iCs w:val="1"/>
          <w:color w:val="auto"/>
        </w:rPr>
        <w:t xml:space="preserve">Fair-Value Measurements </w:t>
      </w:r>
      <w:r>
        <w:rPr>
          <w:rFonts w:ascii="Arial" w:cs="Arial" w:eastAsia="Arial" w:hAnsi="Arial"/>
          <w:sz w:val="15"/>
          <w:szCs w:val="15"/>
          <w:color w:val="auto"/>
        </w:rPr>
        <w:t>in our Annual Report on Form 10-K for further information concerning the accounting principles and valuation methodology utilized.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financial assets that were accounted for at fair value on a recurring basis on June 30,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60" w:type="dxa"/>
            <w:vAlign w:val="bottom"/>
            <w:gridSpan w:val="4"/>
          </w:tcPr>
          <w:p>
            <w:pPr>
              <w:ind w:left="120"/>
              <w:spacing w:after="0"/>
              <w:rPr>
                <w:sz w:val="20"/>
                <w:szCs w:val="20"/>
                <w:color w:val="auto"/>
              </w:rPr>
            </w:pPr>
            <w:r>
              <w:rPr>
                <w:rFonts w:ascii="Arial" w:cs="Arial" w:eastAsia="Arial" w:hAnsi="Arial"/>
                <w:sz w:val="14"/>
                <w:szCs w:val="14"/>
                <w:b w:val="1"/>
                <w:bCs w:val="1"/>
                <w:color w:val="auto"/>
                <w:w w:val="94"/>
              </w:rPr>
              <w:t>Fair Value Measurement Using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780" w:type="dxa"/>
            <w:vAlign w:val="bottom"/>
          </w:tcPr>
          <w:p>
            <w:pPr>
              <w:spacing w:after="0"/>
              <w:rPr>
                <w:sz w:val="12"/>
                <w:szCs w:val="12"/>
                <w:color w:val="auto"/>
              </w:rPr>
            </w:pPr>
          </w:p>
        </w:tc>
        <w:tc>
          <w:tcPr>
            <w:tcW w:w="12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780" w:type="dxa"/>
            <w:vAlign w:val="bottom"/>
          </w:tcPr>
          <w:p>
            <w:pPr>
              <w:spacing w:after="0"/>
              <w:rPr>
                <w:sz w:val="12"/>
                <w:szCs w:val="12"/>
                <w:color w:val="auto"/>
              </w:rPr>
            </w:pPr>
          </w:p>
        </w:tc>
        <w:tc>
          <w:tcPr>
            <w:tcW w:w="12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4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34"/>
        </w:trPr>
        <w:tc>
          <w:tcPr>
            <w:tcW w:w="48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78"/>
              </w:rPr>
              <w:t>Assets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49"/>
        </w:trPr>
        <w:tc>
          <w:tcPr>
            <w:tcW w:w="4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58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June 30, 2012</w:t>
            </w:r>
          </w:p>
        </w:tc>
        <w:tc>
          <w:tcPr>
            <w:tcW w:w="100" w:type="dxa"/>
            <w:vAlign w:val="bottom"/>
          </w:tcPr>
          <w:p>
            <w:pPr>
              <w:spacing w:after="0"/>
              <w:rPr>
                <w:sz w:val="12"/>
                <w:szCs w:val="12"/>
                <w:color w:val="auto"/>
              </w:rPr>
            </w:pPr>
          </w:p>
        </w:tc>
        <w:tc>
          <w:tcPr>
            <w:tcW w:w="860" w:type="dxa"/>
            <w:vAlign w:val="bottom"/>
          </w:tcPr>
          <w:p>
            <w:pPr>
              <w:jc w:val="center"/>
              <w:ind w:right="24"/>
              <w:spacing w:after="0" w:line="129" w:lineRule="exact"/>
              <w:rPr>
                <w:sz w:val="20"/>
                <w:szCs w:val="20"/>
                <w:color w:val="auto"/>
              </w:rPr>
            </w:pPr>
            <w:r>
              <w:rPr>
                <w:rFonts w:ascii="Arial" w:cs="Arial" w:eastAsia="Arial" w:hAnsi="Arial"/>
                <w:sz w:val="14"/>
                <w:szCs w:val="14"/>
                <w:b w:val="1"/>
                <w:bCs w:val="1"/>
                <w:color w:val="auto"/>
                <w:w w:val="91"/>
              </w:rPr>
              <w:t>(Level 1)</w:t>
            </w:r>
          </w:p>
        </w:tc>
        <w:tc>
          <w:tcPr>
            <w:tcW w:w="780" w:type="dxa"/>
            <w:vAlign w:val="bottom"/>
          </w:tcPr>
          <w:p>
            <w:pPr>
              <w:spacing w:after="0"/>
              <w:rPr>
                <w:sz w:val="12"/>
                <w:szCs w:val="12"/>
                <w:color w:val="auto"/>
              </w:rPr>
            </w:pPr>
          </w:p>
        </w:tc>
        <w:tc>
          <w:tcPr>
            <w:tcW w:w="128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(Level 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Foreign currency exchange futures contracts</w:t>
            </w:r>
          </w:p>
        </w:tc>
        <w:tc>
          <w:tcPr>
            <w:tcW w:w="3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6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held foreign currency exchange contracts which resulted in a net pre-tax loss of $0.2 million for the three months ended June 30, 2012 and a net pre-tax gain of $0.1 million for the three months ended June 30, 2011. For the six months ended June 30, 2012 and 2011, we had a net pre-tax loss of $0.2 million and a net pre-tax gain of $0.4 million, respectively.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held one USD/Euro futures contract with a notional value of $6.0 million and a forward rate of $1.2551 USD/Euro at June 30, 2012. We held the Euro position on this contract, which settled on July 20, 2012. The gain on this contract as of June 30, 2012 was $53 thousand and is included in prepaid expenses and other current assets. This contract was settled at a loss of $108 thousand resulting in a loss of $161 thousand in July 2012.</w:t>
      </w:r>
    </w:p>
    <w:p>
      <w:pPr>
        <w:spacing w:after="0" w:line="107"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We held one USD/Chinese Yuan Renminbi futures contract with a notional value of $10.0 million and a forward rate of CNY6.353 CNY/USD at December 31, 2011. We held the USD position on this contract, which settled on January 13, 2012. The gain on this contract as of December 31, 2011 was $46 thousand and is included in prepaid expenses and other current assets. This contract was settled at a gain of $59 thousand resulting in a gain of $13 thousand in January 2012.</w:t>
      </w:r>
    </w:p>
    <w:p>
      <w:pPr>
        <w:spacing w:after="0" w:line="8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held one USD/Euro futures contract with a notional value of $6.5 million and a forward rate of $1.3091 USD/Euro at December 31, 2011. We held the Euro position on this contract, which settled on January 20, 2012. The loss on this contract as of December 31, 2011 was $67 thousand and is included in other accrued expenses. This contract was settled at a loss of $125 thousand resulting in a loss of $58 thousand in January 2012.</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following discussion should be read in conjunction with the Consolidated Financial Statements and the related notes that appear elsewhere in this document.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develop and manufacture a broad line of pre-programmed universal wireless control products, and audio-video accessories that are marketed to enhance home entertainment systems. Our customers operate in the consumer electronics market and include OEMs, subscription broadcasters, international retailers, custom installers, North American retailers, private labels, and companies in the computing industry. We also sell integrated circuits, on which our software and IR code database is embedded, to OEMs that manufacture wireless control devices, cable converters or satellite receivers for resale in their products. We believe that our universal remote control database contains device codes that are capable of controlling virtually all IR controlled TVs, DVD players, cable converters, CD players, audio components and satellite receivers, as well as most other infrared remote controlled devices worldwide.</w:t>
      </w:r>
    </w:p>
    <w:p>
      <w:pPr>
        <w:spacing w:after="0" w:line="12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Beginning in 1986 and continuing today, we have compiled an extensive IR code library that covers over 678,500 individual device functions and over 4,600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14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operate as one business segment. We have 24 international subsidiaries located in Argentina, Cayman Islands, France, Germany, Hong Kong (6), India, Italy, the Netherlands, Singapore, Spain, Brazil, British Virgin Islands (3), People’s Republic of China (4) and the United Kingdom.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six months ended June 30, 2012:</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net sales decreased 3.1% from $227.5 million for the six months ended June 30, 2011 to $220.4 million for the six months ended June 30, 2012.</w:t>
      </w:r>
    </w:p>
    <w:p>
      <w:pPr>
        <w:spacing w:after="0" w:line="113" w:lineRule="exact"/>
        <w:rPr>
          <w:rFonts w:ascii="Arial" w:cs="Arial" w:eastAsia="Arial" w:hAnsi="Arial"/>
          <w:sz w:val="16"/>
          <w:szCs w:val="16"/>
          <w:color w:val="auto"/>
        </w:rPr>
      </w:pPr>
    </w:p>
    <w:p>
      <w:pPr>
        <w:ind w:left="900" w:hanging="325"/>
        <w:spacing w:after="0" w:line="28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operating income during the first six months of 2012 decreased 19.1% to $8.8 million from $10.8 million during the first six months of 2011. Our operating margin percentage decreased from 4.8% in the first six months of 2011 to 4.0% in the first six months of 2012. Our gross margin percentage improved from 27.5% during the six months ended June, 30 2011 to 27.8% during the same period in 2012. This improvement is due primarily to the fact that we experienced a temporal shortage of labor at our factories in China in the first quarter of 2011 which resulted in manufacturing inefficiencies as well as fewer units produced internally versus by third party manufacturers. This issue was rectified in the second quarter of 2011 and has subsequently not been an issue. Operating expenses, as a percent of sales, increased from 22.7% in the first six months of 2011 to 23.8% in the first six months of 2012. The increase in operating expenses is due primarily to increased third party legal fees. We are currently involved in litigation related to protecting our intellectual property, notably the Logitech lawsuit (see Note 10 of the Notes to the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2012 include the following:</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develop industry-leading technologies and products with attractive gross margins in order to improve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 penetrate the growing Asian and Latin American subscription broadcasting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share with existing customers;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the utilization of Enson’s factories by becoming less dependent on third party contract manufacturers;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more operations, logistics, quality, program management, engineering, sales, and marketing personnel in the Asia region;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w:t>
      </w:r>
    </w:p>
    <w:p>
      <w:pPr>
        <w:spacing w:after="0" w:line="10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and six months ended June 30, 2012 to the items that we disclosed as our critical accounting policies and estimates in Item 7, “Management’s Discussion and Analysis of Financial Condition and Results of Operations” contained in our Annual Report on Form 10-K for our fiscal year ended December 31,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See Note 1 contained in the “Notes to the Consolidated Financial Statements” for a discussion of new and recently adopted accounting pronouncements.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as a percentage of net sales for the three and six months ended June 30, 2012 and 2011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92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22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9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Cost of sales</w:t>
            </w:r>
          </w:p>
        </w:tc>
        <w:tc>
          <w:tcPr>
            <w:tcW w:w="19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71.7</w:t>
            </w:r>
          </w:p>
        </w:tc>
        <w:tc>
          <w:tcPr>
            <w:tcW w:w="84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71.3</w:t>
            </w: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72.2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28.7</w:t>
            </w: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27.8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500" w:type="dxa"/>
            <w:vAlign w:val="bottom"/>
            <w:gridSpan w:val="3"/>
          </w:tcPr>
          <w:p>
            <w:pPr>
              <w:jc w:val="right"/>
              <w:ind w:right="840"/>
              <w:spacing w:after="0"/>
              <w:rPr>
                <w:sz w:val="20"/>
                <w:szCs w:val="20"/>
                <w:color w:val="auto"/>
              </w:rPr>
            </w:pPr>
            <w:r>
              <w:rPr>
                <w:rFonts w:ascii="Arial" w:cs="Arial" w:eastAsia="Arial" w:hAnsi="Arial"/>
                <w:sz w:val="18"/>
                <w:szCs w:val="18"/>
                <w:color w:val="auto"/>
              </w:rPr>
              <w:t>2.9</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2.6</w:t>
            </w: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3.1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9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19.3</w:t>
            </w: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20.7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80" w:type="dxa"/>
            <w:vAlign w:val="bottom"/>
            <w:gridSpan w:val="2"/>
            <w:vMerge w:val="continue"/>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w:t>
            </w:r>
          </w:p>
        </w:tc>
        <w:tc>
          <w:tcPr>
            <w:tcW w:w="840" w:type="dxa"/>
            <w:vAlign w:val="bottom"/>
          </w:tcPr>
          <w:p>
            <w:pPr>
              <w:spacing w:after="0"/>
              <w:rPr>
                <w:sz w:val="19"/>
                <w:szCs w:val="19"/>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21.9</w:t>
            </w: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23.8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6.8</w:t>
            </w: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3500" w:type="dxa"/>
            <w:vAlign w:val="bottom"/>
            <w:gridSpan w:val="3"/>
          </w:tcPr>
          <w:p>
            <w:pPr>
              <w:jc w:val="right"/>
              <w:ind w:right="800"/>
              <w:spacing w:after="0"/>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9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(0.1)</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Income before provision for income taxes</w:t>
            </w:r>
          </w:p>
        </w:tc>
        <w:tc>
          <w:tcPr>
            <w:tcW w:w="1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gridSpan w:val="2"/>
            <w:vMerge w:val="continue"/>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840" w:type="dxa"/>
            <w:vAlign w:val="bottom"/>
          </w:tcPr>
          <w:p>
            <w:pPr>
              <w:spacing w:after="0"/>
              <w:rPr>
                <w:sz w:val="19"/>
                <w:szCs w:val="19"/>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6.5</w:t>
            </w: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3.8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gridSpan w:val="2"/>
            <w:vMerge w:val="continue"/>
          </w:tcPr>
          <w:p>
            <w:pPr>
              <w:spacing w:after="0"/>
              <w:rPr>
                <w:sz w:val="19"/>
                <w:szCs w:val="19"/>
                <w:color w:val="auto"/>
              </w:rPr>
            </w:pPr>
          </w:p>
        </w:tc>
        <w:tc>
          <w:tcPr>
            <w:tcW w:w="1900" w:type="dxa"/>
            <w:vAlign w:val="bottom"/>
          </w:tcPr>
          <w:p>
            <w:pPr>
              <w:spacing w:after="0"/>
              <w:rPr>
                <w:sz w:val="19"/>
                <w:szCs w:val="19"/>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4.4%</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5.0%</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3.1%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00" w:type="dxa"/>
            <w:vAlign w:val="bottom"/>
            <w:vMerge w:val="restart"/>
          </w:tcPr>
          <w:p>
            <w:pPr>
              <w:jc w:val="right"/>
              <w:ind w:right="392"/>
              <w:spacing w:after="0"/>
              <w:rPr>
                <w:sz w:val="20"/>
                <w:szCs w:val="20"/>
                <w:color w:val="auto"/>
              </w:rPr>
            </w:pPr>
            <w:r>
              <w:rPr>
                <w:rFonts w:ascii="Arial" w:cs="Arial" w:eastAsia="Arial" w:hAnsi="Arial"/>
                <w:sz w:val="18"/>
                <w:szCs w:val="18"/>
                <w:color w:val="auto"/>
              </w:rPr>
              <w:t>25</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2012 versus Three Months Ended June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three months ended June 30, 2012 and 2011 were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2011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(millions)</w:t>
            </w:r>
          </w:p>
        </w:tc>
        <w:tc>
          <w:tcPr>
            <w:tcW w:w="58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 of total</w:t>
            </w:r>
          </w:p>
        </w:tc>
        <w:tc>
          <w:tcPr>
            <w:tcW w:w="700" w:type="dxa"/>
            <w:vAlign w:val="bottom"/>
          </w:tcPr>
          <w:p>
            <w:pPr>
              <w:spacing w:after="0"/>
              <w:rPr>
                <w:sz w:val="12"/>
                <w:szCs w:val="12"/>
                <w:color w:val="auto"/>
              </w:rPr>
            </w:pPr>
          </w:p>
        </w:tc>
        <w:tc>
          <w:tcPr>
            <w:tcW w:w="1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86"/>
              </w:rPr>
              <w:t>(millions)</w:t>
            </w:r>
          </w:p>
        </w:tc>
        <w:tc>
          <w:tcPr>
            <w:tcW w:w="54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Business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103.9</w:t>
            </w:r>
          </w:p>
        </w:tc>
        <w:tc>
          <w:tcPr>
            <w:tcW w:w="1860" w:type="dxa"/>
            <w:vAlign w:val="bottom"/>
            <w:gridSpan w:val="3"/>
          </w:tcPr>
          <w:p>
            <w:pPr>
              <w:jc w:val="right"/>
              <w:ind w:right="54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111.0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116.7</w:t>
            </w:r>
          </w:p>
        </w:tc>
        <w:tc>
          <w:tcPr>
            <w:tcW w:w="1860" w:type="dxa"/>
            <w:vAlign w:val="bottom"/>
            <w:gridSpan w:val="3"/>
          </w:tcPr>
          <w:p>
            <w:pPr>
              <w:jc w:val="right"/>
              <w:ind w:right="5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121.7</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Net sales for the second quarter of 2012 were $116.7 million, a decrease of 4.1% compared to $121.7 million for the second quarter of 2011. Net income for the second quarter of 2012 was $5.2 million or $0.34 per diluted share compared to $6.1 million or $0.40 per diluted share for the second quarter of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Net sales in our Business lines </w:t>
      </w:r>
      <w:r>
        <w:rPr>
          <w:rFonts w:ascii="Arial" w:cs="Arial" w:eastAsia="Arial" w:hAnsi="Arial"/>
          <w:sz w:val="16"/>
          <w:szCs w:val="16"/>
          <w:color w:val="auto"/>
        </w:rPr>
        <w:t>(subscription broadcasting, OEM, and computing companies) were approximately 89% of net sales in the second quarter of 2012</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approximately 91% in the second quarter of 2011. Net sales in our Business lines for the three months ended June 30, 2012 decreased by approximately 7% to $103.9 million from $111.0 million in the second quarter of 2011. The prolonged sluggish global economy has had an adverse effect on television sales, which, in turn, directly affects our sales to consumer electronics companies. Partially offsetting the decrease in sales to consumer electronics companies is an increase in net sales within subscription broadcasting. Net sales in subscription broadcasting have remained strong in North America as well as EMEA and have grown significantly, on a percentage basis, in Latin America, specifically Brazil.</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Net sales in our Consumer lines </w:t>
      </w:r>
      <w:r>
        <w:rPr>
          <w:rFonts w:ascii="Arial" w:cs="Arial" w:eastAsia="Arial" w:hAnsi="Arial"/>
          <w:sz w:val="18"/>
          <w:szCs w:val="18"/>
          <w:color w:val="auto"/>
        </w:rPr>
        <w:t>(</w:t>
      </w:r>
      <w:r>
        <w:rPr>
          <w:rFonts w:ascii="Arial" w:cs="Arial" w:eastAsia="Arial" w:hAnsi="Arial"/>
          <w:sz w:val="18"/>
          <w:szCs w:val="18"/>
          <w:i w:val="1"/>
          <w:iCs w:val="1"/>
          <w:color w:val="auto"/>
        </w:rPr>
        <w:t xml:space="preserve">One For All® </w:t>
      </w:r>
      <w:r>
        <w:rPr>
          <w:rFonts w:ascii="Arial" w:cs="Arial" w:eastAsia="Arial" w:hAnsi="Arial"/>
          <w:sz w:val="18"/>
          <w:szCs w:val="18"/>
          <w:color w:val="auto"/>
        </w:rPr>
        <w:t>retail, private label, custom installers, and direct import) were approximately 11% of net sales for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2012 compared to approximately 9% for the second quarter of 2011. Net sales in our Consumer lines for the second quarter of 2012 increased by 20% to $12.8 million from $10.7 million during the same period in 2011. International retail sales increased from $9.4 million in the second quarter of 2011 to $11.0 million during the second quarter of 2012 due primarily to increased sales in Latin America. In addition, North American retail sales increased from $1.0 million to $1.7 million.</w:t>
      </w:r>
    </w:p>
    <w:p>
      <w:pPr>
        <w:spacing w:after="0" w:line="14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for the second quarter of 2012 was $33.0 million compared to $34.9 million for the second quarter of 2011. Gross profit as a percent of sales</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to 28.3% during the second quarter of 2012 from 28.7 % during the second quarter of 2011. The second quarter of 2012 was positively affected by a licensing agreement that we entered into with a certain customer in the gaming industry. Compared to the second quarter of 2011, this favorability was offset by pricing pressure from customers as well as the weakening of the Euro and the British Pound compared to the U.S. Dollar.</w:t>
      </w:r>
    </w:p>
    <w:p>
      <w:pPr>
        <w:spacing w:after="0" w:line="113"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i w:val="1"/>
          <w:iCs w:val="1"/>
          <w:color w:val="auto"/>
        </w:rPr>
        <w:t xml:space="preserve">Research and development expenses </w:t>
      </w:r>
      <w:r>
        <w:rPr>
          <w:rFonts w:ascii="Arial" w:cs="Arial" w:eastAsia="Arial" w:hAnsi="Arial"/>
          <w:sz w:val="15"/>
          <w:szCs w:val="15"/>
          <w:color w:val="auto"/>
        </w:rPr>
        <w:t>increased 8.5% from $3.2 million during the second quarter of 2011 to $3.4 million during the second quarter of 2012. The</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is due to additional labor dedicated to general research &amp; development activities in an effort to continue to develop new products and technologies.</w:t>
      </w:r>
    </w:p>
    <w:p>
      <w:pPr>
        <w:spacing w:after="0" w:line="62"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Selling, general and administrative (“SG&amp;A”) expenses </w:t>
      </w:r>
      <w:r>
        <w:rPr>
          <w:rFonts w:ascii="Arial" w:cs="Arial" w:eastAsia="Arial" w:hAnsi="Arial"/>
          <w:sz w:val="16"/>
          <w:szCs w:val="16"/>
          <w:color w:val="auto"/>
        </w:rPr>
        <w:t>decreased 1.7% from $23.5 million during the second quarter of 2011 to $23.1 million during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2012. The weakening of the Euro compared to the U.S. Dollar had a favorable effect of $0.8 million on SG&amp;A expenses. Partially offsetting the favorable currency effect was an increase in third party legal expenses as a result of litigation related to protecting our intellectual property.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was $51 thousand during the second quarter of 2012 compared to $69 thousand during the second quarter of 2011.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 xml:space="preserve">Net other expense </w:t>
      </w:r>
      <w:r>
        <w:rPr>
          <w:rFonts w:ascii="Arial" w:cs="Arial" w:eastAsia="Arial" w:hAnsi="Arial"/>
          <w:sz w:val="18"/>
          <w:szCs w:val="18"/>
          <w:color w:val="auto"/>
        </w:rPr>
        <w:t>was $0.1 million during the second quarter of 2012 compared to net other expense of $0.4 million during the second quarter of 2011,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driven by a lower amount of foreign currency losses.</w:t>
      </w:r>
    </w:p>
    <w:p>
      <w:pPr>
        <w:spacing w:after="0" w:line="132"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was $1.1 million during the second quarter of 2012 compared to $1.7 million during the second quarter of 2011. Our effective tax rate was</w:t>
      </w:r>
      <w:r>
        <w:rPr>
          <w:rFonts w:ascii="Arial" w:cs="Arial" w:eastAsia="Arial" w:hAnsi="Arial"/>
          <w:sz w:val="16"/>
          <w:szCs w:val="16"/>
          <w:i w:val="1"/>
          <w:iCs w:val="1"/>
          <w:color w:val="auto"/>
        </w:rPr>
        <w:t xml:space="preserve"> </w:t>
      </w:r>
      <w:r>
        <w:rPr>
          <w:rFonts w:ascii="Arial" w:cs="Arial" w:eastAsia="Arial" w:hAnsi="Arial"/>
          <w:sz w:val="16"/>
          <w:szCs w:val="16"/>
          <w:color w:val="auto"/>
        </w:rPr>
        <w:t>18.1% for the second quarter of 2012 compared to 22.1% for the second quarter of 2011. The decrease in our effective tax rate is due to the reversal of unrecognized tax benefits originally recorded in 2007, 2010 and 2011 which amounted to $0.3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2012 versus Six Months Ended June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six months ended June 30, 2012 and 2011 were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(millions)</w:t>
            </w:r>
          </w:p>
        </w:tc>
        <w:tc>
          <w:tcPr>
            <w:tcW w:w="52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 of total</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(millions)</w:t>
            </w:r>
          </w:p>
        </w:tc>
        <w:tc>
          <w:tcPr>
            <w:tcW w:w="4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Business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196.3</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89.1%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206.4</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220.4</w:t>
            </w:r>
          </w:p>
        </w:tc>
        <w:tc>
          <w:tcPr>
            <w:tcW w:w="5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227.5</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Net sales during the six months ended June 30, 2012 were $220.4 million, a decrease of 3.1% compared to $227.5 million during the six months ended June 30, 2011. Net income during the six months ended June 30, 2012 was $6.8 million or $0.45 per diluted share compared to $7.9 million or $0.52 per diluted share for the six months ended June 30,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Net sales in our Business lines </w:t>
      </w:r>
      <w:r>
        <w:rPr>
          <w:rFonts w:ascii="Arial" w:cs="Arial" w:eastAsia="Arial" w:hAnsi="Arial"/>
          <w:sz w:val="16"/>
          <w:szCs w:val="16"/>
          <w:color w:val="auto"/>
        </w:rPr>
        <w:t>(subscription broadcasting, OEM, and computing companies) were approximately 89% of net sales during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2012 compared to approximately 91% during the six months ended June 30, 2011. Net sales in our Business lines during the six months ended June 30, 2012 decreased by approximately 5% to $196.3 million from $206.4 during the six months ended June 30, 2011. The prolonged sluggish global economy has had an adverse effect on television sales, which, in turn, directly affects our sales to consumer electronics companies. Partially offsetting the decrease in sales to consumer electronics companies is an increase in net sales within subscription broadcasting. Net sales in subscription broadcasting have remained strong in North America as well as EMEA and have grown significantly, on a percentage basis, in Latin America, specifically Brazil.</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 xml:space="preserve">Net sales in our Consumer lines </w:t>
      </w:r>
      <w:r>
        <w:rPr>
          <w:rFonts w:ascii="Arial" w:cs="Arial" w:eastAsia="Arial" w:hAnsi="Arial"/>
          <w:sz w:val="16"/>
          <w:szCs w:val="16"/>
          <w:color w:val="auto"/>
        </w:rPr>
        <w:t>(</w:t>
      </w:r>
      <w:r>
        <w:rPr>
          <w:rFonts w:ascii="Arial" w:cs="Arial" w:eastAsia="Arial" w:hAnsi="Arial"/>
          <w:sz w:val="16"/>
          <w:szCs w:val="16"/>
          <w:i w:val="1"/>
          <w:iCs w:val="1"/>
          <w:color w:val="auto"/>
        </w:rPr>
        <w:t xml:space="preserve">One For All® </w:t>
      </w:r>
      <w:r>
        <w:rPr>
          <w:rFonts w:ascii="Arial" w:cs="Arial" w:eastAsia="Arial" w:hAnsi="Arial"/>
          <w:sz w:val="16"/>
          <w:szCs w:val="16"/>
          <w:color w:val="auto"/>
        </w:rPr>
        <w:t>retail, private label, custom installers, and direct import) were approximately 11% of net sales during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2012 compared to approximately 9% during the six months ended June 30, 2011. Net sales in our Consumer lines during the six months ended June 30, 2012 increased by 15% to $24.1 million from $21.1 million during the same period in 2011. International retail sales increased from $19.1 million during the six months ended June 30, 2011 to $21.8 million during the same period of time in 2012 due primarily to increased sales in Latin America. In addition, North American retail sales increased $0.6 million, from $1.6 million to $2.2 million.</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during the six months ended June 30, 2012 was $61.3 million compared to $62.5 million during the six months ended June 30, 2011. Gross profit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of sales increased to 27.8% during the six months ended June 30, 2012 from 27.5% during the six months ended June 30, 2011. The improvement in our gross margin percentage is due primarily to the fact that we experienced a temporal shortage of labor at our factories in China in the first quarter of 2011 which resulted in manufacturing inefficiencies as well as fewer units produced internally versus by third party manufacturers. This issue was rectified in the second quarter of 2011 and has subsequently not been an issue. Partially offsetting this improvement is pricing pressure from customers as well as the strengthening of the U.S. dollar versus the Euro.</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increased 7.4% from $6.4 million during the six months ended June 30, 2011 to $6.9 million during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2012. The increase is primarily due to additional labor dedicated to general research &amp; development activities in an effort to continue to develop new products and technologies.</w:t>
      </w:r>
    </w:p>
    <w:p>
      <w:pPr>
        <w:spacing w:after="0" w:line="140"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increased 0.8% from $45.3 million during the six months ended June 30, 2011 to $45.6 million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2012. Legal expenses increased by $1.1 million as a result of litigation related to protecting our intellectual property. Employee bonus expense increased by $0.5 million. Partially offsetting these increases is a $1.1 million favorable currency effect due to the Euro weakening compared to the U.S. Dollar.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interest expense </w:t>
      </w:r>
      <w:r>
        <w:rPr>
          <w:rFonts w:ascii="Arial" w:cs="Arial" w:eastAsia="Arial" w:hAnsi="Arial"/>
          <w:sz w:val="16"/>
          <w:szCs w:val="16"/>
          <w:color w:val="auto"/>
        </w:rPr>
        <w:t>was $88 thousand during the six months ended June 30, 2012 compared to $0.2 million during the six months ended June 30, 2011.</w:t>
      </w:r>
    </w:p>
    <w:p>
      <w:pPr>
        <w:spacing w:after="0" w:line="19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i w:val="1"/>
          <w:iCs w:val="1"/>
          <w:color w:val="auto"/>
        </w:rPr>
        <w:t xml:space="preserve">Net other expense </w:t>
      </w:r>
      <w:r>
        <w:rPr>
          <w:rFonts w:ascii="Arial" w:cs="Arial" w:eastAsia="Arial" w:hAnsi="Arial"/>
          <w:sz w:val="18"/>
          <w:szCs w:val="18"/>
          <w:color w:val="auto"/>
        </w:rPr>
        <w:t>was $0.4 million during the six months ended June 30, 2012 compared to net other expense of $0.4 million during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2011, which was driven by foreign currency losses.</w:t>
      </w:r>
    </w:p>
    <w:p>
      <w:pPr>
        <w:spacing w:after="0" w:line="132"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was $1.5 million during the six months ended June 30, 2012 compared to $2.3 million during the six months ended June 30, 2011. Our</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tax rate was 17.7% for the six months ended June 30, 2012 compared to 22.6% the six months ended June 30, 2011. The decrease in our effective tax rate is due to the reversal of unrecognized tax benefits originally recorded in 2007, 2008, 2009 , 2010 and 2011 which amounted to $0.5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Increase/(Decrease)</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Six months ended</w:t>
            </w:r>
          </w:p>
        </w:tc>
      </w:tr>
      <w:tr>
        <w:trPr>
          <w:trHeight w:val="161"/>
        </w:trPr>
        <w:tc>
          <w:tcPr>
            <w:tcW w:w="49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7"/>
              </w:rPr>
              <w:t>June 30, 2012</w:t>
            </w:r>
          </w:p>
        </w:tc>
        <w:tc>
          <w:tcPr>
            <w:tcW w:w="220" w:type="dxa"/>
            <w:vAlign w:val="bottom"/>
          </w:tcPr>
          <w:p>
            <w:pPr>
              <w:spacing w:after="0"/>
              <w:rPr>
                <w:sz w:val="14"/>
                <w:szCs w:val="14"/>
                <w:color w:val="auto"/>
              </w:rPr>
            </w:pPr>
          </w:p>
        </w:tc>
        <w:tc>
          <w:tcPr>
            <w:tcW w:w="154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in cash</w:t>
            </w:r>
          </w:p>
        </w:tc>
        <w:tc>
          <w:tcPr>
            <w:tcW w:w="1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June 30, 2011</w:t>
            </w:r>
          </w:p>
        </w:tc>
      </w:tr>
      <w:tr>
        <w:trPr>
          <w:trHeight w:val="210"/>
        </w:trPr>
        <w:tc>
          <w:tcPr>
            <w:tcW w:w="4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8,601</w:t>
            </w: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12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(4,691)</w:t>
            </w:r>
          </w:p>
        </w:tc>
        <w:tc>
          <w:tcPr>
            <w:tcW w:w="22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(6,067)</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(2,470)</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13,874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(16,344)</w:t>
            </w: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19"/>
                <w:szCs w:val="19"/>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9"/>
                <w:szCs w:val="19"/>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(1,593)</w:t>
            </w: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r>
      <w:tr>
        <w:trPr>
          <w:trHeight w:val="358"/>
        </w:trPr>
        <w:tc>
          <w:tcPr>
            <w:tcW w:w="49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7"/>
              </w:rPr>
              <w:t>June 30, 2012</w:t>
            </w:r>
          </w:p>
        </w:tc>
        <w:tc>
          <w:tcPr>
            <w:tcW w:w="220" w:type="dxa"/>
            <w:vAlign w:val="bottom"/>
          </w:tcPr>
          <w:p>
            <w:pPr>
              <w:spacing w:after="0"/>
              <w:rPr>
                <w:sz w:val="24"/>
                <w:szCs w:val="24"/>
                <w:color w:val="auto"/>
              </w:rPr>
            </w:pPr>
          </w:p>
        </w:tc>
        <w:tc>
          <w:tcPr>
            <w:tcW w:w="15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Increase</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r>
      <w:tr>
        <w:trPr>
          <w:trHeight w:val="210"/>
        </w:trPr>
        <w:tc>
          <w:tcPr>
            <w:tcW w:w="4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30,688</w:t>
            </w: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Working capital</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99,371</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14,610</w:t>
            </w: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84,761</w:t>
            </w:r>
          </w:p>
        </w:tc>
      </w:tr>
    </w:tbl>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increased by $4.0 million from $4.6 million during the six months ended June 30, 2011 to $8.6 million during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2012 The improvement in cash provided by operating activities is due primarily to a conscious effort to lower our inventory levels in 2012 as evidenced by inventories decreasing by $10.6 million for the six months ended June 30, 2012 compared to an increase in inventories of $11.4 million in the first six months of 2011. Partially offsetting this improvement is a decrease in accounts payable and accrued expenses of $13.5 million for the six months ended June 30, 2012 compared to a decrease of $2.5 million for the six months ended June 30, 2011. In addition, accounts receivable increased by $4.7 million for the six months ended June 30, 2012 due to a relatively high percentage of our sales occurring during the last two months of the quarter ending June 30, 2012.</w:t>
      </w:r>
    </w:p>
    <w:p>
      <w:pPr>
        <w:spacing w:after="0" w:line="12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decreased by $1.4 million from $6.1 million during the six months ended June 30, 2011 to $4.7 million during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2012. Cash outflows to purchase property, plant and equipment were $5.6 million for the six months ended June 30, 2011 compared to cash outflows of $4.3 million recorded during the six months ended June 30, 2012. The decrease in property, plant and equipment purchases is due to the completion of the capacity expansion at the Yang Zhou factory during 2011.</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decreased by $13.9 million from cash outflows of $16.3 million during the six months ended June 30, 2011 to cash outflows</w:t>
      </w:r>
      <w:r>
        <w:rPr>
          <w:rFonts w:ascii="Arial" w:cs="Arial" w:eastAsia="Arial" w:hAnsi="Arial"/>
          <w:sz w:val="18"/>
          <w:szCs w:val="18"/>
          <w:i w:val="1"/>
          <w:iCs w:val="1"/>
          <w:color w:val="auto"/>
        </w:rPr>
        <w:t xml:space="preserve"> </w:t>
      </w:r>
      <w:r>
        <w:rPr>
          <w:rFonts w:ascii="Arial" w:cs="Arial" w:eastAsia="Arial" w:hAnsi="Arial"/>
          <w:sz w:val="18"/>
          <w:szCs w:val="18"/>
          <w:color w:val="auto"/>
        </w:rPr>
        <w:t>of $2.5 million during the six months ended June 30, 2012. The decrease in cash used for financing activities was driven primarily by our net payments of $3.4 million on our term loan and credit facility with U.S. Bank during the six months ended June 30, 2012 compared to payments of $14.4 million during the six months ended June 30, 2011. In addition, treasury stock repurchases decreased by $3.0 million during the six months ended June 30, 2012 compared to the same period in 2011.</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During the six months ended June 30, 2012, we repurchased 27,980 shares of our common stock for $0.5 million compared to our repurchase of 137,190 shares of our common stock for $3.5 million during the six months ended June 30, 2011. We hold repurchased shares as treasury stock and they are available for reissue. Presently, except for using a small number of these treasury shares to compensate our outside board members, we have no plans to distribute these shares. However, we may change these plans if necessary to fulfill our on-going business objectives.</w:t>
      </w:r>
    </w:p>
    <w:p>
      <w:pPr>
        <w:spacing w:after="0" w:line="11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 February 11, 2010, our Board of Directors authorized management to continue repurchasing up to 1,000,000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June 30, 2012, we have repurchased 958,070 shares of our common stock under this authorization, leaving 41,930 shares available for repurchase.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On October 26, 2011, our Board of Directors authorized management to repurchase an additional 1,000,000 shares of our issued and outstanding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have not repurchased any shares under the Board authorization approved on October 26, 2011 as of June 30,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June 30, 2012, our contractual obligations were $92.9 million compared to $63.4 million reported in our Annual Report on Form 10-K as of December 31, 2011. The following table summarizes our contractual obligations on June 30, 2012 and the effect these obligations are expected to have on our liquidity and cash flow in future periods.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Less than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20"/>
              <w:spacing w:after="0" w:line="129" w:lineRule="exact"/>
              <w:rPr>
                <w:sz w:val="20"/>
                <w:szCs w:val="20"/>
                <w:color w:val="auto"/>
              </w:rPr>
            </w:pPr>
            <w:r>
              <w:rPr>
                <w:rFonts w:ascii="Arial" w:cs="Arial" w:eastAsia="Arial" w:hAnsi="Arial"/>
                <w:sz w:val="14"/>
                <w:szCs w:val="14"/>
                <w:b w:val="1"/>
                <w:bCs w:val="1"/>
                <w:color w:val="auto"/>
              </w:rPr>
              <w:t>1-3</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20"/>
              <w:spacing w:after="0" w:line="129" w:lineRule="exact"/>
              <w:rPr>
                <w:sz w:val="20"/>
                <w:szCs w:val="20"/>
                <w:color w:val="auto"/>
              </w:rPr>
            </w:pPr>
            <w:r>
              <w:rPr>
                <w:rFonts w:ascii="Arial" w:cs="Arial" w:eastAsia="Arial" w:hAnsi="Arial"/>
                <w:sz w:val="14"/>
                <w:szCs w:val="14"/>
                <w:b w:val="1"/>
                <w:bCs w:val="1"/>
                <w:color w:val="auto"/>
              </w:rPr>
              <w:t>4-5</w:t>
            </w:r>
          </w:p>
        </w:tc>
        <w:tc>
          <w:tcPr>
            <w:tcW w:w="3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3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jc w:val="right"/>
              <w:ind w:right="22"/>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Years</w:t>
            </w:r>
          </w:p>
        </w:tc>
        <w:tc>
          <w:tcPr>
            <w:tcW w:w="8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5 years</w:t>
            </w:r>
          </w:p>
        </w:tc>
        <w:tc>
          <w:tcPr>
            <w:tcW w:w="0" w:type="dxa"/>
            <w:vAlign w:val="bottom"/>
          </w:tcPr>
          <w:p>
            <w:pPr>
              <w:spacing w:after="0"/>
              <w:rPr>
                <w:sz w:val="1"/>
                <w:szCs w:val="1"/>
                <w:color w:val="auto"/>
              </w:rPr>
            </w:pPr>
          </w:p>
        </w:tc>
      </w:tr>
      <w:tr>
        <w:trPr>
          <w:trHeight w:val="196"/>
        </w:trPr>
        <w:tc>
          <w:tcPr>
            <w:tcW w:w="7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Operating lease obligations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$13,966</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$ 2,086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4,025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3,087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1"/>
                <w:szCs w:val="11"/>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78,912</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28,050</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45,050</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color w:val="auto"/>
              </w:rPr>
              <w:t>Total contractual obligations</w:t>
            </w: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92,878</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$ 7,898</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32,075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48,137</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Purchase obligations include contractual payments to purchase tooling assets and inventory.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Historically, we have utilized cash provided from operations as our primary source of liquidity, as internally generated cash flows have been sufficient to support our business operations, capital expenditures and discretionary share repurchases. We believe our current cash balances and anticipated cash flow to be generated from operations will be sufficient to cover cash outlays expected for at least the next twelve months; however, because our cash is located in various jurisdictions throughout the world, we may need to borrow from our line of credit until we are able to transfer cash among our various entities.</w:t>
      </w:r>
    </w:p>
    <w:p>
      <w:pPr>
        <w:spacing w:after="0" w:line="11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are able to supplement this near-term liquidity, if necessary, with our credit line facility. Our liquidity is subject to various risks including the market risks identified in the section entitled “Qualitative and Quantitative Disclosures about Market Risk” in Item 3.</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480" w:type="dxa"/>
            <w:vAlign w:val="bottom"/>
            <w:gridSpan w:val="3"/>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32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00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2012</w:t>
            </w:r>
          </w:p>
        </w:tc>
        <w:tc>
          <w:tcPr>
            <w:tcW w:w="13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3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$30,688</w:t>
            </w:r>
          </w:p>
        </w:tc>
        <w:tc>
          <w:tcPr>
            <w:tcW w:w="5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29,372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Total debt</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16,400</w:t>
            </w: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Available borrowing resources</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18"/>
                <w:szCs w:val="18"/>
                <w:color w:val="auto"/>
              </w:rPr>
            </w:pPr>
          </w:p>
        </w:tc>
      </w:tr>
      <w:tr>
        <w:trPr>
          <w:trHeight w:val="363"/>
        </w:trPr>
        <w:tc>
          <w:tcPr>
            <w:tcW w:w="3200" w:type="dxa"/>
            <w:vAlign w:val="bottom"/>
          </w:tcPr>
          <w:p>
            <w:pPr>
              <w:spacing w:after="0"/>
              <w:rPr>
                <w:sz w:val="24"/>
                <w:szCs w:val="24"/>
                <w:color w:val="auto"/>
              </w:rPr>
            </w:pPr>
          </w:p>
        </w:tc>
        <w:tc>
          <w:tcPr>
            <w:tcW w:w="3420" w:type="dxa"/>
            <w:vAlign w:val="bottom"/>
          </w:tcPr>
          <w:p>
            <w:pPr>
              <w:jc w:val="right"/>
              <w:ind w:right="2117"/>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June 30, 2012, we had an outstanding balance of $10.0 million related to our U.S. Bank 1-year term loan facility. Our term loan, along with our line of credit and available cash, were utilized to finance the acquisition of Enson and to pay related transaction costs, fees, and expenses. Amounts paid or prepaid on the term loan may not be re-borrowed. The minimum principal payments for the term loan are $2.2 million each quarter. The remaining principal and interest payment is due on October 5, 2012. In addition, a final payment equal to the unpaid principal balance plus accrued interest is due on the term loan maturity date. The term loan maturity date is November 1, 2012.</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U.S. Bank credit agreement is secured by sixty-five percent of Enson. Amounts available for borrowing are reduced by the balance of any outstanding import letters of credit and are subject to certain quarterly financial covenants related to our cash flow, fixed charges, quick ratio, and net income. On March 2, 2012, we entered into an amendment adjusting the quick ratio effective December 31, 2011. We were not in breach of our debt covenants on June 30, 2012.</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cash balances are held in numerous locations throughout the world, including substantial amounts held outside of the United States.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2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 June 30, 2012, we had approximately $1.3 million, $6.1 million, $19.8 million, $0.01 million and $3.5 million of cash and cash equivalents in the United States, Europe, Asia, Cayman Islands, and South America, respectively. On December 31, 2011, we had approximately $4.1 million, $7.6 million, $16.5 million, $0.1 million, and $1.1 million of cash and cash equivalents in the United States, Europe, Asia, Cayman Islands and South America, respectively. We attempt to mitigate our exposure to liquidity, credit and other relevant risks by placing our cash and cash equivalents with financial institutions we believe are high quality.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For further information regarding our credit facilities, see “ITEM 3. QUANTITATIVE AND QUALITATIVE DISCLOSURES ABOUT MARKET RISK.”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 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9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2011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While we believe that the forward-looking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effects of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digital media/technology, CEDIA, and interactive TV industries not materializing or growing as we believed; our inability to add profitable complementary products which are accepted by the marketplace; our inability to attract and retain quality workforce at adequate levels in all regions of the world, and particularly Asia; our inability to continue to maintain our operating costs at acceptable levels through our cost containment efforts; our inability to realize tax benefits from various tax projects initiated from time to time; our inability to continue selling our products or licensing our technologies at higher or profitable margins; our inability to obtain orders or maintain our order volume with new and existing customers; the possible dilutive effect our stock incentive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are exposed to interest rate risk related to our debt. We may withdraw either U.S. dollars or foreign currencies from our credit facilities. Our market risk exposures in connection with the debt are primarily U.S. dollar LIBOR-based floating interest. On June 30, 2012, we had an outstanding balance of $10.0 million related to our U.S. Bank 1-year term loan facility. The term loan maturity date is November 1, 2012, after extending the term for an additional 12 months effective October 31, 2011. Under the U.S. Bank term loan, we may elect to pay interest based on the bank’s prime rate or LIBOR plus a fixed margin of 1.5%. The applicable LIBOR (1, 3, 6, or 12-month LIBOR) corresponds with the loan period we select. At June 30, 2012, the 1-month LIBOR plus the fixed margin was approximately 1.7%,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30, 2012, we had an outstanding balance of $3.0 million related to our U.S. Bank secured revolving credit line. Under the U.S. Bank secured revolving credit line, we may elect to pay interest based on the bank’s prime rate or LIBOR plus a fixed margin of 1.8%. The applicable LIBOR (1, 3, 6, or 12-month LIBOR) corresponds with the loan period we select. At June 30, 2012, the 1-month LIBOR plus the fixed margin was 2.0%,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14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At June 30, 2012, we had wholly-owned subsidiaries in Argentina, Brazil, Cayman Islands, France, Germany, Hong Kong, India, Italy, the Netherlands, People’s Republic of China,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for the six months ended June 30, 2012 were the Argentine Peso, Brazilian Real, British Pound, Chinese Yuan Renminbi, Euro, Hong Kong dollar, Indian Rupee, and Singapore dollar. For most currencies, we are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June 30, 2012, we believe that movements in foreign currency rates may have a material effect on our financial position. We estimate that if the exchange rates for the Euro, British Pound, Chinese Yuan Renminbi, Indian Rupee, and Singapore dollar relative to the U.S. dollar fluctuate 10% from June 30, 2012, net income and total cash flows in the third quarter of 2012 will fluctuate by approximately $3.1 million and $3.2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 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information set forth above under Note 10 — Commitments and Contingencies — Litigation contained in the “Notes to the Consolidated Financial Statements”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 1A: Risk Factors” on pages 10 through 20 of the Company’s 2011 Annual Report on Form 10-K incorporated herein by reference. These factors may cause our actual results to differ materially from those stated in forward-looking statements contained in this document and elsewhere.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June 30, 2012, we did not sell any equity securities that were not registered under the Securities Act of 1933.</w:t>
      </w:r>
    </w:p>
    <w:p>
      <w:pPr>
        <w:spacing w:after="0" w:line="171"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On February 11, 2010, our Board of Directors authorized management to continue repurchasing up to an additional 1,000,000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At June 30, 2012, we have purchased 958,070 shares of our common stock, leaving 41,930 shares available for purchase under this authorization. On October 26, 2011, our Board of Directors authorized management to repurchase an additional 1,000,000 shares of our issued and outstanding common stock. At June 30, 2012, we have not repurchased any shares under the Board authorization approved on October 26, 2011. Repurchase information for the second quarter of 2012 is set forth by month in the following table:</w:t>
      </w:r>
    </w:p>
    <w:p>
      <w:pPr>
        <w:spacing w:after="0" w:line="12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Total Number of</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1"/>
              </w:rPr>
              <w:t>Shares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Purchased as Part</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Maximum Number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75"/>
              </w:rPr>
              <w:t>of</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that May Yet</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340" w:type="dxa"/>
            <w:vAlign w:val="bottom"/>
          </w:tcPr>
          <w:p>
            <w:pPr>
              <w:spacing w:after="0"/>
              <w:rPr>
                <w:sz w:val="12"/>
                <w:szCs w:val="12"/>
                <w:color w:val="auto"/>
              </w:rPr>
            </w:pPr>
          </w:p>
        </w:tc>
        <w:tc>
          <w:tcPr>
            <w:tcW w:w="12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18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Be Purchased</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4100" w:type="dxa"/>
            <w:vAlign w:val="bottom"/>
            <w:vMerge w:val="restart"/>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of Shares</w:t>
            </w:r>
          </w:p>
        </w:tc>
        <w:tc>
          <w:tcPr>
            <w:tcW w:w="340" w:type="dxa"/>
            <w:vAlign w:val="bottom"/>
          </w:tcPr>
          <w:p>
            <w:pPr>
              <w:spacing w:after="0"/>
              <w:rPr>
                <w:sz w:val="12"/>
                <w:szCs w:val="12"/>
                <w:color w:val="auto"/>
              </w:rPr>
            </w:pPr>
          </w:p>
        </w:tc>
        <w:tc>
          <w:tcPr>
            <w:tcW w:w="128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85"/>
              </w:rPr>
              <w:t>Price Paid</w:t>
            </w:r>
          </w:p>
        </w:tc>
        <w:tc>
          <w:tcPr>
            <w:tcW w:w="18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Plans or</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4100" w:type="dxa"/>
            <w:vAlign w:val="bottom"/>
            <w:vMerge w:val="continue"/>
          </w:tcPr>
          <w:p>
            <w:pPr>
              <w:spacing w:after="0"/>
              <w:rPr>
                <w:sz w:val="14"/>
                <w:szCs w:val="14"/>
                <w:color w:val="auto"/>
              </w:rPr>
            </w:pPr>
          </w:p>
        </w:tc>
        <w:tc>
          <w:tcPr>
            <w:tcW w:w="116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3"/>
              </w:rPr>
              <w:t>Purchased</w:t>
            </w:r>
          </w:p>
        </w:tc>
        <w:tc>
          <w:tcPr>
            <w:tcW w:w="340" w:type="dxa"/>
            <w:vAlign w:val="bottom"/>
          </w:tcPr>
          <w:p>
            <w:pPr>
              <w:spacing w:after="0"/>
              <w:rPr>
                <w:sz w:val="14"/>
                <w:szCs w:val="14"/>
                <w:color w:val="auto"/>
              </w:rPr>
            </w:pPr>
          </w:p>
        </w:tc>
        <w:tc>
          <w:tcPr>
            <w:tcW w:w="1280" w:type="dxa"/>
            <w:vAlign w:val="bottom"/>
            <w:gridSpan w:val="3"/>
          </w:tcPr>
          <w:p>
            <w:pPr>
              <w:jc w:val="right"/>
              <w:ind w:right="700"/>
              <w:spacing w:after="0" w:line="148" w:lineRule="exact"/>
              <w:rPr>
                <w:sz w:val="20"/>
                <w:szCs w:val="20"/>
                <w:color w:val="auto"/>
              </w:rPr>
            </w:pPr>
            <w:r>
              <w:rPr>
                <w:rFonts w:ascii="Arial" w:cs="Arial" w:eastAsia="Arial" w:hAnsi="Arial"/>
                <w:sz w:val="14"/>
                <w:szCs w:val="14"/>
                <w:b w:val="1"/>
                <w:bCs w:val="1"/>
                <w:color w:val="auto"/>
                <w:w w:val="86"/>
              </w:rPr>
              <w:t>per Share</w:t>
            </w:r>
          </w:p>
        </w:tc>
        <w:tc>
          <w:tcPr>
            <w:tcW w:w="186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8"/>
              </w:rPr>
              <w:t>Programs</w:t>
            </w:r>
          </w:p>
        </w:tc>
        <w:tc>
          <w:tcPr>
            <w:tcW w:w="13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April 1, 2012 – April 30, 2012</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6,810</w:t>
            </w: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18.01</w:t>
            </w:r>
          </w:p>
        </w:tc>
        <w:tc>
          <w:tcPr>
            <w:tcW w:w="6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6,810</w:t>
            </w:r>
          </w:p>
        </w:tc>
        <w:tc>
          <w:tcPr>
            <w:tcW w:w="7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1,045,839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May 1, 2012 – May 31, 2012</w:t>
            </w:r>
          </w:p>
        </w:tc>
        <w:tc>
          <w:tcPr>
            <w:tcW w:w="800" w:type="dxa"/>
            <w:vAlign w:val="bottom"/>
          </w:tcPr>
          <w:p>
            <w:pPr>
              <w:jc w:val="right"/>
              <w:spacing w:after="0"/>
              <w:rPr>
                <w:sz w:val="20"/>
                <w:szCs w:val="20"/>
                <w:color w:val="auto"/>
              </w:rPr>
            </w:pPr>
            <w:r>
              <w:rPr>
                <w:rFonts w:ascii="Arial" w:cs="Arial" w:eastAsia="Arial" w:hAnsi="Arial"/>
                <w:sz w:val="18"/>
                <w:szCs w:val="18"/>
                <w:color w:val="auto"/>
              </w:rPr>
              <w:t>2,369</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14.79</w:t>
            </w: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2,369</w:t>
            </w:r>
          </w:p>
        </w:tc>
        <w:tc>
          <w:tcPr>
            <w:tcW w:w="1260" w:type="dxa"/>
            <w:vAlign w:val="bottom"/>
          </w:tcPr>
          <w:p>
            <w:pPr>
              <w:jc w:val="right"/>
              <w:spacing w:after="0"/>
              <w:rPr>
                <w:sz w:val="20"/>
                <w:szCs w:val="20"/>
                <w:color w:val="auto"/>
              </w:rPr>
            </w:pPr>
            <w:r>
              <w:rPr>
                <w:rFonts w:ascii="Arial" w:cs="Arial" w:eastAsia="Arial" w:hAnsi="Arial"/>
                <w:sz w:val="18"/>
                <w:szCs w:val="18"/>
                <w:color w:val="auto"/>
              </w:rPr>
              <w:t>1,043,470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2012 – June 30, 2012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12.46</w:t>
            </w: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1,540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Total Second Quarter 2012</w:t>
            </w: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w w:val="97"/>
              </w:rPr>
              <w:t>16.50</w:t>
            </w:r>
          </w:p>
        </w:tc>
        <w:tc>
          <w:tcPr>
            <w:tcW w:w="11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10,719</w:t>
            </w:r>
          </w:p>
        </w:tc>
        <w:tc>
          <w:tcPr>
            <w:tcW w:w="36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10,719</w:t>
            </w:r>
          </w:p>
        </w:tc>
        <w:tc>
          <w:tcPr>
            <w:tcW w:w="1260" w:type="dxa"/>
            <w:vAlign w:val="bottom"/>
          </w:tcPr>
          <w:p>
            <w:pPr>
              <w:jc w:val="right"/>
              <w:spacing w:after="0"/>
              <w:rPr>
                <w:sz w:val="20"/>
                <w:szCs w:val="20"/>
                <w:color w:val="auto"/>
              </w:rPr>
            </w:pPr>
            <w:r>
              <w:rPr>
                <w:rFonts w:ascii="Arial" w:cs="Arial" w:eastAsia="Arial" w:hAnsi="Arial"/>
                <w:sz w:val="18"/>
                <w:szCs w:val="18"/>
                <w:color w:val="auto"/>
              </w:rPr>
              <w:t>1,041,930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31.1</w:t>
            </w:r>
          </w:p>
        </w:tc>
        <w:tc>
          <w:tcPr>
            <w:tcW w:w="10420" w:type="dxa"/>
            <w:vAlign w:val="bottom"/>
          </w:tcPr>
          <w:p>
            <w:pPr>
              <w:ind w:left="480"/>
              <w:spacing w:after="0"/>
              <w:rPr>
                <w:sz w:val="20"/>
                <w:szCs w:val="20"/>
                <w:color w:val="auto"/>
              </w:rPr>
            </w:pPr>
            <w:r>
              <w:rPr>
                <w:rFonts w:ascii="Arial" w:cs="Arial" w:eastAsia="Arial" w:hAnsi="Arial"/>
                <w:sz w:val="18"/>
                <w:szCs w:val="18"/>
                <w:color w:val="auto"/>
                <w:w w:val="98"/>
              </w:rPr>
              <w:t>Rule 13a-14(a) Certifications of Paul D. Arling, Chief Executive Officer (principal executive officer) of Universal Electronics Inc.</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31.2</w:t>
            </w:r>
          </w:p>
        </w:tc>
        <w:tc>
          <w:tcPr>
            <w:tcW w:w="10420" w:type="dxa"/>
            <w:vAlign w:val="bottom"/>
          </w:tcPr>
          <w:p>
            <w:pPr>
              <w:ind w:left="480"/>
              <w:spacing w:after="0"/>
              <w:rPr>
                <w:sz w:val="20"/>
                <w:szCs w:val="20"/>
                <w:color w:val="auto"/>
              </w:rPr>
            </w:pPr>
            <w:r>
              <w:rPr>
                <w:rFonts w:ascii="Arial" w:cs="Arial" w:eastAsia="Arial" w:hAnsi="Arial"/>
                <w:sz w:val="18"/>
                <w:szCs w:val="18"/>
                <w:color w:val="auto"/>
                <w:w w:val="91"/>
              </w:rPr>
              <w:t>Rule 13a-14(a) Certifications of Bryan M. Hackworth, Chief Financial Officer (principal financial officer and principal accounting officer) of</w:t>
            </w:r>
          </w:p>
        </w:tc>
      </w:tr>
      <w:tr>
        <w:trPr>
          <w:trHeight w:val="222"/>
        </w:trPr>
        <w:tc>
          <w:tcPr>
            <w:tcW w:w="780" w:type="dxa"/>
            <w:vAlign w:val="bottom"/>
          </w:tcPr>
          <w:p>
            <w:pPr>
              <w:spacing w:after="0"/>
              <w:rPr>
                <w:sz w:val="19"/>
                <w:szCs w:val="19"/>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rPr>
              <w:t>Universal Electronics Inc.</w:t>
            </w:r>
          </w:p>
        </w:tc>
      </w:tr>
    </w:tbl>
    <w:p>
      <w:pPr>
        <w:spacing w:after="0" w:line="102" w:lineRule="exact"/>
        <w:rPr>
          <w:sz w:val="20"/>
          <w:szCs w:val="20"/>
          <w:color w:val="auto"/>
        </w:rPr>
      </w:pPr>
    </w:p>
    <w:p>
      <w:pPr>
        <w:ind w:left="1260" w:hanging="1252"/>
        <w:spacing w:after="0" w:line="259" w:lineRule="auto"/>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ectPr>
          <w:pgSz w:w="11900" w:h="16838" w:orient="portrait"/>
          <w:cols w:equalWidth="0" w:num="1">
            <w:col w:w="11340"/>
          </w:cols>
          <w:pgMar w:left="240" w:top="459" w:right="31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40" w:lineRule="exact"/>
        <w:rPr>
          <w:sz w:val="20"/>
          <w:szCs w:val="20"/>
          <w:color w:val="auto"/>
        </w:rPr>
      </w:pPr>
    </w:p>
    <w:p>
      <w:pPr>
        <w:sectPr>
          <w:pgSz w:w="11900" w:h="16838" w:orient="portrait"/>
          <w:cols w:equalWidth="0" w:num="2">
            <w:col w:w="680" w:space="580"/>
            <w:col w:w="100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40" w:lineRule="exact"/>
        <w:rPr>
          <w:sz w:val="20"/>
          <w:szCs w:val="20"/>
          <w:color w:val="auto"/>
        </w:rPr>
      </w:pPr>
    </w:p>
    <w:p>
      <w:pPr>
        <w:sectPr>
          <w:pgSz w:w="11900" w:h="16838" w:orient="portrait"/>
          <w:cols w:equalWidth="0" w:num="2">
            <w:col w:w="740" w:space="520"/>
            <w:col w:w="100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40" w:lineRule="exact"/>
        <w:rPr>
          <w:sz w:val="20"/>
          <w:szCs w:val="20"/>
          <w:color w:val="auto"/>
        </w:rPr>
      </w:pPr>
    </w:p>
    <w:p>
      <w:pPr>
        <w:sectPr>
          <w:pgSz w:w="11900" w:h="16838" w:orient="portrait"/>
          <w:cols w:equalWidth="0" w:num="2">
            <w:col w:w="760" w:space="500"/>
            <w:col w:w="100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140" w:lineRule="exact"/>
        <w:rPr>
          <w:sz w:val="20"/>
          <w:szCs w:val="20"/>
          <w:color w:val="auto"/>
        </w:rPr>
      </w:pPr>
    </w:p>
    <w:p>
      <w:pPr>
        <w:sectPr>
          <w:pgSz w:w="11900" w:h="16838" w:orient="portrait"/>
          <w:cols w:equalWidth="0" w:num="2">
            <w:col w:w="740" w:space="520"/>
            <w:col w:w="100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40" w:lineRule="exact"/>
        <w:rPr>
          <w:sz w:val="20"/>
          <w:szCs w:val="20"/>
          <w:color w:val="auto"/>
        </w:rPr>
      </w:pPr>
    </w:p>
    <w:p>
      <w:pPr>
        <w:sectPr>
          <w:pgSz w:w="11900" w:h="16838" w:orient="portrait"/>
          <w:cols w:equalWidth="0" w:num="2">
            <w:col w:w="760" w:space="500"/>
            <w:col w:w="100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81" w:lineRule="exact"/>
        <w:rPr>
          <w:sz w:val="20"/>
          <w:szCs w:val="20"/>
          <w:color w:val="auto"/>
        </w:rPr>
      </w:pPr>
    </w:p>
    <w:p>
      <w:pPr>
        <w:sectPr>
          <w:pgSz w:w="11900" w:h="16838" w:orient="portrait"/>
          <w:cols w:equalWidth="0" w:num="2">
            <w:col w:w="720" w:space="540"/>
            <w:col w:w="10080"/>
          </w:cols>
          <w:pgMar w:left="240" w:top="459" w:right="319" w:bottom="1440" w:gutter="0" w:footer="0" w:header="0"/>
          <w:type w:val="continuous"/>
        </w:sectPr>
      </w:pPr>
    </w:p>
    <w:p>
      <w:pPr>
        <w:ind w:left="220" w:right="200" w:hanging="212"/>
        <w:spacing w:after="0" w:line="259"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August 8, 2012</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7560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Bryan M. Hackworth</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 (principal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and principal accounting officer)</w:t>
      </w:r>
    </w:p>
    <w:p>
      <w:pPr>
        <w:spacing w:after="0" w:line="1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240" w:top="459" w:right="7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6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600" w:type="dxa"/>
            <w:vAlign w:val="bottom"/>
          </w:tcPr>
          <w:p>
            <w:pPr>
              <w:spacing w:after="0"/>
              <w:rPr>
                <w:sz w:val="24"/>
                <w:szCs w:val="24"/>
                <w:color w:val="auto"/>
              </w:rPr>
            </w:pPr>
          </w:p>
        </w:tc>
        <w:tc>
          <w:tcPr>
            <w:tcW w:w="10160" w:type="dxa"/>
            <w:vAlign w:val="bottom"/>
            <w:tcBorders>
              <w:bottom w:val="single" w:sz="8" w:color="auto"/>
            </w:tcBorders>
          </w:tcPr>
          <w:p>
            <w:pPr>
              <w:ind w:left="474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600" w:type="dxa"/>
            <w:vAlign w:val="bottom"/>
          </w:tcPr>
          <w:p>
            <w:pPr>
              <w:spacing w:after="0"/>
              <w:rPr>
                <w:sz w:val="16"/>
                <w:szCs w:val="16"/>
                <w:color w:val="auto"/>
              </w:rPr>
            </w:pPr>
          </w:p>
        </w:tc>
        <w:tc>
          <w:tcPr>
            <w:tcW w:w="10160" w:type="dxa"/>
            <w:vAlign w:val="bottom"/>
          </w:tcPr>
          <w:p>
            <w:pPr>
              <w:spacing w:after="0" w:line="195" w:lineRule="exact"/>
              <w:rPr>
                <w:sz w:val="20"/>
                <w:szCs w:val="20"/>
                <w:color w:val="auto"/>
              </w:rPr>
            </w:pPr>
            <w:r>
              <w:rPr>
                <w:rFonts w:ascii="Arial" w:cs="Arial" w:eastAsia="Arial" w:hAnsi="Arial"/>
                <w:sz w:val="18"/>
                <w:szCs w:val="18"/>
                <w:color w:val="auto"/>
                <w:w w:val="91"/>
              </w:rPr>
              <w:t>Standard Office Lease between Universal Electronics Inc. and The Realty Associates Fund VIII, L.P., dated May 11, 2012 (Incorporated by</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4"/>
              </w:rPr>
              <w:t>reference to Exhibit 10.1 to the Company’s Current Report on Form 8-K dated May 11, 2012 filed on May 18, 2012 (File No. 0-21044)).</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Rule 13a-14(a) Certifications of Paul D. Arling, Chief Executive Officer (principal executive officer) of Universal Electronics Inc.</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3"/>
              </w:rPr>
              <w:t>Rule 13a-14(a) Certifications of Bryan M. Hackworth, Chief Financial Officer (principal financial officer and principal accounting officer) of</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Universal Electronics Inc.</w:t>
            </w:r>
          </w:p>
        </w:tc>
      </w:tr>
    </w:tbl>
    <w:p>
      <w:pPr>
        <w:spacing w:after="0" w:line="102" w:lineRule="exact"/>
        <w:rPr>
          <w:sz w:val="20"/>
          <w:szCs w:val="20"/>
          <w:color w:val="auto"/>
        </w:rPr>
      </w:pPr>
    </w:p>
    <w:p>
      <w:pPr>
        <w:ind w:left="1260" w:right="80" w:hanging="1252"/>
        <w:spacing w:after="0" w:line="259"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ectPr>
          <w:pgSz w:w="11900" w:h="16838" w:orient="portrait"/>
          <w:cols w:equalWidth="0" w:num="1">
            <w:col w:w="11420"/>
          </w:cols>
          <w:pgMar w:left="240" w:top="459" w:right="23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40" w:lineRule="exact"/>
        <w:rPr>
          <w:sz w:val="20"/>
          <w:szCs w:val="20"/>
          <w:color w:val="auto"/>
        </w:rPr>
      </w:pPr>
    </w:p>
    <w:p>
      <w:pPr>
        <w:sectPr>
          <w:pgSz w:w="11900" w:h="16838" w:orient="portrait"/>
          <w:cols w:equalWidth="0" w:num="2">
            <w:col w:w="680" w:space="580"/>
            <w:col w:w="101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40" w:lineRule="exact"/>
        <w:rPr>
          <w:sz w:val="20"/>
          <w:szCs w:val="20"/>
          <w:color w:val="auto"/>
        </w:rPr>
      </w:pPr>
    </w:p>
    <w:p>
      <w:pPr>
        <w:sectPr>
          <w:pgSz w:w="11900" w:h="16838" w:orient="portrait"/>
          <w:cols w:equalWidth="0" w:num="2">
            <w:col w:w="740" w:space="520"/>
            <w:col w:w="101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40" w:lineRule="exact"/>
        <w:rPr>
          <w:sz w:val="20"/>
          <w:szCs w:val="20"/>
          <w:color w:val="auto"/>
        </w:rPr>
      </w:pPr>
    </w:p>
    <w:p>
      <w:pPr>
        <w:sectPr>
          <w:pgSz w:w="11900" w:h="16838" w:orient="portrait"/>
          <w:cols w:equalWidth="0" w:num="2">
            <w:col w:w="760" w:space="500"/>
            <w:col w:w="101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140" w:lineRule="exact"/>
        <w:rPr>
          <w:sz w:val="20"/>
          <w:szCs w:val="20"/>
          <w:color w:val="auto"/>
        </w:rPr>
      </w:pPr>
    </w:p>
    <w:p>
      <w:pPr>
        <w:sectPr>
          <w:pgSz w:w="11900" w:h="16838" w:orient="portrait"/>
          <w:cols w:equalWidth="0" w:num="2">
            <w:col w:w="740" w:space="520"/>
            <w:col w:w="101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40" w:lineRule="exact"/>
        <w:rPr>
          <w:sz w:val="20"/>
          <w:szCs w:val="20"/>
          <w:color w:val="auto"/>
        </w:rPr>
      </w:pPr>
    </w:p>
    <w:p>
      <w:pPr>
        <w:sectPr>
          <w:pgSz w:w="11900" w:h="16838" w:orient="portrait"/>
          <w:cols w:equalWidth="0" w:num="2">
            <w:col w:w="760" w:space="500"/>
            <w:col w:w="101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81" w:lineRule="exact"/>
        <w:rPr>
          <w:sz w:val="20"/>
          <w:szCs w:val="20"/>
          <w:color w:val="auto"/>
        </w:rPr>
      </w:pPr>
    </w:p>
    <w:p>
      <w:pPr>
        <w:sectPr>
          <w:pgSz w:w="11900" w:h="16838" w:orient="portrait"/>
          <w:cols w:equalWidth="0" w:num="2">
            <w:col w:w="720" w:space="540"/>
            <w:col w:w="10160"/>
          </w:cols>
          <w:pgMar w:left="240" w:top="459" w:right="239" w:bottom="1440" w:gutter="0" w:footer="0" w:header="0"/>
          <w:type w:val="continuous"/>
        </w:sectPr>
      </w:pPr>
    </w:p>
    <w:p>
      <w:pPr>
        <w:ind w:left="220" w:right="280" w:hanging="212"/>
        <w:spacing w:after="0" w:line="259"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420" w:firstLine="443"/>
        <w:spacing w:after="0" w:line="259" w:lineRule="auto"/>
        <w:tabs>
          <w:tab w:leader="none" w:pos="10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900" w:firstLine="443"/>
        <w:spacing w:after="0" w:line="332" w:lineRule="auto"/>
        <w:tabs>
          <w:tab w:leader="none" w:pos="1078"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400" w:firstLine="443"/>
        <w:spacing w:after="0" w:line="332" w:lineRule="auto"/>
        <w:tabs>
          <w:tab w:leader="none" w:pos="1088"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64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0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0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420" w:firstLine="443"/>
        <w:spacing w:after="0" w:line="259" w:lineRule="auto"/>
        <w:tabs>
          <w:tab w:leader="none" w:pos="10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900" w:firstLine="443"/>
        <w:spacing w:after="0" w:line="332" w:lineRule="auto"/>
        <w:tabs>
          <w:tab w:leader="none" w:pos="1078"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400" w:firstLine="443"/>
        <w:spacing w:after="0" w:line="332" w:lineRule="auto"/>
        <w:tabs>
          <w:tab w:leader="none" w:pos="1088"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6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0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08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June 30, 2012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Dated: August 8, 2012</w:t>
            </w:r>
          </w:p>
        </w:tc>
        <w:tc>
          <w:tcPr>
            <w:tcW w:w="7660" w:type="dxa"/>
            <w:vAlign w:val="bottom"/>
            <w:gridSpan w:val="2"/>
          </w:tcPr>
          <w:p>
            <w:pPr>
              <w:ind w:left="21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Paul D. Arling</w:t>
            </w:r>
          </w:p>
        </w:tc>
      </w:tr>
      <w:tr>
        <w:trPr>
          <w:trHeight w:val="217"/>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35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32"/>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32"/>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2019-12-09T07:44:40Z</dcterms:created>
  <dcterms:modified xsi:type="dcterms:W3CDTF">2019-12-09T07:44:40Z</dcterms:modified>
</cp:coreProperties>
</file>