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March 31, 2016</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74"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27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27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274"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14,432,424 shares of Common Stock, par value $0.01 per share, of the registrant were outstanding on May 5, 2016.</w:t>
      </w:r>
    </w:p>
    <w:p>
      <w:pPr>
        <w:sectPr>
          <w:pgSz w:w="11900" w:h="16838" w:orient="portrait"/>
          <w:cols w:equalWidth="0" w:num="1">
            <w:col w:w="11420"/>
          </w:cols>
          <w:pgMar w:left="240" w:top="27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52,966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4,623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4,623</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110,992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121,801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117,692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122,366</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7,296</w:t>
            </w: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304,534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315,324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90,015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43,184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43,116</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32,926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10,513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8,474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5,365</w:t>
            </w:r>
          </w:p>
        </w:tc>
      </w:tr>
      <w:tr>
        <w:trPr>
          <w:trHeight w:val="284"/>
        </w:trPr>
        <w:tc>
          <w:tcPr>
            <w:tcW w:w="79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489,036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495,220</w:t>
            </w:r>
          </w:p>
        </w:tc>
      </w:tr>
      <w:tr>
        <w:trPr>
          <w:trHeight w:val="237"/>
        </w:trPr>
        <w:tc>
          <w:tcPr>
            <w:tcW w:w="790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93,843</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Line of credit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57,987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37,452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6,558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7,618</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accrued expenses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20,497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21,466</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215,124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9,415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7,891</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1,891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1,917</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222,486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237,312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$0.01 par value, 50,000,000 shares authorized; 23,286,653 and 23,176,277 shares issued on March</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31, 2016 and December 31, 2015,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Paid-in capital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234,523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228,269</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Treasury stock, at cost, 8,857,702 and 8,824,768 shares on March 31, 2016 and December 31, 2015,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(210,333)</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(14,431)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(15,799)</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255,240</w:t>
            </w: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Universal Electronics Inc. stockholders' equity</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266,229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257,609</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266,550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257,908</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489,036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495,220</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See Notes 4 and 9 for further information concerning our purchases from related party vendors.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150,658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132,705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113,011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95,296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37,647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5,186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Universal Electronics Inc.:</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51"/>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14,373</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15,907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660" w:type="dxa"/>
            <w:vAlign w:val="bottom"/>
          </w:tcPr>
          <w:p>
            <w:pPr>
              <w:ind w:left="380"/>
              <w:spacing w:after="0"/>
              <w:rPr>
                <w:sz w:val="20"/>
                <w:szCs w:val="20"/>
                <w:color w:val="auto"/>
              </w:rPr>
            </w:pPr>
            <w:r>
              <w:rPr>
                <w:rFonts w:ascii="Arial" w:cs="Arial" w:eastAsia="Arial" w:hAnsi="Arial"/>
                <w:sz w:val="18"/>
                <w:szCs w:val="18"/>
                <w:color w:val="auto"/>
              </w:rPr>
              <w:t>Diluted</w:t>
            </w:r>
          </w:p>
        </w:tc>
        <w:tc>
          <w:tcPr>
            <w:tcW w:w="1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14,637</w:t>
            </w: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16,243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22"/>
                <w:szCs w:val="22"/>
                <w:color w:val="auto"/>
              </w:rPr>
            </w:pPr>
          </w:p>
        </w:tc>
      </w:tr>
      <w:tr>
        <w:trPr>
          <w:trHeight w:val="250"/>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top w:val="single" w:sz="8" w:color="auto"/>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5,189</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(4,258)</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931</w:t>
            </w: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Universal Electronics Inc.</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931</w:t>
            </w: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118" w:right="41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(used for)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2,743</w:t>
            </w:r>
          </w:p>
        </w:tc>
        <w:tc>
          <w:tcPr>
            <w:tcW w:w="100" w:type="dxa"/>
            <w:vAlign w:val="bottom"/>
          </w:tcPr>
          <w:p>
            <w:pPr>
              <w:spacing w:after="0"/>
              <w:rPr>
                <w:sz w:val="20"/>
                <w:szCs w:val="20"/>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5,189</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5,929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4,667</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doubtful accounts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Provision for inventory write-downs</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906</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567</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Employee and director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Performance-based warrant stock-based compensation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12,255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342</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Inventories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(5,993)</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755</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Accounts payable and accrued expenses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(22,900)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(12,209)</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Accrued income taxes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(832)</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(used for) 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(5,649)</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used for investing activities: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(7,210)</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Acquisition of intangible assets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used for investing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(7,891)</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provided by (used for) financing activities: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Borrowings under line of credit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42,987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Repayments on line of credit</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(35,000)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stock options exercised</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Treasury stock purchased</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(4,021)</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r>
      <w:tr>
        <w:trPr>
          <w:trHeight w:val="217"/>
        </w:trPr>
        <w:tc>
          <w:tcPr>
            <w:tcW w:w="8100" w:type="dxa"/>
            <w:vAlign w:val="bottom"/>
          </w:tcPr>
          <w:p>
            <w:pPr>
              <w:ind w:left="700"/>
              <w:spacing w:after="0"/>
              <w:rPr>
                <w:sz w:val="20"/>
                <w:szCs w:val="20"/>
                <w:color w:val="auto"/>
              </w:rPr>
            </w:pPr>
            <w:r>
              <w:rPr>
                <w:rFonts w:ascii="Arial" w:cs="Arial" w:eastAsia="Arial" w:hAnsi="Arial"/>
                <w:sz w:val="16"/>
                <w:szCs w:val="16"/>
                <w:color w:val="auto"/>
              </w:rPr>
              <w:t>Net cash provided by (used for) financing activities</w:t>
            </w: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8,866</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(2,445)</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3,111</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(15,419)</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52,966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112,521</w:t>
            </w:r>
          </w:p>
        </w:tc>
      </w:tr>
      <w:tr>
        <w:trPr>
          <w:trHeight w:val="28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56,077</w:t>
            </w: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97,102</w:t>
            </w:r>
          </w:p>
        </w:tc>
      </w:tr>
      <w:tr>
        <w:trPr>
          <w:trHeight w:val="311"/>
        </w:trPr>
        <w:tc>
          <w:tcPr>
            <w:tcW w:w="8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18" w:right="25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2016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and stock-based compensation expense. Actual results may differ from these estimates and assumptions, and they may be adjusted as more information becomes available. Any adjustment may be material.</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2015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On July 9, 2015, the FASB postponed the effective date of the new revenue standard by one year; however, early adoption is permitted as of the original effective date. We have not yet selected a transition method and are evaluating the impact that this new standard will have on our consolidated financial statements.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the FASB issued ASU 2015-05, "Customer's Accounting for Fees Paid in a Cloud Computing Arrangement," which amends Accounting Standards Codification ("ASC") 350, "Intangibles - Goodwill and Other". The amendments provide guidance as to whether a cloud computing arrangement includes a software license, and based on that determination, how to account for such arrangements. ASU 2015-05 is effective for fiscal periods beginning after December 15, 2015 and permits the use of either the prospective or retrospective transition method. The adoption of ASU 2015-05 did not have a material impact on our consolidated financial position or results of operations.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2015, the FASB issued ASU 2015-11, "Simplifying the Measurement of Inventory", which states that inventory should be measured at the lower of cost and net realizable value. Net realizable value is defined as estimated selling price in the ordinary course of business, less reasonably predictable costs of completion, disposal and transportation. ASU 2015-11 is effective for fiscal periods beginning after December 15, 2016 and must be applied prospectively. Early adoption is permitted. We are currently evaluating the impact that ASU 2015-11 will have on our consolidated financial statements.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2015, the FASB issued ASU 2015-16, "Simplifying the Accounting for Measurement-period Adjustments." This new guidance requires an acquirer in a business combination to recognize adjustments to the provisional amounts that are identified during the measurement period to be reported in the period in which the adjustment amounts are determined. In addition, the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earnings of changes in depreciation, amortization and other items as a result of the change to the provisional amounts, calculated as if the accounting had been complete as of the acquisition date, must be recorded in the reporting period in which the adjustment amounts are determined. ASU 2015-16 is effective for fiscal periods beginning after December 15, 2015 and must be applied prospectively. The adoption of ASU 2015-16 did not have a material impact on our consolidated financial position or results of operations.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2015, the FASB issued ASU 2015-17, "Balance Sheet Classification of Deferred Taxes." This new guidance requires all deferred tax assets and liabilities, along with any related valuation allowance, be classified as non-current on the balance sheet. ASU 2015-17 is effective for fiscal periods beginning after December 15, 2016 and may be adopted either prospectively or retrospectively. Early adoption is permitted. We have not yet selected a transition method and are currently evaluating the impact that ASU 2015-17 will have on our consolidated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2016-09,"Improvements to Employee Share-Based Payment Accounting", which amends ASC 718, "Compensation - Stock Compensation". ASU 2016-09 is intended to simplify several aspects of the accounting for share-based payment transactions, including income tax consequences, classification of awards as either equity or liabilities, and classification on the statement of cash flows. ASU 2016-09 is effective for fiscal periods beginning after December 15, 2016. Early adoption is permitted. We are currently evaluating the impact that ASU 2016-09 will have on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29,596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28,681</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8,251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8,093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r>
      <w:tr>
        <w:trPr>
          <w:trHeight w:val="257"/>
        </w:trPr>
        <w:tc>
          <w:tcPr>
            <w:tcW w:w="7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56,077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52,966</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court order issued on September 4, 2015, we placed $4.6 million of cash into a collateralized surety bond. This bond has certain restrictions for liquidation and has therefore been classified as restricted cash. Refer to Note 10 for further information about this ongoing litigation.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gridSpan w:val="4"/>
          </w:tcPr>
          <w:p>
            <w:pPr>
              <w:ind w:left="14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108,831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119,090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Net trade receivables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107,608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117,761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110,992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121,801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3"/>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Additions (reductions) to costs and expenses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(Write-offs)/Foreign exchange effects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March 31, 2016 and December 31, 2015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$0.3 million on March 31, 2016 and December 31, 2015, respectively. The value of these returned goods was included in our inventory balance at March 31, 2016 and December 31,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5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122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1228"/>
              <w:spacing w:after="0"/>
              <w:rPr>
                <w:sz w:val="20"/>
                <w:szCs w:val="20"/>
                <w:color w:val="auto"/>
              </w:rPr>
            </w:pPr>
            <w:r>
              <w:rPr>
                <w:rFonts w:ascii="Arial" w:cs="Arial" w:eastAsia="Arial" w:hAnsi="Arial"/>
                <w:sz w:val="14"/>
                <w:szCs w:val="14"/>
                <w:b w:val="1"/>
                <w:bCs w:val="1"/>
                <w:color w:val="auto"/>
              </w:rPr>
              <w:t>2015</w:t>
            </w:r>
          </w:p>
        </w:tc>
      </w:tr>
      <w:tr>
        <w:trPr>
          <w:trHeight w:val="264"/>
        </w:trPr>
        <w:tc>
          <w:tcPr>
            <w:tcW w:w="5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1"/>
              </w:rPr>
              <w:t>$ (thousands)</w:t>
            </w:r>
          </w:p>
        </w:tc>
        <w:tc>
          <w:tcPr>
            <w:tcW w:w="3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Net Sales</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1"/>
              </w:rPr>
              <w:t>$ (thousands)</w:t>
            </w:r>
          </w:p>
        </w:tc>
        <w:tc>
          <w:tcPr>
            <w:tcW w:w="3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39,609</w:t>
            </w: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w w:val="97"/>
              </w:rPr>
              <w:t>26.3%</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15,577</w:t>
            </w: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w w:val="93"/>
              </w:rPr>
              <w:t>11.7%</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DIRECTV</w:t>
            </w: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16,819</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17,365</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13.1</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46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March 31, 2016</w:t>
            </w:r>
          </w:p>
        </w:tc>
        <w:tc>
          <w:tcPr>
            <w:tcW w:w="3120" w:type="dxa"/>
            <w:vAlign w:val="bottom"/>
            <w:tcBorders>
              <w:bottom w:val="single" w:sz="8" w:color="auto"/>
            </w:tcBorders>
            <w:gridSpan w:val="3"/>
          </w:tcPr>
          <w:p>
            <w:pPr>
              <w:jc w:val="right"/>
              <w:ind w:right="885"/>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Pr>
          <w:p>
            <w:pPr>
              <w:spacing w:after="0"/>
              <w:rPr>
                <w:sz w:val="16"/>
                <w:szCs w:val="16"/>
                <w:color w:val="auto"/>
              </w:rPr>
            </w:pPr>
          </w:p>
        </w:tc>
      </w:tr>
      <w:tr>
        <w:trPr>
          <w:trHeight w:val="264"/>
        </w:trPr>
        <w:tc>
          <w:tcPr>
            <w:tcW w:w="4500" w:type="dxa"/>
            <w:vAlign w:val="bottom"/>
          </w:tcPr>
          <w:p>
            <w:pPr>
              <w:spacing w:after="0"/>
              <w:rPr>
                <w:sz w:val="22"/>
                <w:szCs w:val="22"/>
                <w:color w:val="auto"/>
              </w:rPr>
            </w:pPr>
          </w:p>
        </w:tc>
        <w:tc>
          <w:tcPr>
            <w:tcW w:w="1700" w:type="dxa"/>
            <w:vAlign w:val="bottom"/>
            <w:gridSpan w:val="2"/>
          </w:tcPr>
          <w:p>
            <w:pPr>
              <w:ind w:left="260"/>
              <w:spacing w:after="0"/>
              <w:rPr>
                <w:sz w:val="20"/>
                <w:szCs w:val="20"/>
                <w:color w:val="auto"/>
              </w:rPr>
            </w:pPr>
            <w:r>
              <w:rPr>
                <w:rFonts w:ascii="Arial" w:cs="Arial" w:eastAsia="Arial" w:hAnsi="Arial"/>
                <w:sz w:val="14"/>
                <w:szCs w:val="14"/>
                <w:b w:val="1"/>
                <w:bCs w:val="1"/>
                <w:color w:val="auto"/>
              </w:rPr>
              <w:t>$ (thousands)</w:t>
            </w:r>
          </w:p>
        </w:tc>
        <w:tc>
          <w:tcPr>
            <w:tcW w:w="17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 Net Sales</w:t>
            </w:r>
          </w:p>
        </w:tc>
        <w:tc>
          <w:tcPr>
            <w:tcW w:w="1700" w:type="dxa"/>
            <w:vAlign w:val="bottom"/>
            <w:gridSpan w:val="2"/>
          </w:tcPr>
          <w:p>
            <w:pPr>
              <w:ind w:left="260"/>
              <w:spacing w:after="0"/>
              <w:rPr>
                <w:sz w:val="20"/>
                <w:szCs w:val="20"/>
                <w:color w:val="auto"/>
              </w:rPr>
            </w:pPr>
            <w:r>
              <w:rPr>
                <w:rFonts w:ascii="Arial" w:cs="Arial" w:eastAsia="Arial" w:hAnsi="Arial"/>
                <w:sz w:val="14"/>
                <w:szCs w:val="14"/>
                <w:b w:val="1"/>
                <w:bCs w:val="1"/>
                <w:color w:val="auto"/>
              </w:rPr>
              <w:t>$ (thousands)</w:t>
            </w:r>
          </w:p>
        </w:tc>
        <w:tc>
          <w:tcPr>
            <w:tcW w:w="17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3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27,126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8"/>
                <w:szCs w:val="18"/>
                <w:color w:val="auto"/>
              </w:rPr>
              <w:t>29,404</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71"/>
        </w:trPr>
        <w:tc>
          <w:tcPr>
            <w:tcW w:w="4500" w:type="dxa"/>
            <w:vAlign w:val="bottom"/>
          </w:tcPr>
          <w:p>
            <w:pPr>
              <w:ind w:left="40"/>
              <w:spacing w:after="0"/>
              <w:rPr>
                <w:sz w:val="20"/>
                <w:szCs w:val="20"/>
                <w:color w:val="auto"/>
              </w:rPr>
            </w:pPr>
            <w:r>
              <w:rPr>
                <w:rFonts w:ascii="Arial" w:cs="Arial" w:eastAsia="Arial" w:hAnsi="Arial"/>
                <w:sz w:val="18"/>
                <w:szCs w:val="18"/>
                <w:color w:val="auto"/>
              </w:rPr>
              <w:t>DIRECTV</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12,769</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24"/>
                <w:szCs w:val="24"/>
                <w:color w:val="auto"/>
              </w:rPr>
            </w:pPr>
          </w:p>
        </w:tc>
        <w:tc>
          <w:tcPr>
            <w:tcW w:w="1700" w:type="dxa"/>
            <w:vAlign w:val="bottom"/>
            <w:gridSpan w:val="2"/>
          </w:tcPr>
          <w:p>
            <w:pPr>
              <w:ind w:left="1060"/>
              <w:spacing w:after="0"/>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c>
          <w:tcPr>
            <w:tcW w:w="1760" w:type="dxa"/>
            <w:vAlign w:val="bottom"/>
            <w:gridSpan w:val="2"/>
          </w:tcPr>
          <w:p>
            <w:pPr>
              <w:ind w:left="1060"/>
              <w:spacing w:after="0"/>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r>
    </w:tbl>
    <w:p>
      <w:pPr>
        <w:spacing w:after="0" w:line="129"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Trade receivables associated with this customer did not total more than 10% of our accounts receivable, net at December 31, 2015.</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16"/>
                <w:szCs w:val="16"/>
                <w:color w:val="auto"/>
              </w:rPr>
            </w:pPr>
          </w:p>
        </w:tc>
        <w:tc>
          <w:tcPr>
            <w:tcW w:w="1440" w:type="dxa"/>
            <w:vAlign w:val="bottom"/>
          </w:tcPr>
          <w:p>
            <w:pPr>
              <w:jc w:val="right"/>
              <w:ind w:right="3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13,694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72,889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78,222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117,692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122,366</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$63 thousand and $95 thousand for the three months ended March 31, 2016 and 2015,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purchase integrated circuits, components and finished goods from multiple sources. Texas Instruments provided $8.5 million or 10.8%, of total inventory purchases during the three months ended March 31, 2016. Victory Chemical Co., Ltd. provided $8.2 million or 11.2%, of total inventory purchases during the three months ended March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Strategic Operations owns 40% of this vendor.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of Total</w:t>
            </w:r>
          </w:p>
        </w:tc>
        <w:tc>
          <w:tcPr>
            <w:tcW w:w="11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556"/>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Total accounts payable to this supplier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5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  $</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2,361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payable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4"/>
          </w:tcPr>
          <w:p>
            <w:pPr>
              <w:spacing w:after="0"/>
              <w:rPr>
                <w:sz w:val="20"/>
                <w:szCs w:val="20"/>
                <w:color w:val="auto"/>
              </w:rPr>
            </w:pPr>
            <w:r>
              <w:rPr>
                <w:rFonts w:ascii="Arial" w:cs="Arial" w:eastAsia="Arial" w:hAnsi="Arial"/>
                <w:sz w:val="18"/>
                <w:szCs w:val="18"/>
                <w:color w:val="auto"/>
                <w:w w:val="97"/>
              </w:rPr>
              <w:t>The components of intangible assets, net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2016</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11,468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1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$9.4 million and $9.0 million at March 31, 2016 and December 31, 2015, respectively.</w:t>
      </w: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1,004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05"/>
        </w:trPr>
        <w:tc>
          <w:tcPr>
            <w:tcW w:w="1100" w:type="dxa"/>
            <w:vAlign w:val="bottom"/>
            <w:tcBorders>
              <w:top w:val="single" w:sz="8" w:color="0000EE"/>
            </w:tcBorders>
          </w:tcPr>
          <w:p>
            <w:pPr>
              <w:spacing w:after="0"/>
              <w:rPr>
                <w:sz w:val="17"/>
                <w:szCs w:val="17"/>
                <w:color w:val="auto"/>
              </w:rPr>
            </w:pPr>
          </w:p>
        </w:tc>
        <w:tc>
          <w:tcPr>
            <w:tcW w:w="8820" w:type="dxa"/>
            <w:vAlign w:val="bottom"/>
          </w:tcPr>
          <w:p>
            <w:pPr>
              <w:jc w:val="center"/>
              <w:ind w:left="33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8820" w:type="dxa"/>
            <w:vAlign w:val="bottom"/>
          </w:tcPr>
          <w:p>
            <w:pPr>
              <w:jc w:val="center"/>
              <w:ind w:left="33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8820" w:type="dxa"/>
            <w:vAlign w:val="bottom"/>
          </w:tcPr>
          <w:p>
            <w:pPr>
              <w:jc w:val="center"/>
              <w:ind w:left="310"/>
              <w:spacing w:after="0"/>
              <w:rPr>
                <w:sz w:val="20"/>
                <w:szCs w:val="20"/>
                <w:color w:val="auto"/>
              </w:rPr>
            </w:pPr>
            <w:r>
              <w:rPr>
                <w:rFonts w:ascii="Arial" w:cs="Arial" w:eastAsia="Arial" w:hAnsi="Arial"/>
                <w:sz w:val="18"/>
                <w:szCs w:val="18"/>
                <w:b w:val="1"/>
                <w:bCs w:val="1"/>
                <w:color w:val="auto"/>
                <w:w w:val="97"/>
              </w:rPr>
              <w:t>MARCH 31, 2016</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8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(Unaudited)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21"/>
        </w:trPr>
        <w:tc>
          <w:tcPr>
            <w:tcW w:w="9920" w:type="dxa"/>
            <w:vAlign w:val="bottom"/>
            <w:gridSpan w:val="2"/>
          </w:tcPr>
          <w:p>
            <w:pPr>
              <w:spacing w:after="0"/>
              <w:rPr>
                <w:sz w:val="20"/>
                <w:szCs w:val="20"/>
                <w:color w:val="auto"/>
              </w:rPr>
            </w:pPr>
            <w:r>
              <w:rPr>
                <w:rFonts w:ascii="Arial" w:cs="Arial" w:eastAsia="Arial" w:hAnsi="Arial"/>
                <w:sz w:val="18"/>
                <w:szCs w:val="18"/>
                <w:color w:val="auto"/>
              </w:rPr>
              <w:t>Estimated future annual amortization expense related to our intangible assets at March 31, 2016, is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99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 (remaining 9 months)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4,778</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2017</w:t>
            </w:r>
          </w:p>
        </w:tc>
        <w:tc>
          <w:tcPr>
            <w:tcW w:w="8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6,303</w:t>
            </w:r>
          </w:p>
        </w:tc>
      </w:tr>
      <w:tr>
        <w:trPr>
          <w:trHeight w:val="27"/>
        </w:trPr>
        <w:tc>
          <w:tcPr>
            <w:tcW w:w="11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6,250</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2019</w:t>
            </w:r>
          </w:p>
        </w:tc>
        <w:tc>
          <w:tcPr>
            <w:tcW w:w="8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6,235</w:t>
            </w:r>
          </w:p>
        </w:tc>
      </w:tr>
      <w:tr>
        <w:trPr>
          <w:trHeight w:val="27"/>
        </w:trPr>
        <w:tc>
          <w:tcPr>
            <w:tcW w:w="11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5,495</w:t>
            </w:r>
          </w:p>
        </w:tc>
      </w:tr>
      <w:tr>
        <w:trPr>
          <w:trHeight w:val="243"/>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2,874</w:t>
            </w:r>
          </w:p>
        </w:tc>
      </w:tr>
      <w:tr>
        <w:trPr>
          <w:trHeight w:val="27"/>
        </w:trPr>
        <w:tc>
          <w:tcPr>
            <w:tcW w:w="110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31,935</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provided for a $55.0 million line of credit ("Credit Line") that may be used for working capital and other general corporate purposes including acquisitions, share repurchases and capital expenditures. On September 3, 2015, we entered into the Second Amendment to the Amended Credit Agreement in which the Credit Line was increased to $65.0 million. On November 10, 2015, we entered into the Third Amendment to the Amended Credit Agreement in which the Credit Line was increased to $85.0 million. Amounts available for borrowing under the Credit Line are reduced by the balance of any outstanding letters of credit, of which there were $13 thousand at March 31, 2016.</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 interest rate in effect at March 31, 2016 was 1.69%. There are no commitment fees or unused line fees under the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March 31, 2016, we were in compliance with the covenants and conditions of the Amended Credit Agreement.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2016, we had $58.0 million outstanding under the Credit Line. Our total interest expense on borrowings was $0.3 million during the three months ended March 31, 2016. We had no interest expense or borrowings during the three months ended March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income tax expense of $0.8 million and $1.3 million for the three months ended March 31, 2016 and 2015, respectively. Our effective tax rate was 21.5% and 19.5% during the three months ended March 31, 2016 and 2015, respectively. Our effective tax rate was lower in the prior year primarily due to the recording of a $0.3 million tax refund in China during the three months ended March 31, 2015 related to certain deductible research and development expenses incurred in 2013.</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2016, we had gross unrecognized tax benefits of $3.7 million, including interest and penalties, of which $3.3 million would affect the annual effective tax rate if these tax benefits are realized. Further, we are unaware of any positions for which it is reasonably possible that the total amount of unrecognized tax benefits will significantly change within the next twelve months. However, based on federal, state and foreign statute expirations in various jurisdictions, we anticipate a decrease in unrecognized tax benefits of approximately $0.1 million within the next twelve months. We have classified uncertain tax positions as non-current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income tax liabilities unless expected to be paid within one year.</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and $0.2 million at March 31, 2016 and December 31, 2015, respectively, are included in our unrecognized tax benefits.</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On March 31, 2016, the open statutes of limitations in our significant tax jurisdictions were as follows: federal 2012 through 2014, state 2011 through 2014, and foreign 2009 through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2015</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18,893</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18,923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7,549</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2,227</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5,914</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218</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1,537</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37,452</w:t>
            </w:r>
          </w:p>
        </w:tc>
      </w:tr>
      <w:tr>
        <w:trPr>
          <w:trHeight w:val="27"/>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2016 and December 31, 2015.</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$0.3 million and $0.7 million at March 31, 2016 and December 31, 2015, respectively.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1,434</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1,942</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551</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Short-term contingent consideration (Note 19)</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1,173</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foreign currency exchange futures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URC court order (Notes 2 and 10)</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4,629</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2,652</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21,466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The tooling accrual balance relates to unearned revenue for tooling that will be sold to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obtained certain engineering support services for our India subsidiary from JAP Techno Solutions ("JAP"). The owner of JAP is the spouse of the managing director of our India operations. Total fees paid to JAP for the three months ended March 31, 2016 and 2015 were $0 thousand and $26 thousand,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6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3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3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326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60" w:type="dxa"/>
            <w:vAlign w:val="bottom"/>
            <w:vMerge w:val="restart"/>
          </w:tcPr>
          <w:p>
            <w:pPr>
              <w:jc w:val="right"/>
              <w:ind w:right="1970"/>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March 31, 2016, we implemented a plan to reduce our manufacturing costs by transitioning some of our manufacturing activities from our southern-most China factory, located in the city of Guangzhou in the Guangdong province, to our other China factories where labor rates are lower. As a result, we incurred severance costs of $1.4 million during the three months ended March 31, 2016, which are included within selling, general and administrative expenses. We expect to incur additional severance costs of approximately $8 million as we continue to execute this transition over the next 12-18 months. Because severance costs relate to involuntary terminations, we record the related liability at the communication date. At March 31, 2016, we had $0.2 million of unpaid severance costs included within accrued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was infringing, directly and indirectly, four of our patents related to remote control technology. Following a jury verdict in favor of URC, on September 4, 2015 the District Court awarded URC $4.6 million in attorneys’ fees and costs, approximately 50% of the attorneys’ fees and costs URC claims it incurred. Both parties filed Notices of Appeal. URC is appealing various portions of the judgment and the District Court’s decision to award less than the full amount of attorneys’ fees. We have elected not to appeal the award of attorneys’ fees. URC has filed its opening appellate brief and we filed our response on February 26, 2016. We expect oral arguments in the summer of 2016, with a decision approximately six months later. We fully accrued the amount awarded in 2015, and the liability is included within other accrued expenses. Thus, there was no additional amount accrued for the three months ended March 31, 2016. Additionally, as described in Note 2, we placed $4.6 million into a surety bond as collateral for this court order.</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28, 2013, we filed a second lawsuit against URC, also in the United States District Court, Central District of California (Universal Electronics Inc. v. Universal Remote Control, Inc., SACV13-00987 JAK (SHx)) claiming that URC has violated ten patents not implicated in our first lawsuit against it. Of the ten patents, four of them have expired. In mid-November 2013, we filed a motion to add affiliated URC suppliers, Ohsung Electronics Co, Ltd., a South Korean entity, and Ohsung Electronics USA, Inc., a California entity, (collectively "Ohsung"), to the lawsuit. In late June and early July of 2014, URC and Ohsung requested inter partes review ("IPR") with the US Patent and Trademark Office Appeal Board ("PTAB") for each of the ten patents pending in the second URC lawsuit. On July 9, 2014, the Court entered stipulated stay, pending the IPR outcome. In January 2016, the PTAB issued its decisions in all of the IPR proceedings, sustaining most of the claims of the six unexpired patents and invalidating the majority of the claims of the four expired patents. URC filed a notice of appeal with respect to the PTAB’s ruling against it. We have elected to not appeal the PTAB’s rulings. At a status conference held on March 21, 2016, the Court requested briefing on whether the stay should be continued. The briefing has been completed and we are awaiting the Court’s ruling.</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supplies Telenet violates two design patents and one utility patent owned by FMH and/or Ruwido. By this summons, FMH and Ruwido sought to enjoin Telenet and UEBV from continued distribution and use of the products at issue. After the September 29, 2015 hearing, the Court issued its ruling in our and Telenet’s favor, rejecting FMH and Ruwido’s request entirely. On October 22, 2015, Ruwido filed its notice of appeal in this ruling. The parties have fully briefed the appeal and on February 15, 2016, the appellate court heard oral arguments. We expect the appellate court’s ruling on the motion in the next three to six months. In addition, in September 2015, UEBV filed an Opposition with the European Patent Office seeking to invalidate the one utility patent asserted against UEBV and Telenet by Ruwido. Finally, on or about February 9, 2016, Ruwido filed a writ of summons for proceeding on the merits with respect to asserted patents. UEBV and Telenet intend to vigorously defend against Ruwido's claims.</w:t>
      </w:r>
    </w:p>
    <w:p>
      <w:pPr>
        <w:spacing w:after="0" w:line="12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March 31, 2016, we had 375,000 shares available for repurchase on the open market under the Board's authorizations.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 data)</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32,934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69,460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4,021</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54,759</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21,573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31,020</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15,836</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15,783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15,022</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4,883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5,546</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150,658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86,419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83,794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98,870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95,380</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sales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Employees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Outside directors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stock-based compensation expense</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benefit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23495</wp:posOffset>
            </wp:positionV>
            <wp:extent cx="19380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322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43"/>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w:t>
            </w:r>
          </w:p>
        </w:tc>
      </w:tr>
      <w:tr>
        <w:trPr>
          <w:trHeight w:val="540"/>
        </w:trPr>
        <w:tc>
          <w:tcPr>
            <w:tcW w:w="34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1,471</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374</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1,959</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1"/>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-1414145</wp:posOffset>
            </wp:positionV>
            <wp:extent cx="718629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18034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-1062990</wp:posOffset>
            </wp:positionV>
            <wp:extent cx="718629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-719455</wp:posOffset>
            </wp:positionV>
            <wp:extent cx="718629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-359410</wp:posOffset>
            </wp:positionV>
            <wp:extent cx="718629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38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4"/>
              </w:rPr>
              <w:t>Number of Options</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3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6"/>
        </w:trPr>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(in 000's)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38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340" w:space="720"/>
            <w:col w:w="636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7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March 31, 2016 </w:t>
            </w:r>
            <w:r>
              <w:rPr>
                <w:rFonts w:ascii="Arial" w:cs="Arial" w:eastAsia="Arial" w:hAnsi="Arial"/>
                <w:sz w:val="25"/>
                <w:szCs w:val="25"/>
                <w:color w:val="auto"/>
                <w:vertAlign w:val="superscript"/>
              </w:rPr>
              <w:t>(1)</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66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20,847</w:t>
            </w: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March 31, 2016 </w:t>
            </w:r>
            <w:r>
              <w:rPr>
                <w:rFonts w:ascii="Arial" w:cs="Arial" w:eastAsia="Arial" w:hAnsi="Arial"/>
                <w:sz w:val="25"/>
                <w:szCs w:val="25"/>
                <w:color w:val="auto"/>
                <w:vertAlign w:val="superscript"/>
              </w:rPr>
              <w:t>(1)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814</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20,840</w:t>
            </w: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March 31, 2016 </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w:t>
            </w:r>
          </w:p>
        </w:tc>
        <w:tc>
          <w:tcPr>
            <w:tcW w:w="6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27.15</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16,422</w:t>
            </w: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2016 and the exercise price, multiplied by the number of in-the-money options) that would have been received by the option holders had they all exercised their options on March 31, 2016. This amount will change based on the fair market value of our stock.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6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r>
      <w:tr>
        <w:trPr>
          <w:trHeight w:val="264"/>
        </w:trPr>
        <w:tc>
          <w:tcPr>
            <w:tcW w:w="8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4"/>
              </w:rPr>
              <w:t>24.77</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8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43.50%</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92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4.56</w:t>
            </w:r>
          </w:p>
        </w:tc>
      </w:tr>
    </w:tbl>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2016, we expect to recognize $5.9 million of total unrecognized pre-tax stock-based compensation expense related to non-vested stock options over a remaining weighted-average life of 2.5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51.31</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51.39</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45.92</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55.85</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2016</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51.95</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2016, we expect to recognize $10.6 million of total unrecognized pre-tax stock-based compensation expense related to non-vested restricted stock awards over a weighted-average life of 2.1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Performance-Based Common Stock Warrants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we issued common stock purchase warrants to Comcast Corporation ("Comcast") to purchase up to 725,000 shares of our common stock at a price of $54.55 per share. The right to exercise the warrants under this agreement is subject to vesting over three successive two-year periods (with the first two-year period commencing on January 1, 2016) based on the level of purchases of goods and services from us by Comcast and its affiliates, as defined in the warrant agreement. The table below presents the purchase levels and number of warrants that will vest in each period based upon achieving these purchase levels.</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To fully vest in the rights to purchase all of the underlying shares, Comcast and its affiliates must purchase an aggregate of $1.02 billion in goods and services from us during the six-year vesting period.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the warrants contain performance criteria under which Comcast must achieve specified aggregate purchase levels for the warrants to vest, as detailed above, the measurement date for the warrants is the date on which the warrants vest. The estimated fair value of warrants is being recorded as a reduction to net sales ratably as the warrants vest based on the projected number of warrants that will vest, the proportion of purchases by Comcast and its affiliates within the period relative to the aggregate purchase levels required for the warrants to vest and the then-current fair value of the related unvested warrants. To the extent that our projections change in the future as to the number of warrants that will vest, a cumulative catch-up adjustment will be recorded in the period in which our estimates change. At March 31, 2016, none of the warrants had vested.</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 of the warrants is determined using the Black-Scholes option pricing model. The assumptions we utilized and the resulting fair value of the warrants were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92"/>
        </w:trPr>
        <w:tc>
          <w:tcPr>
            <w:tcW w:w="93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$29.86</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1.50%</w:t>
            </w:r>
          </w:p>
        </w:tc>
      </w:tr>
      <w:tr>
        <w:trPr>
          <w:trHeight w:val="27"/>
        </w:trPr>
        <w:tc>
          <w:tcPr>
            <w:tcW w:w="93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41.49%</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6.75</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2016, we recorded $0.9 million as a reduction to net sales in connection with the common stock warrants, and the aggregate unrecognized estimated fair value of unvested warrants at March 31, 2016 was $20.8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70"/>
        </w:trPr>
        <w:tc>
          <w:tcPr>
            <w:tcW w:w="8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1,034</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3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230</w:t>
            </w: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30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5,189</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15,907</w:t>
            </w:r>
          </w:p>
        </w:tc>
      </w:tr>
      <w:tr>
        <w:trPr>
          <w:trHeight w:val="297"/>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0.33</w:t>
            </w:r>
          </w:p>
        </w:tc>
      </w:tr>
      <w:tr>
        <w:trPr>
          <w:trHeight w:val="284"/>
        </w:trPr>
        <w:tc>
          <w:tcPr>
            <w:tcW w:w="8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5,189</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2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3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14,373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15,907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16,243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61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6120" w:type="dxa"/>
            <w:vAlign w:val="bottom"/>
            <w:gridSpan w:val="2"/>
          </w:tcPr>
          <w:p>
            <w:pPr>
              <w:jc w:val="right"/>
              <w:ind w:right="6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16</w:t>
            </w:r>
          </w:p>
        </w:tc>
      </w:tr>
      <w:tr>
        <w:trPr>
          <w:trHeight w:val="486"/>
        </w:trPr>
        <w:tc>
          <w:tcPr>
            <w:tcW w:w="3640" w:type="dxa"/>
            <w:vAlign w:val="bottom"/>
          </w:tcPr>
          <w:p>
            <w:pPr>
              <w:spacing w:after="0"/>
              <w:rPr>
                <w:sz w:val="24"/>
                <w:szCs w:val="24"/>
                <w:color w:val="auto"/>
              </w:rPr>
            </w:pPr>
          </w:p>
        </w:tc>
        <w:tc>
          <w:tcPr>
            <w:tcW w:w="4620" w:type="dxa"/>
            <w:vAlign w:val="bottom"/>
          </w:tcPr>
          <w:p>
            <w:pPr>
              <w:jc w:val="right"/>
              <w:ind w:right="2430"/>
              <w:spacing w:after="0"/>
              <w:rPr>
                <w:sz w:val="20"/>
                <w:szCs w:val="20"/>
                <w:color w:val="auto"/>
              </w:rPr>
            </w:pPr>
            <w:r>
              <w:rPr>
                <w:rFonts w:ascii="Arial" w:cs="Arial" w:eastAsia="Arial" w:hAnsi="Arial"/>
                <w:sz w:val="18"/>
                <w:szCs w:val="18"/>
                <w:color w:val="auto"/>
              </w:rPr>
              <w:t>20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380"/>
          </w:cols>
          <w:pgMar w:left="240" w:top="118" w:right="2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Stockholders' Equity and Noncontrolling Interest</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reconciliation of common stock outstanding, treasury stock and the total carrying amount of Universal Electronics Inc. stockholders’ equity, stockholders’ equity attributable to noncontrolling interest and total stockholders' equity for the three months ended March 31, 2016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300" w:type="dxa"/>
            <w:vAlign w:val="bottom"/>
            <w:gridSpan w:val="4"/>
          </w:tcPr>
          <w:p>
            <w:pPr>
              <w:ind w:left="9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93"/>
              <w:spacing w:after="0" w:line="153" w:lineRule="exact"/>
              <w:rPr>
                <w:sz w:val="20"/>
                <w:szCs w:val="20"/>
                <w:color w:val="auto"/>
              </w:rPr>
            </w:pPr>
            <w:r>
              <w:rPr>
                <w:rFonts w:ascii="Arial" w:cs="Arial" w:eastAsia="Arial" w:hAnsi="Arial"/>
                <w:sz w:val="14"/>
                <w:szCs w:val="14"/>
                <w:b w:val="1"/>
                <w:bCs w:val="1"/>
                <w:color w:val="auto"/>
              </w:rPr>
              <w:t>Universal</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vMerge w:val="restart"/>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Treasury Stock</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94"/>
              </w:rPr>
              <w:t>Electronics Inc.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Stockholders' Equity</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257,609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257,908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Shares issued for employee benefit plan and compensation</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shares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Directors</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Employee and director 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Tax benefit from exercise of non-qualified stock options and vested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Performance-based warrant 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23,287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266,229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266,550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Japanese Yen and Mexican Peso.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total net fair value of derivatives: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March 31, 2016</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2015</w:t>
            </w:r>
          </w:p>
        </w:tc>
        <w:tc>
          <w:tcPr>
            <w:tcW w:w="8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gridSpan w:val="2"/>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(1,146)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(1,146)</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loss of $0.2 million for the three months ended March 31, 2016 and a net pre-tax gain of $1.0 million for the three months ended March 31, 2015, respectively (see Note 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Details of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2016</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March 31, 2016</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6.7391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July 15, 2016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2016</w:t>
            </w:r>
          </w:p>
        </w:tc>
        <w:tc>
          <w:tcPr>
            <w:tcW w:w="0" w:type="dxa"/>
            <w:vAlign w:val="bottom"/>
          </w:tcPr>
          <w:p>
            <w:pPr>
              <w:spacing w:after="0"/>
              <w:rPr>
                <w:sz w:val="1"/>
                <w:szCs w:val="1"/>
                <w:color w:val="auto"/>
              </w:rPr>
            </w:pPr>
          </w:p>
        </w:tc>
      </w:tr>
      <w:tr>
        <w:trPr>
          <w:trHeight w:val="324"/>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22, 2016</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6.2565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Brazilian Real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3.9503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40" w:hanging="328"/>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Combination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4, 2015, we entered into an Asset Purchase Agreement (the "APA") to acquire substantially all of the net assets of Ecolink Intelligent Technology, Inc. ("Ecolink"), a leading developer of smart home technology that designs, develops and manufactures a wide range of intelligent wireless security and home automation products. This transaction closed on August 31, 2015. The purchase price of $24.1 million was comprised of $12.9 million in cash, and $11.2 million of contingent consideration. Additionally, we incurred $0.2 million in acquisition costs, consisting primarily of legal and accounting expenses, which were recorded within selling, general and administrative expenses for the year ended December 31, 2015. The acquisition of these assets will allow us to extend our product offerings to include home security and automation products previously marketed by Ecolink and to sell these products to our existing customers.</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net assets acquired from Ecolink was a 50% ownership interest in Encore Controls LLC ("Encore"), a developer of smart home technology that designs and sells intelligent wireless fire safety products for use in home security systems.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has determined that we are the primary beneficiary of Encore due to our ability to direct the activities that most significantly impact the economic performance of Encore, and thus we have consolidated the financial statements of Encore commencing on the acquisition date. The aggregate fair value of Encore’s net assets on the acquisition date was $0.7 million, of which $0.4 million was attributable to the noncontrolling interest. The fair value attributable to the noncontrolling interest was based on the noncontrolling interest's ownership percentage in the fair values of the assets and liabilities of Encore. The carrying amount of Encore's assets and liabilities consolidated at March 31, 2016 did not materially change from the opening balances at the acquisition date. The operations of Encore are financed through cash flows from operations, and we do not intend to provide support to Encore beyond our respective ownership obligation. Furthermore, the creditors of Encore do not have any recourse to our general credit.</w:t>
      </w:r>
    </w:p>
    <w:p>
      <w:pPr>
        <w:spacing w:after="0" w:line="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consolidated income statement for the three months ended March 31, 2016 includes net sales of $1.0 million and a net loss of $0.5 million attributable to Ecolink.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make additional earnout payments upon the achievement of certain operating income levels attributable to Ecolink over each of the next 5 years. The amount of contingent consideration has no upper limit and is calculated at the end of each calendar year based upon certain percentages of operating income target levels as defined in the APA. Ecolink's operating income will be calculated using certain revenues, costs and expenses directly attributable to Ecolink as specified in the APA. At the acquisition date, the value of earnout contingent consideration was estimated using a valuation methodology based on projections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future operating income calculated in accordance with the APA. Such projections were then discounted using an average discount rate of 15.5%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December 31, 2015 the fair value of the earnout contingent consideration was $11.8 million. During the three months ended March 31, 2016, the fair value of the earnout contingent consideration decreased to $11.7 million, primarily to reflect adjustments to the timing of earnout payments and the related accretion driven by the time value of money. This adjustment was recorded within selling, general and administrative expenses for the three months ended March 31, 2016.</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portion of the contingent consideration liability is included within other accrued expenses, and the long-term portion of the contingent consideration liability is presented as long-term contingent consideration.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fair value of net assets acquired is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Lives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0" w:type="dxa"/>
            <w:vAlign w:val="bottom"/>
            <w:tcBorders>
              <w:bottom w:val="single" w:sz="8" w:color="CCEEFF"/>
            </w:tcBorders>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87"/>
              </w:rPr>
              <w:t>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Non-interest bearing liabilities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7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0" w:type="dxa"/>
            <w:vAlign w:val="bottom"/>
            <w:tcBorders>
              <w:bottom w:val="single" w:sz="8" w:color="CCEEFF"/>
            </w:tcBorders>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89"/>
              </w:rPr>
              <w:t>4-14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5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24,149</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57"/>
        </w:trPr>
        <w:tc>
          <w:tcPr>
            <w:tcW w:w="8120" w:type="dxa"/>
            <w:vAlign w:val="bottom"/>
          </w:tcPr>
          <w:p>
            <w:pPr>
              <w:ind w:left="380"/>
              <w:spacing w:after="0"/>
              <w:rPr>
                <w:sz w:val="20"/>
                <w:szCs w:val="20"/>
                <w:color w:val="auto"/>
              </w:rPr>
            </w:pPr>
            <w:r>
              <w:rPr>
                <w:rFonts w:ascii="Arial" w:cs="Arial" w:eastAsia="Arial" w:hAnsi="Arial"/>
                <w:sz w:val="18"/>
                <w:szCs w:val="18"/>
                <w:color w:val="auto"/>
              </w:rPr>
              <w:t>Cash paid</w:t>
            </w:r>
          </w:p>
        </w:tc>
        <w:tc>
          <w:tcPr>
            <w:tcW w:w="170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12,949</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was based primarily on significant inputs not observable in an active market and thus represent Level 3 fair value measurements as defined under U.S. GAAP.</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trade name intangible asset was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Ecolink’s trade name.</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developed technology was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Ecolink's customer relationships intangible asset was determined utilizing the with and without method. Under the with and without method, the fair value of the intangible asset is estimated based on the difference in projected earnings utilizing the existing Ecolink customer base versus projected earnings based on starting with no customers and reacquiring the customer base. Revenue and earnings projections were significant inputs into estimating the value of Ecolink’s customer relationships.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developed technology and customer relationships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Ecolink as if this transaction had occurred on January 1, 2014. This unaudited pro forma financial information is not intended to represent or be indicative of the consolidated results of operations that would have been achieved had the acquisition actually been completed as of January 1, 2014, and should not be taken as a projection of the future consolidated results of our operations.</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150,658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134,211</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5,032</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Universal Electronics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0.31</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0.31</w:t>
            </w:r>
          </w:p>
        </w:tc>
      </w:tr>
      <w:tr>
        <w:trPr>
          <w:trHeight w:val="27"/>
        </w:trPr>
        <w:tc>
          <w:tcPr>
            <w:tcW w:w="8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determining pro forma net income attributable to Universal Electronics Inc., adjustments were made to each period presented in the table above. The pro forma net income and net income attributable to Universal Electronics Inc. assumes that amortization of acquired intangible assets and of fair value adjustments related to inventories began at January 1, 2014 rather than on September 1, 2015. The result is a net increase in amortization expense of $0.5 million for the three months ended March 31, 2015 and a net decrease in amortization expense of $0.1 million for the three months ended March 31, 2016. Additionally, acquisition costs totaling $0.2 million are excluded from pro forma net income and pro forma net income attributable to Universal Electronics Inc. All adjustments have been made net of their related tax effects.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and manufacture a broad line of pre-programmed universal remote control products, AV accessories, software and intelligent wireless automation components dedicated to redefining the home entertainment and automation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code database that covers over 941,000 individual device functions and approximately 7,600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developed a comprehensive patent portfolio of 373 pending and issued patents related to remote controls and home automation.</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operate as one business segment. We have twenty-two international subsidiaries located in Argentina, Brazil, British Virgin Islands, Cayman Islands, France, Germany, Hong Kong (3), India, Italy, Japan, Mexico, the Netherlands, People's Republic of China (5),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2016:</w:t>
      </w:r>
    </w:p>
    <w:p>
      <w:pPr>
        <w:spacing w:after="0" w:line="63"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increased 13.5% to $150.7 million for the three months ended March 31, 2016 from $132.7 million for the three months ended March 31, 2015.</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gross margin percentage decreased from 28.2% for the three months ended March 31, 2015 to 25.0% for the three months ended March 31, 2016.</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expenses, as a percent of net sales, decreased from 23.6% for the three months ended March 31, 2015 to 23.0% for the three months ended March 31, 2016.</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income decreased from $6.1 million for the three months ended March 31, 2015 to $3.0 million for the three months ended March 31, 2016, and our operating margin percentage decreased from 4.6% for the three months ended March 31, 2015 to 2.0% for the three months ended March 31, 2016.</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effective tax rate increased to 21.5% for the three months ended March 31, 2016, compared to 19.5% for the three months ended March 31,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2016 include the following:</w:t>
      </w:r>
    </w:p>
    <w:p>
      <w:pPr>
        <w:spacing w:after="0" w:line="6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penetrate the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The critical accounting policy below supplements the items that we disclosed as our critical accounting policies and estimates in Item 7, "Management's Discussion and Analysis of Financial Condition and Results of Operations" contained in our Annual Report on Form 10-K for our fiscal year ended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To the extent that our projections change in the future as to the number of warrants that will vest, a cumulative catch-up adjustment will be recorded in the period in which our estimates change.</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performance-based common stock warrants is determined utilizing the Black-Scholes option pricing model. The assumptions utilized in the Black-Scholes model include the risk-free interest rate, expected volatility, and expected life in years.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gridSpan w:val="2"/>
          </w:tcPr>
          <w:p>
            <w:pPr>
              <w:ind w:left="8760"/>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71.8</w:t>
            </w: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28.2</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versus Three Months Ended March 31, 2015</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March 31, 2016 were $150.7 million, an increase of 13.5% compared to $132.7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2015.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2015</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8.4</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93.4% of net sales for the three months ended March 31, 2016 compared to 91.6% for the three months ended March 31, 2015. Net sales in our Business lines for the three months ended March 31, 2016 increased by 15.8% to $140.7 million from $121.5 million driven primarily by strong demand and increased market share with North American subscription broadcasters as more customers transition from lower end platforms to higher end platforms. Partially offsetting this increase was a decrease in net sales to consumer electronics companies in Asia.</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retail and private label) were 6.6% of net sales for the three months ended March 31, 2016 compared to 8.4% for the three months ended March 31, 2015. Net sales in our Consumer lines for the three months ended March 31, 2016 decreased by 10.7% to $10.0 million from $11.2 million in the three months ended March 31, 2015. This decrease was mainly due to decreased sales in the Latin American market.</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March 31, 2016 was $37.6 million compared to $37.4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Gross profit as a percent of sales decreased to 25.0% for the three months ended March 31, 2016 compared to 28.2% for the three months ended March 31, 2015. The gross margin percentage was unfavorably impacted by a decrease in royalty revenue associated with the TV and mobile device markets and an increase in sales to certain large customers that yield a lower gross margin rate than our company average. The impact of these unfavorable items was partially offset by the weakening of the Chinese Yuan Renminbi relative to the U.S. Dollar.</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17.0% to $5.2 million for the three months ended March 31, 2016 from $4.4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2015 2015 as we continue to develop new product offerings in existing categories as well as new categories such as the home security channel.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9.5% to $29.4 million for the three months ended March 31,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$26.9 million for the three months ended March 31, 2015. The increase was primarily attributable to severance costs incurred resulting from the transitioning of certain manufacturing activities from our higher cost factory located in southern China to our lower cost factories located in other regions within China. We expect this transition to continue over the next 12-18 months. In addition, payroll costs increased as a result of annual merit increases and additional headcount to support product development efforts. These increases were partially offset by the weakening of the Chinese Yuan Renminbi, Brazilian Real and Euro versus the U.S. dollar.</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$267 thousand for the three months ended March 31, 2016 compared to net interest income of $110</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three months ended March 31, 2015 as a result of borrowings on our line of credit over the last 12 months.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$0.7 million for the three months ended March 31, 2016 compared to net other income of $0.2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2015. This change was driven primarily by foreign currency gains associated with fluctuations in the Chinese Yuan Renminbi exchange rate versus the U.S. dollar, partially offset by foreign currency losses in the current year period associated with fluctuations in the foreign currency exchange rate related to the Euro versus the U.S. dollar.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$0.8 million for the three months ended March 31, 2016 compared to $1.3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2015. Our effective tax rate was 21.5% for the three months ended March 31, 2016 compared to 19.5% for the three months ended March 31, 2015. Our effective tax rate was lower in the prior year primarily due to the recording of a $0.3 million tax refund in China during the three months ended March 31, 2015 related to certain deductible research and development expenses incurred in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Three Months Ended March</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jc w:val="right"/>
              <w:ind w:right="574"/>
              <w:spacing w:after="0"/>
              <w:rPr>
                <w:sz w:val="20"/>
                <w:szCs w:val="20"/>
                <w:color w:val="auto"/>
              </w:rPr>
            </w:pPr>
            <w:r>
              <w:rPr>
                <w:rFonts w:ascii="Arial" w:cs="Arial" w:eastAsia="Arial" w:hAnsi="Arial"/>
                <w:sz w:val="14"/>
                <w:szCs w:val="14"/>
                <w:b w:val="1"/>
                <w:bCs w:val="1"/>
                <w:color w:val="auto"/>
              </w:rPr>
              <w:t>31, 2016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31, 2015</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504"/>
        </w:trPr>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2016</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December 31, 2015</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52,966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104,487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100,200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was $3.1 million during the three months ended March 31, 2016 compared to $5.6 million of cash used by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during the three months ended March 31, 2015, primarily due to the net impact of changes in working capital needs associated with accounts receivable, inventories and accounts payable. Cash inflows relating to accounts receivable increased in the quarter ended March 31, 2016 compared to the prior year period primarily due to a larger quarter-over-quarter decrease in net sales in the current year period as well as collection timing. For the three months ended March 31, 2016, we experienced cash inflows resulting from a decrease in inventory levels. We deliberately increased our inventory levels in the quarter ended December 31, 2015 because of the timing of Chinese New Year, which each year results in our factories being shut down for a temporary period of time. An additional reason for the increase in inventories in the fourth quarter of 2015 was to mitigate the impact of transitioning certain manufacturing activities from our higher cost factory in southern China to two of our lower cost Chinese factories. Increased cash outflows relating to accounts payable were largely attributable to changes in inventory levels.</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during the three months ended March 31, 2016 was $8.0 million compared to $7.9 million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2015 with both periods consisting of investments in property, plant and equipment as well as internally developed patents. We have increased our investment in machinery and equipment over the past two years relating to manufacturing automation in an effort to mitigate the rising cost of labor in China. Based on our current projections, we anticipate that property, plant and equipment purchases in 2016 will total between $22 and $26 million as we continue to invest in manufacturing automation as well as implement a new ERP system in Asia and North America.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$8.9 million during the three months ended March 31, 2016 compared to net cash used for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$2.4 million during the three months ended March 31, 2015. The increase in cash provided for financing activities was driven primarily by net borrowings on our line of credit of $8.0 million in the current year period, a decrease of $2.3 million in treasury stock purchases and an increase of $1.0 million in proceeds from stock options exercised during the current year period.</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March 31, 2016, we repurchased 32,934 shares of our common stock at a cost of $1.7 million compared to our repurchase of 69,460 shares at a cost of $4.0 million during the three months ended March 31, 2015. We hold these shares as treasury stock and they are available for reissue. Presently, we have no plans to distribute these shares, although we may change these plans if necessary to fulfill our on-going business objectives.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March 31, 2016, we had 375,000 shares available for repurchase on the open market under the Board's authorizations.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11,718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5,549</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11,630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98" w:lineRule="exact"/>
        <w:rPr>
          <w:rFonts w:ascii="Arial" w:cs="Arial" w:eastAsia="Arial" w:hAnsi="Arial"/>
          <w:sz w:val="25"/>
          <w:szCs w:val="25"/>
          <w:color w:val="auto"/>
          <w:vertAlign w:val="superscript"/>
        </w:rPr>
      </w:pPr>
    </w:p>
    <w:p>
      <w:pPr>
        <w:ind w:left="660" w:hanging="328"/>
        <w:spacing w:after="0" w:line="219"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Contingent consideration consists of contingent payments related to our purchase of the net assets of Ecolink Intelligent Technology,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 of the net assets of Ecolink Intelligent Technology, Inc.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and when inventory levels increase in anticipation of factory closures in observance of Chinese New Year.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bottom w:val="single" w:sz="8" w:color="CCEEFF"/>
            </w:tcBorders>
            <w:shd w:val="clear" w:color="auto" w:fill="CCEEFF"/>
          </w:tcPr>
          <w:p>
            <w:pPr>
              <w:jc w:val="right"/>
              <w:ind w:right="14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56,077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52,966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1660" w:type="dxa"/>
            <w:vAlign w:val="bottom"/>
          </w:tcPr>
          <w:p>
            <w:pPr>
              <w:jc w:val="right"/>
              <w:ind w:right="14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27,000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34,987</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31, 2016, we had $10.2 million, $29.6 million, $5.3 million, $8.3 million and $2.7 million of cash and cash equivalents in the United States, the People's Republic of China ("PRC"), Asia (excluding the PRC), Europe, and South America, respectively. On December 31, 2015, we had $8.5 million, $28.7 million, $5.3 million, $8.1 million, and $2.4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On September 3, 2015, we entered into the Second Amendment to the Amended Credit Agreement in which the Credit Line was increased to $65.0 million. On November 10, 2015, we entered into the Third Amendment to the Amended Credit Agreement in which the Credit Line was increased to $85.0 million. Amounts available for borrowing under the Credit Line are reduced by the balance of any outstanding letters of credit, of which there were $13 thousand at March 31, 2016.</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 interest rate in effect at March 31, 2016 was 1.69%. There are no commitment fees or unused line fees under the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March 31, 2016, we were in compliance with the covenants and conditions of the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we had an outstanding balance of $58.0 million on our Credit Line.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2015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customers; the growth of, acceptance of and the demand for our products and technologies in various markets and geographical regions, including cable, satellite, consumer electronics, retail, and digital media and interactive technology; our successful integration of the Ecolink assets and business lines;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Accordingly, changes in interest rates would impact our results of operations in future periods. A 100 basis point increase in interest rates would have an approximately $0.4 million annual impact on net income based on our outstanding line of credit balance at March 31, 2016.</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March 31, 2016 we had wholly-owned subsidiaries in Argentina, Brazil, Cayman Islands, France, Germany, Hong Kong, India, Italy, Japan,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March 31, 2016, we believe that movements in foreign currency rates may have a material effect on our financial position and results of operations. We estimate that if the exchange rates for the Chinese Yuan Renminbi, Euro, British Pound, Argentinian Peso, Mexican Peso, Brazilian Real and Indian Rupee relative to the U.S. Dollar fluctuate 10% from March 31, 2016, net income in the second quarter of 2016 would fluctuate by approximately $9.9 million.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2015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March 31, 2016, we repurchased 32,934 shares of our issued and outstanding common stock for $1.7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March 31, 2016, we had 375,000 shares available for repurchase on the open market under the Board's authorizations.</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2016,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2016 - January 31,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February 1, 2016 - February 29,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32,184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25,000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2016 - March 31,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61.73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32,934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25,000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27" w:lineRule="auto"/>
        <w:tabs>
          <w:tab w:leader="none" w:pos="66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Of the repurchases in January, February and March, 146, 7,184 and 604 shares, respectively, represent common shares of the Company that were owned and tendered by employees to satisfy tax withholding obligations in connection with the vesting of restricted shares.</w:t>
      </w:r>
    </w:p>
    <w:p>
      <w:pPr>
        <w:spacing w:after="0" w:line="94" w:lineRule="exact"/>
        <w:rPr>
          <w:rFonts w:ascii="Arial" w:cs="Arial" w:eastAsia="Arial" w:hAnsi="Arial"/>
          <w:sz w:val="24"/>
          <w:szCs w:val="24"/>
          <w:color w:val="auto"/>
          <w:vertAlign w:val="superscript"/>
        </w:rPr>
      </w:pPr>
    </w:p>
    <w:p>
      <w:pPr>
        <w:ind w:left="660" w:right="2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Company may purchase shares from time to time in open market purchases or privately negotiated transactions. The Company may make all or part of the purchases pursuant to accelerated share repurchases or Rule 10b5-1 plans.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918"/>
        </w:trPr>
        <w:tc>
          <w:tcPr>
            <w:tcW w:w="10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180"/>
          </w:cols>
          <w:pgMar w:left="240" w:top="118" w:right="4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color w:val="auto"/>
                <w:w w:val="92"/>
              </w:rPr>
              <w:t>Dated:May 9, 2016</w:t>
            </w:r>
          </w:p>
        </w:tc>
        <w:tc>
          <w:tcPr>
            <w:tcW w:w="7720" w:type="dxa"/>
            <w:vAlign w:val="bottom"/>
            <w:gridSpan w:val="2"/>
          </w:tcPr>
          <w:p>
            <w:pPr>
              <w:ind w:left="196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60" w:type="dxa"/>
            <w:vAlign w:val="bottom"/>
          </w:tcPr>
          <w:p>
            <w:pPr>
              <w:spacing w:after="0"/>
              <w:rPr>
                <w:sz w:val="24"/>
                <w:szCs w:val="24"/>
                <w:color w:val="auto"/>
              </w:rPr>
            </w:pP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6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6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660" w:type="dxa"/>
            <w:vAlign w:val="bottom"/>
          </w:tcPr>
          <w:p>
            <w:pPr>
              <w:spacing w:after="0"/>
              <w:rPr>
                <w:sz w:val="24"/>
                <w:szCs w:val="24"/>
                <w:color w:val="auto"/>
              </w:rPr>
            </w:pPr>
          </w:p>
        </w:tc>
        <w:tc>
          <w:tcPr>
            <w:tcW w:w="2580" w:type="dxa"/>
            <w:vAlign w:val="bottom"/>
          </w:tcPr>
          <w:p>
            <w:pPr>
              <w:ind w:left="1920"/>
              <w:spacing w:after="0"/>
              <w:rPr>
                <w:sz w:val="20"/>
                <w:szCs w:val="20"/>
                <w:color w:val="auto"/>
              </w:rPr>
            </w:pPr>
            <w:r>
              <w:rPr>
                <w:rFonts w:ascii="Arial" w:cs="Arial" w:eastAsia="Arial" w:hAnsi="Arial"/>
                <w:sz w:val="18"/>
                <w:szCs w:val="18"/>
                <w:color w:val="auto"/>
              </w:rPr>
              <w:t>35</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Bryan M. Hackworth, Chief Financial Officer (principal financial officer and principal accounting</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5"/>
              </w:rPr>
              <w:t>Section 1350 Certifications of Paul D. Arling, Chief Executive Officer (principal executive officer) of Universal Electronics Inc., and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4"/>
              </w:rPr>
              <w:t>Bryan M. Hackworth, Chief Financial Officer (principal financial officer and principal accounting officer) of Universal Electronics Inc.</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pursuant to 18 U.S.C. Section 1350</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18"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3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2019-12-29T11:56:56Z</dcterms:created>
  <dcterms:modified xsi:type="dcterms:W3CDTF">2019-12-29T11:56:56Z</dcterms:modified>
</cp:coreProperties>
</file>