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5" w:lineRule="exact"/>
        <w:rPr>
          <w:sz w:val="24"/>
          <w:szCs w:val="24"/>
          <w:color w:val="auto"/>
        </w:rPr>
      </w:pPr>
    </w:p>
    <w:p>
      <w:pPr>
        <w:ind w:left="680" w:right="10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53" w:lineRule="exact"/>
        <w:rPr>
          <w:sz w:val="24"/>
          <w:szCs w:val="24"/>
          <w:color w:val="auto"/>
        </w:rPr>
      </w:pPr>
    </w:p>
    <w:p>
      <w:pPr>
        <w:ind w:left="3680"/>
        <w:spacing w:after="0"/>
        <w:rPr>
          <w:sz w:val="20"/>
          <w:szCs w:val="20"/>
          <w:color w:val="auto"/>
        </w:rPr>
      </w:pPr>
      <w:r>
        <w:rPr>
          <w:rFonts w:ascii="Arial" w:cs="Arial" w:eastAsia="Arial" w:hAnsi="Arial"/>
          <w:sz w:val="22"/>
          <w:szCs w:val="22"/>
          <w:b w:val="1"/>
          <w:bCs w:val="1"/>
          <w:color w:val="auto"/>
        </w:rPr>
        <w:t>For the quarterly period ended March 31, 2022</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12" w:lineRule="exact"/>
        <w:rPr>
          <w:sz w:val="24"/>
          <w:szCs w:val="24"/>
          <w:color w:val="auto"/>
        </w:rPr>
      </w:pPr>
    </w:p>
    <w:p>
      <w:pPr>
        <w:ind w:left="680" w:right="80" w:hanging="654"/>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5" w:lineRule="exact"/>
        <w:rPr>
          <w:sz w:val="24"/>
          <w:szCs w:val="24"/>
          <w:color w:val="auto"/>
        </w:rPr>
      </w:pPr>
    </w:p>
    <w:p>
      <w:pPr>
        <w:ind w:left="3720"/>
        <w:spacing w:after="0"/>
        <w:tabs>
          <w:tab w:leader="none" w:pos="714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6" w:lineRule="exact"/>
        <w:rPr>
          <w:sz w:val="24"/>
          <w:szCs w:val="24"/>
          <w:color w:val="auto"/>
        </w:rPr>
      </w:pPr>
    </w:p>
    <w:tbl>
      <w:tblPr>
        <w:tblLayout w:type="fixed"/>
        <w:tblInd w:w="2300" w:type="dxa"/>
        <w:tblCellMar>
          <w:top w:w="0" w:type="dxa"/>
          <w:left w:w="0" w:type="dxa"/>
          <w:bottom w:w="0" w:type="dxa"/>
          <w:right w:w="0" w:type="dxa"/>
        </w:tblCellMar>
      </w:tblPr>
      <w:tr>
        <w:trPr>
          <w:trHeight w:val="256"/>
        </w:trPr>
        <w:tc>
          <w:tcPr>
            <w:tcW w:w="3600" w:type="dxa"/>
            <w:vAlign w:val="bottom"/>
          </w:tcPr>
          <w:p>
            <w:pPr>
              <w:jc w:val="center"/>
              <w:ind w:right="1067"/>
              <w:spacing w:after="0"/>
              <w:rPr>
                <w:sz w:val="20"/>
                <w:szCs w:val="20"/>
                <w:color w:val="auto"/>
              </w:rPr>
            </w:pPr>
            <w:r>
              <w:rPr>
                <w:rFonts w:ascii="Arial" w:cs="Arial" w:eastAsia="Arial" w:hAnsi="Arial"/>
                <w:sz w:val="20"/>
                <w:szCs w:val="20"/>
                <w:b w:val="1"/>
                <w:bCs w:val="1"/>
                <w:color w:val="auto"/>
                <w:w w:val="91"/>
              </w:rPr>
              <w:t>Delaware</w:t>
            </w:r>
          </w:p>
        </w:tc>
        <w:tc>
          <w:tcPr>
            <w:tcW w:w="2600" w:type="dxa"/>
            <w:vAlign w:val="bottom"/>
          </w:tcPr>
          <w:p>
            <w:pPr>
              <w:jc w:val="center"/>
              <w:ind w:left="1087"/>
              <w:spacing w:after="0"/>
              <w:rPr>
                <w:sz w:val="20"/>
                <w:szCs w:val="20"/>
                <w:color w:val="auto"/>
              </w:rPr>
            </w:pPr>
            <w:r>
              <w:rPr>
                <w:rFonts w:ascii="Arial" w:cs="Arial" w:eastAsia="Arial" w:hAnsi="Arial"/>
                <w:sz w:val="20"/>
                <w:szCs w:val="20"/>
                <w:b w:val="1"/>
                <w:bCs w:val="1"/>
                <w:color w:val="auto"/>
                <w:w w:val="88"/>
              </w:rPr>
              <w:t>33-0204817</w:t>
            </w:r>
          </w:p>
        </w:tc>
      </w:tr>
      <w:tr>
        <w:trPr>
          <w:trHeight w:val="185"/>
        </w:trPr>
        <w:tc>
          <w:tcPr>
            <w:tcW w:w="3600" w:type="dxa"/>
            <w:vAlign w:val="bottom"/>
          </w:tcPr>
          <w:p>
            <w:pPr>
              <w:jc w:val="center"/>
              <w:ind w:right="1087"/>
              <w:spacing w:after="0" w:line="185" w:lineRule="exact"/>
              <w:rPr>
                <w:sz w:val="20"/>
                <w:szCs w:val="20"/>
                <w:color w:val="auto"/>
              </w:rPr>
            </w:pPr>
            <w:r>
              <w:rPr>
                <w:rFonts w:ascii="Arial" w:cs="Arial" w:eastAsia="Arial" w:hAnsi="Arial"/>
                <w:sz w:val="18"/>
                <w:szCs w:val="18"/>
                <w:b w:val="1"/>
                <w:bCs w:val="1"/>
                <w:color w:val="auto"/>
                <w:w w:val="91"/>
              </w:rPr>
              <w:t>(State or Other Jurisdiction of</w:t>
            </w:r>
          </w:p>
        </w:tc>
        <w:tc>
          <w:tcPr>
            <w:tcW w:w="2600" w:type="dxa"/>
            <w:vAlign w:val="bottom"/>
          </w:tcPr>
          <w:p>
            <w:pPr>
              <w:jc w:val="center"/>
              <w:ind w:left="1087"/>
              <w:spacing w:after="0" w:line="18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600" w:type="dxa"/>
            <w:vAlign w:val="bottom"/>
          </w:tcPr>
          <w:p>
            <w:pPr>
              <w:jc w:val="center"/>
              <w:ind w:right="1087"/>
              <w:spacing w:after="0"/>
              <w:rPr>
                <w:sz w:val="20"/>
                <w:szCs w:val="20"/>
                <w:color w:val="auto"/>
              </w:rPr>
            </w:pPr>
            <w:r>
              <w:rPr>
                <w:rFonts w:ascii="Arial" w:cs="Arial" w:eastAsia="Arial" w:hAnsi="Arial"/>
                <w:sz w:val="18"/>
                <w:szCs w:val="18"/>
                <w:b w:val="1"/>
                <w:bCs w:val="1"/>
                <w:color w:val="auto"/>
                <w:w w:val="93"/>
              </w:rPr>
              <w:t>Incorporation or Organization)</w:t>
            </w:r>
          </w:p>
        </w:tc>
        <w:tc>
          <w:tcPr>
            <w:tcW w:w="2600" w:type="dxa"/>
            <w:vAlign w:val="bottom"/>
          </w:tcPr>
          <w:p>
            <w:pPr>
              <w:jc w:val="center"/>
              <w:ind w:left="1087"/>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15147 N. Scottsdale Road, Suite H300, Scottsdale, Arizona 85254-2494</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(480) 530-3000</w:t>
      </w:r>
    </w:p>
    <w:p>
      <w:pPr>
        <w:spacing w:after="0" w:line="4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_____________________</w:t>
      </w:r>
    </w:p>
    <w:p>
      <w:pPr>
        <w:spacing w:after="0" w:line="13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21"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1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8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left="20" w:right="160"/>
        <w:spacing w:after="0" w:line="20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12,630,136 shares of Common Stock, par value $0.01 per share, of the registrant were outstanding on May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6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rPr>
              <w:t>UNIVERSAL ELECTRONICS INC.</w:t>
            </w: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2"/>
          </w:tcPr>
          <w:p>
            <w:pPr>
              <w:jc w:val="center"/>
              <w:ind w:right="234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48"/>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580" w:type="dxa"/>
            <w:vAlign w:val="bottom"/>
            <w:gridSpan w:val="5"/>
          </w:tcPr>
          <w:p>
            <w:pPr>
              <w:jc w:val="right"/>
              <w:ind w:right="440"/>
              <w:spacing w:after="0" w:line="149" w:lineRule="exact"/>
              <w:rPr>
                <w:sz w:val="20"/>
                <w:szCs w:val="20"/>
                <w:color w:val="auto"/>
              </w:rPr>
            </w:pPr>
            <w:r>
              <w:rPr>
                <w:rFonts w:ascii="Arial" w:cs="Arial" w:eastAsia="Arial" w:hAnsi="Arial"/>
                <w:sz w:val="14"/>
                <w:szCs w:val="14"/>
                <w:b w:val="1"/>
                <w:bCs w:val="1"/>
                <w:color w:val="auto"/>
              </w:rPr>
              <w:t>Number</w:t>
            </w:r>
          </w:p>
        </w:tc>
      </w:tr>
      <w:tr>
        <w:trPr>
          <w:trHeight w:val="209"/>
        </w:trPr>
        <w:tc>
          <w:tcPr>
            <w:tcW w:w="20" w:type="dxa"/>
            <w:vAlign w:val="bottom"/>
          </w:tcPr>
          <w:p>
            <w:pPr>
              <w:spacing w:after="0"/>
              <w:rPr>
                <w:sz w:val="18"/>
                <w:szCs w:val="18"/>
                <w:color w:val="auto"/>
              </w:rPr>
            </w:pPr>
          </w:p>
        </w:tc>
        <w:tc>
          <w:tcPr>
            <w:tcW w:w="3020" w:type="dxa"/>
            <w:vAlign w:val="bottom"/>
            <w:gridSpan w:val="9"/>
          </w:tcPr>
          <w:p>
            <w:pPr>
              <w:spacing w:after="0"/>
              <w:rPr>
                <w:rFonts w:ascii="Arial" w:cs="Arial" w:eastAsia="Arial" w:hAnsi="Arial"/>
                <w:sz w:val="18"/>
                <w:szCs w:val="18"/>
                <w:b w:val="1"/>
                <w:bCs w:val="1"/>
                <w:color w:val="0000FF"/>
                <w:w w:val="99"/>
              </w:rPr>
            </w:pPr>
            <w:hyperlink w:anchor="page2">
              <w:r>
                <w:rPr>
                  <w:rFonts w:ascii="Arial" w:cs="Arial" w:eastAsia="Arial" w:hAnsi="Arial"/>
                  <w:sz w:val="18"/>
                  <w:szCs w:val="18"/>
                  <w:b w:val="1"/>
                  <w:bCs w:val="1"/>
                  <w:color w:val="0000FF"/>
                  <w:w w:val="99"/>
                </w:rPr>
                <w:t>PART I. FINANCIAL INFORMATION</w:t>
              </w:r>
            </w:hyperlink>
          </w:p>
        </w:tc>
        <w:tc>
          <w:tcPr>
            <w:tcW w:w="5620" w:type="dxa"/>
            <w:vAlign w:val="bottom"/>
            <w:gridSpan w:val="8"/>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Borders>
              <w:top w:val="single" w:sz="8" w:color="auto"/>
            </w:tcBorders>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12"/>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 Consolidated Financial Statements (Unaudited)</w:t>
              </w:r>
            </w:hyperlink>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1680" w:type="dxa"/>
            <w:vAlign w:val="bottom"/>
            <w:gridSpan w:val="6"/>
          </w:tcPr>
          <w:p>
            <w:pPr>
              <w:spacing w:after="0"/>
              <w:rPr>
                <w:sz w:val="18"/>
                <w:szCs w:val="18"/>
                <w:color w:val="auto"/>
              </w:rPr>
            </w:pPr>
          </w:p>
        </w:tc>
        <w:tc>
          <w:tcPr>
            <w:tcW w:w="4660" w:type="dxa"/>
            <w:vAlign w:val="bottom"/>
            <w:gridSpan w:val="5"/>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4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w:t>
              </w:r>
            </w:hyperlink>
          </w:p>
        </w:tc>
        <w:tc>
          <w:tcPr>
            <w:tcW w:w="214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Comprehensive Income (Loss) Statements</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Stockholders' Equity</w:t>
              </w:r>
            </w:hyperlink>
          </w:p>
        </w:tc>
        <w:tc>
          <w:tcPr>
            <w:tcW w:w="4380" w:type="dxa"/>
            <w:vAlign w:val="bottom"/>
            <w:gridSpan w:val="4"/>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gridSpan w:val="8"/>
          </w:tcPr>
          <w:p>
            <w:pPr>
              <w:spacing w:after="0"/>
              <w:rPr>
                <w:rFonts w:ascii="Arial" w:cs="Arial" w:eastAsia="Arial" w:hAnsi="Arial"/>
                <w:sz w:val="18"/>
                <w:szCs w:val="18"/>
                <w:color w:val="0000FF"/>
                <w:w w:val="86"/>
              </w:rPr>
            </w:pPr>
            <w:hyperlink w:anchor="page6">
              <w:r>
                <w:rPr>
                  <w:rFonts w:ascii="Arial" w:cs="Arial" w:eastAsia="Arial" w:hAnsi="Arial"/>
                  <w:sz w:val="18"/>
                  <w:szCs w:val="18"/>
                  <w:color w:val="0000FF"/>
                  <w:w w:val="86"/>
                </w:rPr>
                <w:t>Consolidated Statements of Cash Flows</w:t>
              </w:r>
            </w:hyperlink>
          </w:p>
        </w:tc>
        <w:tc>
          <w:tcPr>
            <w:tcW w:w="700" w:type="dxa"/>
            <w:vAlign w:val="bottom"/>
            <w:gridSpan w:val="2"/>
          </w:tcPr>
          <w:p>
            <w:pPr>
              <w:spacing w:after="0"/>
              <w:rPr>
                <w:sz w:val="18"/>
                <w:szCs w:val="18"/>
                <w:color w:val="auto"/>
              </w:rPr>
            </w:pPr>
          </w:p>
        </w:tc>
        <w:tc>
          <w:tcPr>
            <w:tcW w:w="4920" w:type="dxa"/>
            <w:vAlign w:val="bottom"/>
            <w:gridSpan w:val="6"/>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9"/>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5280" w:type="dxa"/>
            <w:vAlign w:val="bottom"/>
            <w:gridSpan w:val="7"/>
          </w:tcPr>
          <w:p>
            <w:pPr>
              <w:spacing w:after="0"/>
              <w:rPr>
                <w:sz w:val="18"/>
                <w:szCs w:val="18"/>
                <w:color w:val="auto"/>
              </w:rPr>
            </w:pPr>
          </w:p>
        </w:tc>
        <w:tc>
          <w:tcPr>
            <w:tcW w:w="214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23">
              <w:r>
                <w:rPr>
                  <w:rFonts w:ascii="Arial" w:cs="Arial" w:eastAsia="Arial" w:hAnsi="Arial"/>
                  <w:sz w:val="18"/>
                  <w:szCs w:val="18"/>
                  <w:color w:val="0000FF"/>
                  <w:w w:val="90"/>
                </w:rPr>
                <w:t>Item 2. Management's Discussion and Analysis of Financial Condition and Results of Operations</w:t>
              </w:r>
            </w:hyperlink>
          </w:p>
        </w:tc>
        <w:tc>
          <w:tcPr>
            <w:tcW w:w="1640" w:type="dxa"/>
            <w:vAlign w:val="bottom"/>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3">
              <w:r>
                <w:rPr>
                  <w:rFonts w:ascii="Arial" w:cs="Arial" w:eastAsia="Arial" w:hAnsi="Arial"/>
                  <w:sz w:val="18"/>
                  <w:szCs w:val="18"/>
                  <w:color w:val="0000FF"/>
                  <w:w w:val="79"/>
                </w:rPr>
                <w:t>24</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32">
              <w:r>
                <w:rPr>
                  <w:rFonts w:ascii="Arial" w:cs="Arial" w:eastAsia="Arial" w:hAnsi="Arial"/>
                  <w:sz w:val="18"/>
                  <w:szCs w:val="18"/>
                  <w:color w:val="0000FF"/>
                  <w:w w:val="92"/>
                </w:rPr>
                <w:t>Item 3. Quantitative and Qualitative Disclosures About Market Risk</w:t>
              </w:r>
            </w:hyperlink>
          </w:p>
        </w:tc>
        <w:tc>
          <w:tcPr>
            <w:tcW w:w="3720" w:type="dxa"/>
            <w:vAlign w:val="bottom"/>
            <w:gridSpan w:val="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4. Controls and Procedures</w:t>
              </w:r>
            </w:hyperlink>
          </w:p>
        </w:tc>
        <w:tc>
          <w:tcPr>
            <w:tcW w:w="214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c>
          <w:tcPr>
            <w:tcW w:w="4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rFonts w:ascii="Arial" w:cs="Arial" w:eastAsia="Arial" w:hAnsi="Arial"/>
                <w:sz w:val="18"/>
                <w:szCs w:val="18"/>
                <w:b w:val="1"/>
                <w:bCs w:val="1"/>
                <w:color w:val="0000FF"/>
              </w:rPr>
            </w:pPr>
            <w:hyperlink w:anchor="page33">
              <w:r>
                <w:rPr>
                  <w:rFonts w:ascii="Arial" w:cs="Arial" w:eastAsia="Arial" w:hAnsi="Arial"/>
                  <w:sz w:val="18"/>
                  <w:szCs w:val="18"/>
                  <w:b w:val="1"/>
                  <w:bCs w:val="1"/>
                  <w:color w:val="0000FF"/>
                </w:rPr>
                <w:t>PART II. OTHER INFORMATION</w:t>
              </w:r>
            </w:hyperlink>
          </w:p>
        </w:tc>
        <w:tc>
          <w:tcPr>
            <w:tcW w:w="5860" w:type="dxa"/>
            <w:vAlign w:val="bottom"/>
            <w:gridSpan w:val="9"/>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9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Item 1. Legal Proceedings</w:t>
              </w:r>
            </w:hyperlink>
          </w:p>
        </w:tc>
        <w:tc>
          <w:tcPr>
            <w:tcW w:w="6740" w:type="dxa"/>
            <w:vAlign w:val="bottom"/>
            <w:gridSpan w:val="12"/>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Item 1A. Risk Factors</w:t>
              </w:r>
            </w:hyperlink>
          </w:p>
        </w:tc>
        <w:tc>
          <w:tcPr>
            <w:tcW w:w="7040" w:type="dxa"/>
            <w:vAlign w:val="bottom"/>
            <w:gridSpan w:val="1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640" w:type="dxa"/>
            <w:vAlign w:val="bottom"/>
            <w:gridSpan w:val="17"/>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 Unregistered Sales of Equity Securities and Use of Proceeds</w:t>
              </w:r>
            </w:hyperlink>
          </w:p>
        </w:tc>
        <w:tc>
          <w:tcPr>
            <w:tcW w:w="214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c>
          <w:tcPr>
            <w:tcW w:w="4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0000FF"/>
            </w:tcBorders>
            <w:gridSpan w:val="1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6. Exhibits</w:t>
              </w:r>
            </w:hyperlink>
          </w:p>
        </w:tc>
        <w:tc>
          <w:tcPr>
            <w:tcW w:w="3740" w:type="dxa"/>
            <w:vAlign w:val="bottom"/>
            <w:gridSpan w:val="3"/>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35</w:t>
              </w:r>
            </w:hyperlink>
          </w:p>
        </w:tc>
        <w:tc>
          <w:tcPr>
            <w:tcW w:w="4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160" w:type="dxa"/>
            <w:vAlign w:val="bottom"/>
            <w:tcBorders>
              <w:top w:val="single" w:sz="8" w:color="0000FF"/>
            </w:tcBorders>
            <w:gridSpan w:val="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7480" w:type="dxa"/>
            <w:vAlign w:val="bottom"/>
            <w:gridSpan w:val="14"/>
          </w:tcPr>
          <w:p>
            <w:pPr>
              <w:spacing w:after="0"/>
              <w:rPr>
                <w:sz w:val="18"/>
                <w:szCs w:val="18"/>
                <w:color w:val="auto"/>
              </w:rPr>
            </w:pPr>
          </w:p>
        </w:tc>
        <w:tc>
          <w:tcPr>
            <w:tcW w:w="1960" w:type="dxa"/>
            <w:vAlign w:val="bottom"/>
            <w:gridSpan w:val="2"/>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36</w:t>
              </w:r>
            </w:hyperlink>
          </w:p>
        </w:tc>
        <w:tc>
          <w:tcPr>
            <w:tcW w:w="440" w:type="dxa"/>
            <w:vAlign w:val="bottom"/>
          </w:tcPr>
          <w:p>
            <w:pPr>
              <w:spacing w:after="0"/>
              <w:rPr>
                <w:sz w:val="18"/>
                <w:szCs w:val="18"/>
                <w:color w:val="auto"/>
              </w:rPr>
            </w:pPr>
          </w:p>
        </w:tc>
      </w:tr>
      <w:tr>
        <w:trPr>
          <w:trHeight w:val="1877"/>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6"/>
                <w:szCs w:val="16"/>
                <w:color w:val="auto"/>
              </w:rPr>
            </w:pPr>
          </w:p>
        </w:tc>
        <w:tc>
          <w:tcPr>
            <w:tcW w:w="1600" w:type="dxa"/>
            <w:vAlign w:val="bottom"/>
          </w:tcPr>
          <w:p>
            <w:pPr>
              <w:jc w:val="right"/>
              <w:ind w:right="239"/>
              <w:spacing w:after="0"/>
              <w:rPr>
                <w:sz w:val="20"/>
                <w:szCs w:val="20"/>
                <w:color w:val="auto"/>
              </w:rPr>
            </w:pPr>
            <w:r>
              <w:rPr>
                <w:rFonts w:ascii="Arial" w:cs="Arial" w:eastAsia="Arial" w:hAnsi="Arial"/>
                <w:sz w:val="14"/>
                <w:szCs w:val="14"/>
                <w:b w:val="1"/>
                <w:bCs w:val="1"/>
                <w:color w:val="auto"/>
                <w:w w:val="99"/>
              </w:rPr>
              <w:t>December 31, 2021</w:t>
            </w:r>
          </w:p>
        </w:tc>
        <w:tc>
          <w:tcPr>
            <w:tcW w:w="0" w:type="dxa"/>
            <w:vAlign w:val="bottom"/>
          </w:tcPr>
          <w:p>
            <w:pPr>
              <w:spacing w:after="0"/>
              <w:rPr>
                <w:sz w:val="1"/>
                <w:szCs w:val="1"/>
                <w:color w:val="auto"/>
              </w:rPr>
            </w:pPr>
          </w:p>
        </w:tc>
      </w:tr>
      <w:tr>
        <w:trPr>
          <w:trHeight w:val="202"/>
        </w:trPr>
        <w:tc>
          <w:tcPr>
            <w:tcW w:w="7480" w:type="dxa"/>
            <w:vAlign w:val="bottom"/>
            <w:tcBorders>
              <w:top w:val="single" w:sz="8" w:color="CCEEFF"/>
            </w:tcBorders>
            <w:shd w:val="clear" w:color="auto" w:fill="CCEEFF"/>
          </w:tcPr>
          <w:p>
            <w:pPr>
              <w:ind w:left="34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60,813</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Term deposit</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8,589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129,215</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Contract assets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7,521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5,012</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134,469</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7,738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7,289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receivable</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07"/>
        </w:trPr>
        <w:tc>
          <w:tcPr>
            <w:tcW w:w="7480" w:type="dxa"/>
            <w:vAlign w:val="bottom"/>
          </w:tcPr>
          <w:p>
            <w:pPr>
              <w:ind w:left="80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350,853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337,146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74,647</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49,152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48,463</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20,169</w:t>
            </w: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21,245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19,847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7,729</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2,347</w:t>
            </w:r>
          </w:p>
        </w:tc>
        <w:tc>
          <w:tcPr>
            <w:tcW w:w="0" w:type="dxa"/>
            <w:vAlign w:val="bottom"/>
          </w:tcPr>
          <w:p>
            <w:pPr>
              <w:spacing w:after="0"/>
              <w:rPr>
                <w:sz w:val="1"/>
                <w:szCs w:val="1"/>
                <w:color w:val="auto"/>
              </w:rPr>
            </w:pPr>
          </w:p>
        </w:tc>
      </w:tr>
      <w:tr>
        <w:trPr>
          <w:trHeight w:val="238"/>
        </w:trPr>
        <w:tc>
          <w:tcPr>
            <w:tcW w:w="74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525,124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510,348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0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4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82,550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92,707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Line of credit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56,000</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22,255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24,217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sales discounts, rebates and royalties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9,286</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Accrued income taxes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5,104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3,737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30,840</w:t>
            </w:r>
          </w:p>
        </w:tc>
        <w:tc>
          <w:tcPr>
            <w:tcW w:w="0" w:type="dxa"/>
            <w:vAlign w:val="bottom"/>
          </w:tcPr>
          <w:p>
            <w:pPr>
              <w:spacing w:after="0"/>
              <w:rPr>
                <w:sz w:val="1"/>
                <w:szCs w:val="1"/>
                <w:color w:val="auto"/>
              </w:rPr>
            </w:pPr>
          </w:p>
        </w:tc>
      </w:tr>
      <w:tr>
        <w:trPr>
          <w:trHeight w:val="206"/>
        </w:trPr>
        <w:tc>
          <w:tcPr>
            <w:tcW w:w="7480" w:type="dxa"/>
            <w:vAlign w:val="bottom"/>
          </w:tcPr>
          <w:p>
            <w:pPr>
              <w:ind w:left="80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235,612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216,787</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Operating lease obligations</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14,787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14,266</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2,394</w:t>
            </w:r>
          </w:p>
        </w:tc>
        <w:tc>
          <w:tcPr>
            <w:tcW w:w="0" w:type="dxa"/>
            <w:vAlign w:val="bottom"/>
          </w:tcPr>
          <w:p>
            <w:pPr>
              <w:spacing w:after="0"/>
              <w:rPr>
                <w:sz w:val="1"/>
                <w:szCs w:val="1"/>
                <w:color w:val="auto"/>
              </w:rPr>
            </w:pPr>
          </w:p>
        </w:tc>
      </w:tr>
      <w:tr>
        <w:trPr>
          <w:trHeight w:val="213"/>
        </w:trPr>
        <w:tc>
          <w:tcPr>
            <w:tcW w:w="7480" w:type="dxa"/>
            <w:vAlign w:val="bottom"/>
          </w:tcPr>
          <w:p>
            <w:pPr>
              <w:ind w:left="360"/>
              <w:spacing w:after="0"/>
              <w:rPr>
                <w:sz w:val="20"/>
                <w:szCs w:val="20"/>
                <w:color w:val="auto"/>
              </w:rPr>
            </w:pPr>
            <w:r>
              <w:rPr>
                <w:rFonts w:ascii="Arial" w:cs="Arial" w:eastAsia="Arial" w:hAnsi="Arial"/>
                <w:sz w:val="16"/>
                <w:szCs w:val="16"/>
                <w:color w:val="auto"/>
              </w:rPr>
              <w:t>Income tax payable</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6"/>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w:t>
            </w:r>
          </w:p>
        </w:tc>
        <w:tc>
          <w:tcPr>
            <w:tcW w:w="2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254,767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234,399</w:t>
            </w: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1"/>
              </w:rPr>
              <w:t>Common stock, $0.01 par value, 50,000,000 shares authorized; 24,831,434 and 24,678,942 shares issued on</w:t>
            </w:r>
          </w:p>
        </w:tc>
        <w:tc>
          <w:tcPr>
            <w:tcW w:w="2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March 31, 2022 and December 31, 2021, respectively</w:t>
            </w: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Paid-in capital</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314,094</w:t>
            </w:r>
          </w:p>
        </w:tc>
        <w:tc>
          <w:tcPr>
            <w:tcW w:w="0" w:type="dxa"/>
            <w:vAlign w:val="bottom"/>
          </w:tcPr>
          <w:p>
            <w:pPr>
              <w:spacing w:after="0"/>
              <w:rPr>
                <w:sz w:val="1"/>
                <w:szCs w:val="1"/>
                <w:color w:val="auto"/>
              </w:rPr>
            </w:pPr>
          </w:p>
        </w:tc>
      </w:tr>
      <w:tr>
        <w:trPr>
          <w:trHeight w:val="166"/>
        </w:trPr>
        <w:tc>
          <w:tcPr>
            <w:tcW w:w="7480" w:type="dxa"/>
            <w:vAlign w:val="bottom"/>
          </w:tcPr>
          <w:p>
            <w:pPr>
              <w:ind w:left="360"/>
              <w:spacing w:after="0" w:line="166" w:lineRule="exact"/>
              <w:rPr>
                <w:sz w:val="20"/>
                <w:szCs w:val="20"/>
                <w:color w:val="auto"/>
              </w:rPr>
            </w:pPr>
            <w:r>
              <w:rPr>
                <w:rFonts w:ascii="Arial" w:cs="Arial" w:eastAsia="Arial" w:hAnsi="Arial"/>
                <w:sz w:val="16"/>
                <w:szCs w:val="16"/>
                <w:color w:val="auto"/>
                <w:w w:val="96"/>
              </w:rPr>
              <w:t>Treasury stock, at cost, 12,085,836 and 11,861,198 shares on March 31, 2022 and December 31, 2021,</w:t>
            </w:r>
          </w:p>
        </w:tc>
        <w:tc>
          <w:tcPr>
            <w:tcW w:w="2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(362,513)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(355,159)</w:t>
            </w:r>
          </w:p>
        </w:tc>
        <w:tc>
          <w:tcPr>
            <w:tcW w:w="0" w:type="dxa"/>
            <w:vAlign w:val="bottom"/>
          </w:tcPr>
          <w:p>
            <w:pPr>
              <w:spacing w:after="0"/>
              <w:rPr>
                <w:sz w:val="1"/>
                <w:szCs w:val="1"/>
                <w:color w:val="auto"/>
              </w:rPr>
            </w:pPr>
          </w:p>
        </w:tc>
      </w:tr>
      <w:tr>
        <w:trPr>
          <w:trHeight w:val="209"/>
        </w:trPr>
        <w:tc>
          <w:tcPr>
            <w:tcW w:w="7480" w:type="dxa"/>
            <w:vAlign w:val="bottom"/>
          </w:tcPr>
          <w:p>
            <w:pPr>
              <w:ind w:left="36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0" w:type="dxa"/>
            <w:vAlign w:val="bottom"/>
          </w:tcPr>
          <w:p>
            <w:pPr>
              <w:spacing w:after="0"/>
              <w:rPr>
                <w:sz w:val="1"/>
                <w:szCs w:val="1"/>
                <w:color w:val="auto"/>
              </w:rPr>
            </w:pPr>
          </w:p>
        </w:tc>
      </w:tr>
      <w:tr>
        <w:trPr>
          <w:trHeight w:val="213"/>
        </w:trPr>
        <w:tc>
          <w:tcPr>
            <w:tcW w:w="74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327,381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330,291</w:t>
            </w: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8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270,357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275,949</w:t>
            </w:r>
          </w:p>
        </w:tc>
        <w:tc>
          <w:tcPr>
            <w:tcW w:w="0" w:type="dxa"/>
            <w:vAlign w:val="bottom"/>
          </w:tcPr>
          <w:p>
            <w:pPr>
              <w:spacing w:after="0"/>
              <w:rPr>
                <w:sz w:val="1"/>
                <w:szCs w:val="1"/>
                <w:color w:val="auto"/>
              </w:rPr>
            </w:pPr>
          </w:p>
        </w:tc>
      </w:tr>
      <w:tr>
        <w:trPr>
          <w:trHeight w:val="213"/>
        </w:trPr>
        <w:tc>
          <w:tcPr>
            <w:tcW w:w="748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525,124</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510,348</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132,410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150,542</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sales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96,142</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104,143</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36,268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46,399</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7,806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7,942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29,023</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29,846</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8,611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(expense), net</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taxes</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w:t>
            </w:r>
          </w:p>
        </w:tc>
        <w:tc>
          <w:tcPr>
            <w:tcW w:w="0" w:type="dxa"/>
            <w:vAlign w:val="bottom"/>
          </w:tcPr>
          <w:p>
            <w:pPr>
              <w:spacing w:after="0"/>
              <w:rPr>
                <w:sz w:val="1"/>
                <w:szCs w:val="1"/>
                <w:color w:val="auto"/>
              </w:rPr>
            </w:pP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2,413</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w:t>
            </w:r>
          </w:p>
        </w:tc>
        <w:tc>
          <w:tcPr>
            <w:tcW w:w="0" w:type="dxa"/>
            <w:vAlign w:val="bottom"/>
          </w:tcPr>
          <w:p>
            <w:pPr>
              <w:spacing w:after="0"/>
              <w:rPr>
                <w:sz w:val="1"/>
                <w:szCs w:val="1"/>
                <w:color w:val="auto"/>
              </w:rPr>
            </w:pP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0.51</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in computing earnings (loss) per share: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12,812</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13,803</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40" w:type="dxa"/>
            <w:vAlign w:val="bottom"/>
          </w:tcPr>
          <w:p>
            <w:pPr>
              <w:ind w:left="360"/>
              <w:spacing w:after="0"/>
              <w:rPr>
                <w:sz w:val="20"/>
                <w:szCs w:val="20"/>
                <w:color w:val="auto"/>
              </w:rPr>
            </w:pPr>
            <w:r>
              <w:rPr>
                <w:rFonts w:ascii="Arial" w:cs="Arial" w:eastAsia="Arial" w:hAnsi="Arial"/>
                <w:sz w:val="16"/>
                <w:szCs w:val="16"/>
                <w:color w:val="auto"/>
              </w:rPr>
              <w:t>Diluted</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12,812</w:t>
            </w:r>
          </w:p>
        </w:tc>
        <w:tc>
          <w:tcPr>
            <w:tcW w:w="1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14,199</w:t>
            </w:r>
          </w:p>
        </w:tc>
        <w:tc>
          <w:tcPr>
            <w:tcW w:w="0" w:type="dxa"/>
            <w:vAlign w:val="bottom"/>
          </w:tcPr>
          <w:p>
            <w:pPr>
              <w:spacing w:after="0"/>
              <w:rPr>
                <w:sz w:val="1"/>
                <w:szCs w:val="1"/>
                <w:color w:val="auto"/>
              </w:rPr>
            </w:pPr>
          </w:p>
        </w:tc>
      </w:tr>
      <w:tr>
        <w:trPr>
          <w:trHeight w:val="21"/>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96"/>
        </w:trPr>
        <w:tc>
          <w:tcPr>
            <w:tcW w:w="78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6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(2,910)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6,993</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 in foreign currency translation adjustment</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9"/>
              <w:spacing w:after="0"/>
              <w:rPr>
                <w:sz w:val="20"/>
                <w:szCs w:val="20"/>
                <w:color w:val="auto"/>
              </w:rPr>
            </w:pPr>
            <w:r>
              <w:rPr>
                <w:rFonts w:ascii="Arial" w:cs="Arial" w:eastAsia="Arial" w:hAnsi="Arial"/>
                <w:sz w:val="16"/>
                <w:szCs w:val="16"/>
                <w:color w:val="auto"/>
                <w:w w:val="89"/>
              </w:rPr>
              <w:t>1,849</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(2,868)</w:t>
            </w:r>
          </w:p>
        </w:tc>
      </w:tr>
      <w:tr>
        <w:trPr>
          <w:trHeight w:val="212"/>
        </w:trPr>
        <w:tc>
          <w:tcPr>
            <w:tcW w:w="7840" w:type="dxa"/>
            <w:vAlign w:val="bottom"/>
          </w:tcPr>
          <w:p>
            <w:pPr>
              <w:ind w:left="20"/>
              <w:spacing w:after="0"/>
              <w:rPr>
                <w:sz w:val="20"/>
                <w:szCs w:val="20"/>
                <w:color w:val="auto"/>
              </w:rPr>
            </w:pPr>
            <w:r>
              <w:rPr>
                <w:rFonts w:ascii="Arial" w:cs="Arial" w:eastAsia="Arial" w:hAnsi="Arial"/>
                <w:sz w:val="16"/>
                <w:szCs w:val="16"/>
                <w:color w:val="auto"/>
              </w:rPr>
              <w:t>Comprehensive income (loss)</w:t>
            </w:r>
          </w:p>
        </w:tc>
        <w:tc>
          <w:tcPr>
            <w:tcW w:w="1060" w:type="dxa"/>
            <w:vAlign w:val="bottom"/>
            <w:tcBorders>
              <w:bottom w:val="single" w:sz="8" w:color="auto"/>
            </w:tcBorders>
          </w:tcPr>
          <w:p>
            <w:pPr>
              <w:jc w:val="right"/>
              <w:ind w:right="88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(1,061)</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8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4,125</w:t>
            </w:r>
          </w:p>
        </w:tc>
      </w:tr>
      <w:tr>
        <w:trPr>
          <w:trHeight w:val="21"/>
        </w:trPr>
        <w:tc>
          <w:tcPr>
            <w:tcW w:w="7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months ended March 31,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8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184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20" w:type="dxa"/>
            <w:vAlign w:val="bottom"/>
          </w:tcPr>
          <w:p>
            <w:pPr>
              <w:spacing w:after="0"/>
              <w:rPr>
                <w:sz w:val="7"/>
                <w:szCs w:val="7"/>
                <w:color w:val="auto"/>
              </w:rPr>
            </w:pPr>
          </w:p>
        </w:tc>
        <w:tc>
          <w:tcPr>
            <w:tcW w:w="1080" w:type="dxa"/>
            <w:vAlign w:val="bottom"/>
            <w:gridSpan w:val="3"/>
            <w:vMerge w:val="restart"/>
          </w:tcPr>
          <w:p>
            <w:pPr>
              <w:jc w:val="center"/>
              <w:ind w:left="603"/>
              <w:spacing w:after="0"/>
              <w:rPr>
                <w:sz w:val="20"/>
                <w:szCs w:val="20"/>
                <w:color w:val="auto"/>
              </w:rPr>
            </w:pPr>
            <w:r>
              <w:rPr>
                <w:rFonts w:ascii="Arial" w:cs="Arial" w:eastAsia="Arial" w:hAnsi="Arial"/>
                <w:sz w:val="14"/>
                <w:szCs w:val="14"/>
                <w:b w:val="1"/>
                <w:bCs w:val="1"/>
                <w:color w:val="auto"/>
                <w:w w:val="90"/>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3"/>
            <w:vMerge w:val="restart"/>
          </w:tcPr>
          <w:p>
            <w:pPr>
              <w:jc w:val="right"/>
              <w:ind w:right="441"/>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40" w:type="dxa"/>
            <w:vAlign w:val="bottom"/>
            <w:gridSpan w:val="2"/>
          </w:tcPr>
          <w:p>
            <w:pPr>
              <w:ind w:left="18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2"/>
          </w:tcPr>
          <w:p>
            <w:pPr>
              <w:ind w:left="140"/>
              <w:spacing w:after="0" w:line="107" w:lineRule="exact"/>
              <w:rPr>
                <w:sz w:val="20"/>
                <w:szCs w:val="20"/>
                <w:color w:val="auto"/>
              </w:rPr>
            </w:pPr>
            <w:r>
              <w:rPr>
                <w:rFonts w:ascii="Arial" w:cs="Arial" w:eastAsia="Arial" w:hAnsi="Arial"/>
                <w:sz w:val="12"/>
                <w:szCs w:val="12"/>
                <w:b w:val="1"/>
                <w:bCs w:val="1"/>
                <w:color w:val="auto"/>
              </w:rPr>
              <w:t>Retained</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0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24,679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(11,861)</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 (355,159)</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314,094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  330,291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275,949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0" w:type="dxa"/>
            <w:vAlign w:val="bottom"/>
          </w:tcPr>
          <w:p>
            <w:pPr>
              <w:spacing w:after="0"/>
              <w:rPr>
                <w:sz w:val="1"/>
                <w:szCs w:val="1"/>
                <w:color w:val="auto"/>
              </w:rPr>
            </w:pPr>
          </w:p>
        </w:tc>
      </w:tr>
      <w:tr>
        <w:trPr>
          <w:trHeight w:val="166"/>
        </w:trPr>
        <w:tc>
          <w:tcPr>
            <w:tcW w:w="3620" w:type="dxa"/>
            <w:vAlign w:val="bottom"/>
          </w:tcPr>
          <w:p>
            <w:pPr>
              <w:ind w:left="20"/>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3"/>
              <w:spacing w:after="0"/>
              <w:rPr>
                <w:sz w:val="20"/>
                <w:szCs w:val="20"/>
                <w:color w:val="auto"/>
              </w:rPr>
            </w:pPr>
            <w:r>
              <w:rPr>
                <w:rFonts w:ascii="Arial" w:cs="Arial" w:eastAsia="Arial" w:hAnsi="Arial"/>
                <w:sz w:val="16"/>
                <w:szCs w:val="16"/>
                <w:color w:val="auto"/>
              </w:rPr>
              <w:t>145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Shares issued to directors</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Arial" w:cs="Arial" w:eastAsia="Arial" w:hAnsi="Arial"/>
                <w:sz w:val="16"/>
                <w:szCs w:val="16"/>
                <w:color w:val="auto"/>
              </w:rPr>
              <w:t>Balance at March 31, 2022</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24,831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(12,086)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(362,513)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316,916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(11,675)</w:t>
            </w:r>
          </w:p>
        </w:tc>
        <w:tc>
          <w:tcPr>
            <w:tcW w:w="10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Arial" w:cs="Arial" w:eastAsia="Arial" w:hAnsi="Arial"/>
                <w:sz w:val="16"/>
                <w:szCs w:val="16"/>
                <w:color w:val="auto"/>
              </w:rPr>
              <w:t>327,381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270,357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changes in total equity for the three months ended March 31, 2021:</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4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184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60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18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3600" w:type="dxa"/>
            <w:vAlign w:val="bottom"/>
          </w:tcPr>
          <w:p>
            <w:pPr>
              <w:spacing w:after="0"/>
              <w:rPr>
                <w:sz w:val="7"/>
                <w:szCs w:val="7"/>
                <w:color w:val="auto"/>
              </w:rPr>
            </w:pPr>
          </w:p>
        </w:tc>
        <w:tc>
          <w:tcPr>
            <w:tcW w:w="1080" w:type="dxa"/>
            <w:vAlign w:val="bottom"/>
            <w:gridSpan w:val="3"/>
            <w:vMerge w:val="restart"/>
          </w:tcPr>
          <w:p>
            <w:pPr>
              <w:jc w:val="center"/>
              <w:ind w:left="602"/>
              <w:spacing w:after="0"/>
              <w:rPr>
                <w:sz w:val="20"/>
                <w:szCs w:val="20"/>
                <w:color w:val="auto"/>
              </w:rPr>
            </w:pPr>
            <w:r>
              <w:rPr>
                <w:rFonts w:ascii="Arial" w:cs="Arial" w:eastAsia="Arial" w:hAnsi="Arial"/>
                <w:sz w:val="14"/>
                <w:szCs w:val="14"/>
                <w:b w:val="1"/>
                <w:bCs w:val="1"/>
                <w:color w:val="auto"/>
                <w:w w:val="90"/>
              </w:rPr>
              <w:t>Issued</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60" w:type="dxa"/>
            <w:vAlign w:val="bottom"/>
            <w:gridSpan w:val="3"/>
            <w:vMerge w:val="restart"/>
          </w:tcPr>
          <w:p>
            <w:pPr>
              <w:jc w:val="right"/>
              <w:ind w:right="441"/>
              <w:spacing w:after="0"/>
              <w:rPr>
                <w:sz w:val="20"/>
                <w:szCs w:val="20"/>
                <w:color w:val="auto"/>
              </w:rPr>
            </w:pPr>
            <w:r>
              <w:rPr>
                <w:rFonts w:ascii="Arial" w:cs="Arial" w:eastAsia="Arial" w:hAnsi="Arial"/>
                <w:sz w:val="14"/>
                <w:szCs w:val="14"/>
                <w:b w:val="1"/>
                <w:bCs w:val="1"/>
                <w:color w:val="auto"/>
              </w:rPr>
              <w:t>in Treasury</w:t>
            </w:r>
          </w:p>
        </w:tc>
        <w:tc>
          <w:tcPr>
            <w:tcW w:w="80" w:type="dxa"/>
            <w:vAlign w:val="bottom"/>
            <w:vMerge w:val="restart"/>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60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40" w:type="dxa"/>
            <w:vAlign w:val="bottom"/>
            <w:gridSpan w:val="2"/>
          </w:tcPr>
          <w:p>
            <w:pPr>
              <w:ind w:left="180"/>
              <w:spacing w:after="0" w:line="107" w:lineRule="exact"/>
              <w:rPr>
                <w:sz w:val="20"/>
                <w:szCs w:val="20"/>
                <w:color w:val="auto"/>
              </w:rPr>
            </w:pPr>
            <w:r>
              <w:rPr>
                <w:rFonts w:ascii="Arial" w:cs="Arial" w:eastAsia="Arial" w:hAnsi="Arial"/>
                <w:sz w:val="12"/>
                <w:szCs w:val="12"/>
                <w:b w:val="1"/>
                <w:bCs w:val="1"/>
                <w:color w:val="auto"/>
              </w:rPr>
              <w:t>Paid-in</w:t>
            </w:r>
          </w:p>
        </w:tc>
        <w:tc>
          <w:tcPr>
            <w:tcW w:w="1160" w:type="dxa"/>
            <w:vAlign w:val="bottom"/>
            <w:gridSpan w:val="3"/>
          </w:tcPr>
          <w:p>
            <w:pPr>
              <w:jc w:val="center"/>
              <w:ind w:right="80"/>
              <w:spacing w:after="0" w:line="107" w:lineRule="exact"/>
              <w:rPr>
                <w:sz w:val="20"/>
                <w:szCs w:val="20"/>
                <w:color w:val="auto"/>
              </w:rPr>
            </w:pPr>
            <w:r>
              <w:rPr>
                <w:rFonts w:ascii="Arial" w:cs="Arial" w:eastAsia="Arial" w:hAnsi="Arial"/>
                <w:sz w:val="12"/>
                <w:szCs w:val="12"/>
                <w:b w:val="1"/>
                <w:bCs w:val="1"/>
                <w:color w:val="auto"/>
              </w:rPr>
              <w:t>Comprehensive</w:t>
            </w:r>
          </w:p>
        </w:tc>
        <w:tc>
          <w:tcPr>
            <w:tcW w:w="940" w:type="dxa"/>
            <w:vAlign w:val="bottom"/>
            <w:gridSpan w:val="2"/>
          </w:tcPr>
          <w:p>
            <w:pPr>
              <w:ind w:left="140"/>
              <w:spacing w:after="0" w:line="107" w:lineRule="exact"/>
              <w:rPr>
                <w:sz w:val="20"/>
                <w:szCs w:val="20"/>
                <w:color w:val="auto"/>
              </w:rPr>
            </w:pPr>
            <w:r>
              <w:rPr>
                <w:rFonts w:ascii="Arial" w:cs="Arial" w:eastAsia="Arial" w:hAnsi="Arial"/>
                <w:sz w:val="12"/>
                <w:szCs w:val="12"/>
                <w:b w:val="1"/>
                <w:bCs w:val="1"/>
                <w:color w:val="auto"/>
              </w:rPr>
              <w:t>Retained</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17"/>
                <w:szCs w:val="17"/>
                <w:color w:val="auto"/>
              </w:rPr>
            </w:pPr>
          </w:p>
        </w:tc>
        <w:tc>
          <w:tcPr>
            <w:tcW w:w="9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7"/>
                <w:szCs w:val="17"/>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December 31, 2020</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24,392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(10,618)</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 (295,495)</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302,084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  324,990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313,301</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Net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5"/>
              <w:spacing w:after="0"/>
              <w:rPr>
                <w:sz w:val="20"/>
                <w:szCs w:val="20"/>
                <w:color w:val="auto"/>
              </w:rPr>
            </w:pPr>
            <w:r>
              <w:rPr>
                <w:rFonts w:ascii="Arial" w:cs="Arial" w:eastAsia="Arial" w:hAnsi="Arial"/>
                <w:sz w:val="16"/>
                <w:szCs w:val="16"/>
                <w:color w:val="auto"/>
              </w:rPr>
              <w:t>6,993</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6,993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0" w:type="dxa"/>
            <w:vAlign w:val="bottom"/>
          </w:tcPr>
          <w:p>
            <w:pPr>
              <w:spacing w:after="0"/>
              <w:rPr>
                <w:sz w:val="1"/>
                <w:szCs w:val="1"/>
                <w:color w:val="auto"/>
              </w:rPr>
            </w:pPr>
          </w:p>
        </w:tc>
      </w:tr>
      <w:tr>
        <w:trPr>
          <w:trHeight w:val="166"/>
        </w:trPr>
        <w:tc>
          <w:tcPr>
            <w:tcW w:w="3600" w:type="dxa"/>
            <w:vAlign w:val="bottom"/>
          </w:tcPr>
          <w:p>
            <w:pPr>
              <w:spacing w:after="0" w:line="166" w:lineRule="exact"/>
              <w:rPr>
                <w:sz w:val="20"/>
                <w:szCs w:val="20"/>
                <w:color w:val="auto"/>
              </w:rPr>
            </w:pPr>
            <w:r>
              <w:rPr>
                <w:rFonts w:ascii="Arial" w:cs="Arial" w:eastAsia="Arial" w:hAnsi="Arial"/>
                <w:sz w:val="16"/>
                <w:szCs w:val="16"/>
                <w:color w:val="auto"/>
              </w:rPr>
              <w:t>Shares issued for employee benefit plan and</w:t>
            </w:r>
          </w:p>
        </w:tc>
        <w:tc>
          <w:tcPr>
            <w:tcW w:w="820" w:type="dxa"/>
            <w:vAlign w:val="bottom"/>
            <w:vMerge w:val="restart"/>
          </w:tcPr>
          <w:p>
            <w:pPr>
              <w:jc w:val="right"/>
              <w:ind w:right="2"/>
              <w:spacing w:after="0"/>
              <w:rPr>
                <w:sz w:val="20"/>
                <w:szCs w:val="20"/>
                <w:color w:val="auto"/>
              </w:rPr>
            </w:pPr>
            <w:r>
              <w:rPr>
                <w:rFonts w:ascii="Arial" w:cs="Arial" w:eastAsia="Arial" w:hAnsi="Arial"/>
                <w:sz w:val="16"/>
                <w:szCs w:val="16"/>
                <w:color w:val="auto"/>
              </w:rPr>
              <w:t>160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408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6"/>
                <w:szCs w:val="16"/>
                <w:color w:val="auto"/>
              </w:rPr>
              <w:t>compensation</w:t>
            </w: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Purchase of treasury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(10,951)</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Stock options exercised</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Shares issued to directors</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00" w:type="dxa"/>
            <w:vAlign w:val="bottom"/>
          </w:tcPr>
          <w:p>
            <w:pPr>
              <w:spacing w:after="0"/>
              <w:rPr>
                <w:sz w:val="20"/>
                <w:szCs w:val="20"/>
                <w:color w:val="auto"/>
              </w:rPr>
            </w:pPr>
            <w:r>
              <w:rPr>
                <w:rFonts w:ascii="Arial" w:cs="Arial" w:eastAsia="Arial" w:hAnsi="Arial"/>
                <w:sz w:val="16"/>
                <w:szCs w:val="16"/>
                <w:color w:val="auto"/>
              </w:rPr>
              <w:t>Employee and director stock-based compensation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spacing w:after="0"/>
              <w:rPr>
                <w:sz w:val="20"/>
                <w:szCs w:val="20"/>
                <w:color w:val="auto"/>
              </w:rPr>
            </w:pPr>
            <w:r>
              <w:rPr>
                <w:rFonts w:ascii="Arial" w:cs="Arial" w:eastAsia="Arial" w:hAnsi="Arial"/>
                <w:sz w:val="16"/>
                <w:szCs w:val="16"/>
                <w:color w:val="auto"/>
              </w:rPr>
              <w:t>Performance-based common stock warrants</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20"/>
                <w:szCs w:val="20"/>
                <w:color w:val="auto"/>
              </w:rPr>
            </w:pPr>
            <w:r>
              <w:rPr>
                <w:rFonts w:ascii="Arial" w:cs="Arial" w:eastAsia="Arial" w:hAnsi="Arial"/>
                <w:sz w:val="16"/>
                <w:szCs w:val="16"/>
                <w:color w:val="auto"/>
              </w:rPr>
              <w:t>Balance at March 31, 2021</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24,581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246</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(10,809)</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(306,446)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306,226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(21,390)</w:t>
            </w:r>
          </w:p>
        </w:tc>
        <w:tc>
          <w:tcPr>
            <w:tcW w:w="8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Arial" w:cs="Arial" w:eastAsia="Arial" w:hAnsi="Arial"/>
                <w:sz w:val="16"/>
                <w:szCs w:val="16"/>
                <w:color w:val="auto"/>
              </w:rPr>
              <w:t>331,983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310,619</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8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(2,910)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6,993</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(loss) to net cash provided by (used for)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6,319</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Provision for credit losses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894</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Shares issued for employee benefit plan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Employee and director stock-based compensation</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2,600</w:t>
            </w:r>
          </w:p>
        </w:tc>
      </w:tr>
      <w:tr>
        <w:trPr>
          <w:trHeight w:val="219"/>
        </w:trPr>
        <w:tc>
          <w:tcPr>
            <w:tcW w:w="826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Performance-based common stock warrants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3"/>
        </w:trPr>
        <w:tc>
          <w:tcPr>
            <w:tcW w:w="8260" w:type="dxa"/>
            <w:vAlign w:val="bottom"/>
          </w:tcPr>
          <w:p>
            <w:pPr>
              <w:ind w:left="80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Accounts receivable and contract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1,338</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13"/>
        </w:trPr>
        <w:tc>
          <w:tcPr>
            <w:tcW w:w="8260" w:type="dxa"/>
            <w:vAlign w:val="bottom"/>
          </w:tcPr>
          <w:p>
            <w:pPr>
              <w:ind w:left="120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(12,546)</w:t>
            </w:r>
          </w:p>
        </w:tc>
      </w:tr>
      <w:tr>
        <w:trPr>
          <w:trHeight w:val="219"/>
        </w:trPr>
        <w:tc>
          <w:tcPr>
            <w:tcW w:w="826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Accrued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(3,140)</w:t>
            </w:r>
          </w:p>
        </w:tc>
      </w:tr>
      <w:tr>
        <w:trPr>
          <w:trHeight w:val="207"/>
        </w:trPr>
        <w:tc>
          <w:tcPr>
            <w:tcW w:w="8260" w:type="dxa"/>
            <w:vAlign w:val="bottom"/>
          </w:tcPr>
          <w:p>
            <w:pPr>
              <w:ind w:left="56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(6,729)</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Term deposit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(7,487)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of net assets of Qterics, Inc.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(3,698)</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Acquisitions of 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w:t>
            </w:r>
          </w:p>
        </w:tc>
      </w:tr>
      <w:tr>
        <w:trPr>
          <w:trHeight w:val="206"/>
        </w:trPr>
        <w:tc>
          <w:tcPr>
            <w:tcW w:w="8260" w:type="dxa"/>
            <w:vAlign w:val="bottom"/>
          </w:tcPr>
          <w:p>
            <w:pPr>
              <w:ind w:left="56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(4,804)</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Borrowings under line of credit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30,000</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on line of credit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stock options exercised</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 purchased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(10,951)</w:t>
            </w:r>
          </w:p>
        </w:tc>
      </w:tr>
      <w:tr>
        <w:trPr>
          <w:trHeight w:val="207"/>
        </w:trPr>
        <w:tc>
          <w:tcPr>
            <w:tcW w:w="8260" w:type="dxa"/>
            <w:vAlign w:val="bottom"/>
          </w:tcPr>
          <w:p>
            <w:pPr>
              <w:ind w:left="56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21,646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10,040</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exchange rates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r>
      <w:tr>
        <w:trPr>
          <w:trHeight w:val="206"/>
        </w:trPr>
        <w:tc>
          <w:tcPr>
            <w:tcW w:w="82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(7,185)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57,153</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55,363</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8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w:t>
            </w:r>
          </w:p>
        </w:tc>
      </w:tr>
      <w:tr>
        <w:trPr>
          <w:trHeight w:val="210"/>
        </w:trPr>
        <w:tc>
          <w:tcPr>
            <w:tcW w:w="826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104</w:t>
            </w: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2022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and Assumptions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intangible assets and goodwill; business combinations; income taxes and related valuation allowances; stock-based compensation expense and performance-based common stock warrants.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coronavirus ("COVID-19") pandemic and the mitigation efforts by governments to attempt to control its spread have created uncertainties and disruptions in the economic and financial markets. While we are not currently aware of events or circumstances that would require an update to our estimates, judgments or adjustments to the carrying values of our assets or liabilities, these estimates may change as developments occur and we obtain additional information. These future developments are highly uncertain and the outcomes are unpredictable. Actual results may differ from those estimates, and such differences may be material to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exception of the following policy, our significant accounting policies are unchanged from those disclosed in Note 2 to the consolidated financial statements included in our Annual Report on Form 10-K for the year ended December 31, 2021</w:t>
      </w:r>
      <w:r>
        <w:rPr>
          <w:rFonts w:ascii="Arial" w:cs="Arial" w:eastAsia="Arial" w:hAnsi="Arial"/>
          <w:sz w:val="18"/>
          <w:szCs w:val="18"/>
          <w:b w:val="1"/>
          <w:bCs w:val="1"/>
          <w:i w:val="1"/>
          <w:iCs w:val="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is recognized when control of a good or service is transferred to a customer. Control is considered to be transferred when the customer has the ability to direct the use of and obtain substantially all of the remaining benefits of that good or service. Revenues are primarily generated from manufacturing, shipping and supporting control and sensor technology solutions and a broad line of pre-programmed and universal control products, AV accessories, and intelligent wireless security and smart home products that are used in the video services, consumer electronics, security, home automation, climate control, and home appliance market, which are sold through multiple channels, and licensing intellectual property that is embedded in these products or licensed to others for use in their products. We also generate revenues from a cloud-based software solution enabling software updates, digital rights management provisioning and remote technical support to consumer electronics customers.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recognize service revenues related to our cloud-based software solution on an over-time basis, as our customers simultaneously receive and consume the benefits provided by our performance. Revenues are recognized over the period during which the performance obligations are satisfied, and control of the service is transferred to the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Term Deposit</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Cash and cash equivalents include cash accounts and all investments purchased with initial maturities of three months or less. Our term deposit has an initial maturity of one year. Domestically, we generally maintain balances in excess of federally insured limits. We attempt to mitigate our exposure to liquidity, credit and other relevant risks by placing our cash, cash equivalents and term deposit with financial institutions we believe are high quality. These financial institutions are located in many different geographic regions. As part of our cash and risk management processes, we perform periodic evaluations of the relative credit standing of our financial institutions. We have not sustained credit losses from instruments held at financial institutions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guidance requires an entity to recognize and measure contract assets and contract liabilities acquired in a business combination in accordance with Topic 606, "Revenue from Contracts with Customers". At the acquisition date, the acquirer applies the revenue recognition model as if it had originated the acquired contracts. Our adoption of this guidance on January 1, 2022 did not have a material impact on our consolidated statement of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the FASB issued ASU 2020-04, "Facilitation of the Effects of Reference Rate Reform on Financial Reporting", and in January 2021, the FASB issued ASU 2021-01, "Reference Rate Reform". This guidance is intended to provide temporary optional expedients and exceptions to GAAP guidance on contract modifications and hedge accounting to ease the financial reporting burden related to the expected market transition from the London Interbank Offered Rate ("LIBOR") and other interbank offered rates to alternative reference rates. The amendments in these ASUs are elective and are effective upon issuance for all entities through December 31, 2022. These amendments are not expected to have a material impact on our consolidated statement of financial position, results of operations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Cash Equivalents and Term Deposit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2021</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 ("PRC")</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16,000</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(excluding the PRC)</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11,798</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17,604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w:t>
            </w:r>
          </w:p>
        </w:tc>
      </w:tr>
      <w:tr>
        <w:trPr>
          <w:trHeight w:val="223"/>
        </w:trPr>
        <w:tc>
          <w:tcPr>
            <w:tcW w:w="760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60,813</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25, 2022, we entered into a one-year term deposit cash account with Banco Santander (Brasil) S.A., denominated in Brazilian Real. The term deposit earns interest at a variable annual rate based upon the Brazilian CDI overnight interbank rate. At March 31, 2022, the balance of the term deposit was $8.6 million. The term deposit is accounted for at fair value on a recurring basis using level one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and Accounts Receivable,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Details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pattern of revenue recognition was as follows: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340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8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jc w:val="right"/>
              <w:ind w:right="668"/>
              <w:spacing w:after="0"/>
              <w:rPr>
                <w:sz w:val="20"/>
                <w:szCs w:val="20"/>
                <w:color w:val="auto"/>
              </w:rPr>
            </w:pPr>
            <w:r>
              <w:rPr>
                <w:rFonts w:ascii="Arial" w:cs="Arial" w:eastAsia="Arial" w:hAnsi="Arial"/>
                <w:sz w:val="14"/>
                <w:szCs w:val="14"/>
                <w:b w:val="1"/>
                <w:bCs w:val="1"/>
                <w:color w:val="auto"/>
              </w:rPr>
              <w:t>2022</w:t>
            </w:r>
          </w:p>
        </w:tc>
        <w:tc>
          <w:tcPr>
            <w:tcW w:w="1700" w:type="dxa"/>
            <w:vAlign w:val="bottom"/>
          </w:tcPr>
          <w:p>
            <w:pPr>
              <w:jc w:val="right"/>
              <w:ind w:right="60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Goods and services transferred at a point in time</w:t>
            </w:r>
          </w:p>
        </w:tc>
        <w:tc>
          <w:tcPr>
            <w:tcW w:w="3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109,086</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122,888</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Goods and services transferred over time</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23,324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27,654</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132,410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150,542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Our net sales to external customers by geographic area were as follows:</w:t>
            </w: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4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gridSpan w:val="6"/>
          </w:tcPr>
          <w:p>
            <w:pPr>
              <w:jc w:val="right"/>
              <w:ind w:right="7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43,827</w:t>
            </w:r>
          </w:p>
        </w:tc>
        <w:tc>
          <w:tcPr>
            <w:tcW w:w="1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50,292</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Asia (excluding PRC)</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33,064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34,216</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27,527</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19,292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24,340</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150,542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95" w:lineRule="exact"/>
        <w:rPr>
          <w:sz w:val="20"/>
          <w:szCs w:val="20"/>
          <w:color w:val="auto"/>
        </w:rPr>
      </w:pPr>
    </w:p>
    <w:tbl>
      <w:tblPr>
        <w:tblLayout w:type="fixed"/>
        <w:tblInd w:w="4320" w:type="dxa"/>
        <w:tblCellMar>
          <w:top w:w="0" w:type="dxa"/>
          <w:left w:w="0" w:type="dxa"/>
          <w:bottom w:w="0" w:type="dxa"/>
          <w:right w:w="0" w:type="dxa"/>
        </w:tblCellMar>
      </w:tblPr>
      <w:tr>
        <w:trPr>
          <w:trHeight w:val="192"/>
        </w:trPr>
        <w:tc>
          <w:tcPr>
            <w:tcW w:w="124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Three Months Ended March 31,</w:t>
            </w:r>
          </w:p>
        </w:tc>
        <w:tc>
          <w:tcPr>
            <w:tcW w:w="2120" w:type="dxa"/>
            <w:vAlign w:val="bottom"/>
            <w:tcBorders>
              <w:bottom w:val="single" w:sz="8" w:color="auto"/>
            </w:tcBorders>
          </w:tcPr>
          <w:p>
            <w:pPr>
              <w:spacing w:after="0"/>
              <w:rPr>
                <w:sz w:val="16"/>
                <w:szCs w:val="16"/>
                <w:color w:val="auto"/>
              </w:rPr>
            </w:pPr>
          </w:p>
        </w:tc>
      </w:tr>
      <w:tr>
        <w:trPr>
          <w:trHeight w:val="187"/>
        </w:trPr>
        <w:tc>
          <w:tcPr>
            <w:tcW w:w="1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348"/>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1528"/>
              <w:spacing w:after="0"/>
              <w:rPr>
                <w:sz w:val="20"/>
                <w:szCs w:val="20"/>
                <w:color w:val="auto"/>
              </w:rPr>
            </w:pPr>
            <w:r>
              <w:rPr>
                <w:rFonts w:ascii="Arial" w:cs="Arial" w:eastAsia="Arial" w:hAnsi="Arial"/>
                <w:sz w:val="14"/>
                <w:szCs w:val="14"/>
                <w:b w:val="1"/>
                <w:bCs w:val="1"/>
                <w:color w:val="auto"/>
              </w:rPr>
              <w:t>2021</w:t>
            </w:r>
          </w:p>
        </w:tc>
      </w:tr>
      <w:tr>
        <w:trPr>
          <w:trHeight w:val="181"/>
        </w:trPr>
        <w:tc>
          <w:tcPr>
            <w:tcW w:w="1240" w:type="dxa"/>
            <w:vAlign w:val="bottom"/>
          </w:tcPr>
          <w:p>
            <w:pPr>
              <w:ind w:left="220"/>
              <w:spacing w:after="0"/>
              <w:rPr>
                <w:sz w:val="20"/>
                <w:szCs w:val="20"/>
                <w:color w:val="auto"/>
              </w:rPr>
            </w:pPr>
            <w:r>
              <w:rPr>
                <w:rFonts w:ascii="Arial" w:cs="Arial" w:eastAsia="Arial" w:hAnsi="Arial"/>
                <w:sz w:val="14"/>
                <w:szCs w:val="14"/>
                <w:b w:val="1"/>
                <w:bCs w:val="1"/>
                <w:color w:val="auto"/>
              </w:rPr>
              <w:t>$ (thousands)</w:t>
            </w:r>
          </w:p>
        </w:tc>
        <w:tc>
          <w:tcPr>
            <w:tcW w:w="1880" w:type="dxa"/>
            <w:vAlign w:val="bottom"/>
          </w:tcPr>
          <w:p>
            <w:pPr>
              <w:jc w:val="right"/>
              <w:ind w:right="228"/>
              <w:spacing w:after="0"/>
              <w:rPr>
                <w:sz w:val="20"/>
                <w:szCs w:val="20"/>
                <w:color w:val="auto"/>
              </w:rPr>
            </w:pPr>
            <w:r>
              <w:rPr>
                <w:rFonts w:ascii="Arial" w:cs="Arial" w:eastAsia="Arial" w:hAnsi="Arial"/>
                <w:sz w:val="14"/>
                <w:szCs w:val="14"/>
                <w:b w:val="1"/>
                <w:bCs w:val="1"/>
                <w:color w:val="auto"/>
              </w:rPr>
              <w:t>% of Net Sales</w:t>
            </w:r>
          </w:p>
        </w:tc>
        <w:tc>
          <w:tcPr>
            <w:tcW w:w="340" w:type="dxa"/>
            <w:vAlign w:val="bottom"/>
          </w:tcPr>
          <w:p>
            <w:pPr>
              <w:spacing w:after="0"/>
              <w:rPr>
                <w:sz w:val="15"/>
                <w:szCs w:val="15"/>
                <w:color w:val="auto"/>
              </w:rPr>
            </w:pPr>
          </w:p>
        </w:tc>
        <w:tc>
          <w:tcPr>
            <w:tcW w:w="1340" w:type="dxa"/>
            <w:vAlign w:val="bottom"/>
          </w:tcPr>
          <w:p>
            <w:pPr>
              <w:ind w:left="260"/>
              <w:spacing w:after="0"/>
              <w:rPr>
                <w:sz w:val="20"/>
                <w:szCs w:val="20"/>
                <w:color w:val="auto"/>
              </w:rPr>
            </w:pPr>
            <w:r>
              <w:rPr>
                <w:rFonts w:ascii="Arial" w:cs="Arial" w:eastAsia="Arial" w:hAnsi="Arial"/>
                <w:sz w:val="14"/>
                <w:szCs w:val="14"/>
                <w:b w:val="1"/>
                <w:bCs w:val="1"/>
                <w:color w:val="auto"/>
              </w:rPr>
              <w:t>$ (thousands)</w:t>
            </w:r>
          </w:p>
        </w:tc>
        <w:tc>
          <w:tcPr>
            <w:tcW w:w="2120" w:type="dxa"/>
            <w:vAlign w:val="bottom"/>
          </w:tcPr>
          <w:p>
            <w:pPr>
              <w:jc w:val="right"/>
              <w:ind w:right="528"/>
              <w:spacing w:after="0"/>
              <w:rPr>
                <w:sz w:val="20"/>
                <w:szCs w:val="20"/>
                <w:color w:val="auto"/>
              </w:rPr>
            </w:pPr>
            <w:r>
              <w:rPr>
                <w:rFonts w:ascii="Arial" w:cs="Arial" w:eastAsia="Arial" w:hAnsi="Arial"/>
                <w:sz w:val="14"/>
                <w:szCs w:val="14"/>
                <w:b w:val="1"/>
                <w:bCs w:val="1"/>
                <w:color w:val="auto"/>
              </w:rPr>
              <w:t>% of Net Sales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19,884</w:t>
            </w:r>
          </w:p>
        </w:tc>
        <w:tc>
          <w:tcPr>
            <w:tcW w:w="3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34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27,201</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320" w:type="dxa"/>
            <w:vAlign w:val="bottom"/>
            <w:tcBorders>
              <w:top w:val="single" w:sz="8" w:color="CCEEFF"/>
            </w:tcBorders>
            <w:shd w:val="clear" w:color="auto" w:fill="CCEEFF"/>
          </w:tcPr>
          <w:p>
            <w:pPr>
              <w:spacing w:after="0"/>
              <w:rPr>
                <w:sz w:val="19"/>
                <w:szCs w:val="19"/>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Daikin Industries Ltd.</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17,141</w:t>
            </w:r>
          </w:p>
        </w:tc>
        <w:tc>
          <w:tcPr>
            <w:tcW w:w="3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12.9 %</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17,437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11.6 %</w:t>
            </w:r>
          </w:p>
        </w:tc>
        <w:tc>
          <w:tcPr>
            <w:tcW w:w="320" w:type="dxa"/>
            <w:vAlign w:val="bottom"/>
          </w:tcPr>
          <w:p>
            <w:pPr>
              <w:spacing w:after="0"/>
              <w:rPr>
                <w:sz w:val="20"/>
                <w:szCs w:val="20"/>
                <w:color w:val="auto"/>
              </w:rPr>
            </w:pPr>
          </w:p>
        </w:tc>
      </w:tr>
      <w:tr>
        <w:trPr>
          <w:trHeight w:val="566"/>
        </w:trPr>
        <w:tc>
          <w:tcPr>
            <w:tcW w:w="432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9"/>
        </w:trPr>
        <w:tc>
          <w:tcPr>
            <w:tcW w:w="4320" w:type="dxa"/>
            <w:vAlign w:val="bottom"/>
          </w:tcPr>
          <w:p>
            <w:pPr>
              <w:spacing w:after="0"/>
              <w:rPr>
                <w:sz w:val="20"/>
                <w:szCs w:val="20"/>
                <w:color w:val="auto"/>
              </w:rPr>
            </w:pPr>
            <w:r>
              <w:rPr>
                <w:rFonts w:ascii="Arial" w:cs="Arial" w:eastAsia="Arial" w:hAnsi="Arial"/>
                <w:sz w:val="18"/>
                <w:szCs w:val="18"/>
                <w:color w:val="auto"/>
              </w:rPr>
              <w:t>Accounts receivable, net were as follows: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6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 2022</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December 31, 2021</w:t>
            </w:r>
          </w:p>
        </w:tc>
      </w:tr>
      <w:tr>
        <w:trPr>
          <w:trHeight w:val="229"/>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4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126,807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122,508</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(1,285)</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Trade receivables, net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125,213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120,631</w:t>
            </w:r>
          </w:p>
        </w:tc>
      </w:tr>
      <w:tr>
        <w:trPr>
          <w:trHeight w:val="230"/>
        </w:trPr>
        <w:tc>
          <w:tcPr>
            <w:tcW w:w="4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8,584</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132,628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129,215</w:t>
            </w:r>
          </w:p>
        </w:tc>
      </w:tr>
      <w:tr>
        <w:trPr>
          <w:trHeight w:val="20"/>
        </w:trPr>
        <w:tc>
          <w:tcPr>
            <w:tcW w:w="4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3"/>
          <w:szCs w:val="23"/>
          <w:color w:val="auto"/>
          <w:vertAlign w:val="superscript"/>
        </w:rPr>
      </w:pPr>
      <w:r>
        <w:rPr>
          <w:rFonts w:ascii="Arial" w:cs="Arial" w:eastAsia="Arial" w:hAnsi="Arial"/>
          <w:sz w:val="18"/>
          <w:szCs w:val="18"/>
          <w:color w:val="auto"/>
        </w:rPr>
        <w:t>Other accounts receivable is primarily comprised of value added tax and supplier rebate receivables.</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30"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ectPr>
          <w:pgSz w:w="11900" w:h="16838" w:orient="portrait"/>
          <w:cols w:equalWidth="0" w:num="1">
            <w:col w:w="11240"/>
          </w:cols>
          <w:pgMar w:left="320" w:top="118" w:right="3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allowance for credit losses were as follows:</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Additions (reductions)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Write-offs/Foreign exchange effects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056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2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29"/>
        </w:trPr>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80" w:space="720"/>
            <w:col w:w="3640"/>
          </w:cols>
          <w:pgMar w:left="320" w:top="118"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this significant customer that totaled more than 10% of our accounts receivable,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20" w:type="dxa"/>
            <w:vAlign w:val="bottom"/>
            <w:gridSpan w:val="4"/>
          </w:tcPr>
          <w:p>
            <w:pPr>
              <w:ind w:left="88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3280" w:type="dxa"/>
            <w:vAlign w:val="bottom"/>
            <w:gridSpan w:val="4"/>
          </w:tcPr>
          <w:p>
            <w:pPr>
              <w:jc w:val="right"/>
              <w:ind w:right="1242"/>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4"/>
        </w:trPr>
        <w:tc>
          <w:tcPr>
            <w:tcW w:w="44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4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 of Accounts</w:t>
            </w:r>
          </w:p>
        </w:tc>
        <w:tc>
          <w:tcPr>
            <w:tcW w:w="3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vMerge w:val="restart"/>
          </w:tcPr>
          <w:p>
            <w:pPr>
              <w:jc w:val="right"/>
              <w:ind w:right="522"/>
              <w:spacing w:after="0"/>
              <w:rPr>
                <w:sz w:val="20"/>
                <w:szCs w:val="20"/>
                <w:color w:val="auto"/>
              </w:rPr>
            </w:pPr>
            <w:r>
              <w:rPr>
                <w:rFonts w:ascii="Arial" w:cs="Arial" w:eastAsia="Arial" w:hAnsi="Arial"/>
                <w:sz w:val="14"/>
                <w:szCs w:val="14"/>
                <w:b w:val="1"/>
                <w:bCs w:val="1"/>
                <w:color w:val="auto"/>
                <w:w w:val="95"/>
              </w:rPr>
              <w:t>$ (thousands)</w:t>
            </w:r>
          </w:p>
        </w:tc>
        <w:tc>
          <w:tcPr>
            <w:tcW w:w="14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 of Accounts</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Receivable, Net</w:t>
            </w:r>
          </w:p>
        </w:tc>
        <w:tc>
          <w:tcPr>
            <w:tcW w:w="1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0" w:type="dxa"/>
            <w:vAlign w:val="bottom"/>
            <w:gridSpan w:val="2"/>
          </w:tcPr>
          <w:p>
            <w:pPr>
              <w:jc w:val="center"/>
              <w:ind w:right="282"/>
              <w:spacing w:after="0"/>
              <w:rPr>
                <w:sz w:val="20"/>
                <w:szCs w:val="20"/>
                <w:color w:val="auto"/>
              </w:rPr>
            </w:pPr>
            <w:r>
              <w:rPr>
                <w:rFonts w:ascii="Arial" w:cs="Arial" w:eastAsia="Arial" w:hAnsi="Arial"/>
                <w:sz w:val="14"/>
                <w:szCs w:val="14"/>
                <w:b w:val="1"/>
                <w:bCs w:val="1"/>
                <w:color w:val="auto"/>
                <w:w w:val="90"/>
              </w:rPr>
              <w:t>Receivable, Net</w:t>
            </w:r>
          </w:p>
        </w:tc>
        <w:tc>
          <w:tcPr>
            <w:tcW w:w="0" w:type="dxa"/>
            <w:vAlign w:val="bottom"/>
          </w:tcPr>
          <w:p>
            <w:pPr>
              <w:spacing w:after="0"/>
              <w:rPr>
                <w:sz w:val="1"/>
                <w:szCs w:val="1"/>
                <w:color w:val="auto"/>
              </w:rPr>
            </w:pP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Comcast Corporation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20,035</w:t>
            </w:r>
          </w:p>
        </w:tc>
        <w:tc>
          <w:tcPr>
            <w:tcW w:w="3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jc w:val="right"/>
              <w:ind w:right="142"/>
              <w:spacing w:after="0"/>
              <w:rPr>
                <w:sz w:val="20"/>
                <w:szCs w:val="20"/>
                <w:color w:val="auto"/>
              </w:rPr>
            </w:pPr>
            <w:r>
              <w:rPr>
                <w:rFonts w:ascii="Arial" w:cs="Arial" w:eastAsia="Arial" w:hAnsi="Arial"/>
                <w:sz w:val="12"/>
                <w:szCs w:val="12"/>
                <w:color w:val="auto"/>
                <w:w w:val="81"/>
              </w:rPr>
              <w:t>(1)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jc w:val="right"/>
              <w:ind w:right="122"/>
              <w:spacing w:after="0"/>
              <w:rPr>
                <w:sz w:val="20"/>
                <w:szCs w:val="20"/>
                <w:color w:val="auto"/>
              </w:rPr>
            </w:pPr>
            <w:r>
              <w:rPr>
                <w:rFonts w:ascii="Arial" w:cs="Arial" w:eastAsia="Arial" w:hAnsi="Arial"/>
                <w:sz w:val="12"/>
                <w:szCs w:val="12"/>
                <w:color w:val="auto"/>
                <w:w w:val="95"/>
              </w:rPr>
              <w:t>(1)</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20" w:hanging="188"/>
        <w:spacing w:after="0"/>
        <w:tabs>
          <w:tab w:leader="none" w:pos="5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Trade receivables associated with this customer did not total more than 10% of our accounts receivable, net for the indicated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and Significant Suppliers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4"/>
              </w:rPr>
              <w:t>March 31, 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52,617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Components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27,285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8"/>
                <w:szCs w:val="18"/>
                <w:color w:val="auto"/>
              </w:rPr>
              <w:t>25,289</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7,102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49,461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134,469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Significant Suppliers</w:t>
            </w: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00" w:type="dxa"/>
            <w:vAlign w:val="bottom"/>
            <w:gridSpan w:val="6"/>
          </w:tcPr>
          <w:p>
            <w:pPr>
              <w:spacing w:after="0"/>
              <w:rPr>
                <w:sz w:val="20"/>
                <w:szCs w:val="20"/>
                <w:color w:val="auto"/>
              </w:rPr>
            </w:pPr>
            <w:r>
              <w:rPr>
                <w:rFonts w:ascii="Arial" w:cs="Arial" w:eastAsia="Arial" w:hAnsi="Arial"/>
                <w:sz w:val="18"/>
                <w:szCs w:val="18"/>
                <w:color w:val="auto"/>
              </w:rPr>
              <w:t>Purchases from the following supplier totaled more than 10% of our total inventory purchases: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784"/>
              <w:spacing w:after="0"/>
              <w:rPr>
                <w:sz w:val="20"/>
                <w:szCs w:val="20"/>
                <w:color w:val="auto"/>
              </w:rPr>
            </w:pPr>
            <w:r>
              <w:rPr>
                <w:rFonts w:ascii="Arial" w:cs="Arial" w:eastAsia="Arial" w:hAnsi="Arial"/>
                <w:sz w:val="14"/>
                <w:szCs w:val="14"/>
                <w:b w:val="1"/>
                <w:bCs w:val="1"/>
                <w:color w:val="auto"/>
                <w:w w:val="89"/>
              </w:rPr>
              <w:t>2022</w:t>
            </w:r>
          </w:p>
        </w:tc>
        <w:tc>
          <w:tcPr>
            <w:tcW w:w="4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084"/>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200" w:type="dxa"/>
            <w:vAlign w:val="bottom"/>
          </w:tcPr>
          <w:p>
            <w:pPr>
              <w:spacing w:after="0"/>
              <w:rPr>
                <w:sz w:val="11"/>
                <w:szCs w:val="11"/>
                <w:color w:val="auto"/>
              </w:rPr>
            </w:pPr>
          </w:p>
        </w:tc>
        <w:tc>
          <w:tcPr>
            <w:tcW w:w="136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7"/>
              </w:rPr>
              <w:t>% of Total Inventory</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5"/>
              </w:rPr>
              <w:t>% of Total Inventory</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Purchases</w:t>
            </w:r>
          </w:p>
        </w:tc>
        <w:tc>
          <w:tcPr>
            <w:tcW w:w="54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Qorvo International Pte Ltd.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2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Purchases from the following supplier totaled more than 10% of our total accounts payable: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4"/>
          </w:tcPr>
          <w:p>
            <w:pPr>
              <w:ind w:left="76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2840" w:type="dxa"/>
            <w:vAlign w:val="bottom"/>
            <w:gridSpan w:val="4"/>
          </w:tcPr>
          <w:p>
            <w:pPr>
              <w:ind w:left="6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 (thousands)</w:t>
            </w: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 of Total Accounts</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 (thousands)</w:t>
            </w:r>
          </w:p>
        </w:tc>
        <w:tc>
          <w:tcPr>
            <w:tcW w:w="1560" w:type="dxa"/>
            <w:vAlign w:val="bottom"/>
            <w:tcBorders>
              <w:top w:val="single" w:sz="8" w:color="auto"/>
            </w:tcBorders>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 of Total Accounts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Payable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Payable</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Zhejiang Zhen You Electronics Co. Ltd.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9,845</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9,862</w:t>
            </w:r>
          </w:p>
        </w:tc>
        <w:tc>
          <w:tcPr>
            <w:tcW w:w="2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2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Long-lived 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560" w:type="dxa"/>
            <w:vAlign w:val="bottom"/>
          </w:tcPr>
          <w:p>
            <w:pPr>
              <w:jc w:val="right"/>
              <w:ind w:right="213"/>
              <w:spacing w:after="0"/>
              <w:rPr>
                <w:sz w:val="20"/>
                <w:szCs w:val="20"/>
                <w:color w:val="auto"/>
              </w:rPr>
            </w:pPr>
            <w:r>
              <w:rPr>
                <w:rFonts w:ascii="Arial" w:cs="Arial" w:eastAsia="Arial" w:hAnsi="Arial"/>
                <w:sz w:val="14"/>
                <w:szCs w:val="14"/>
                <w:b w:val="1"/>
                <w:bCs w:val="1"/>
                <w:color w:val="auto"/>
                <w:w w:val="98"/>
              </w:rPr>
              <w:t>December 31, 2021</w:t>
            </w:r>
          </w:p>
        </w:tc>
      </w:tr>
      <w:tr>
        <w:trPr>
          <w:trHeight w:val="229"/>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16,804</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52,267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52,851</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Mexico</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20,509</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w:t>
            </w: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long-lived tangible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94,494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plant, and equipment are shown net of accumulated depreciation of $170.5 million and $165.9 million at March 31, 2022 and December 31, 2021,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$5.1 million and $5.5 million for the three months ended March 31, 2022 and 2021,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5"/>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48,463</w:t>
            </w:r>
          </w:p>
        </w:tc>
      </w:tr>
      <w:tr>
        <w:trPr>
          <w:trHeight w:val="230"/>
        </w:trPr>
        <w:tc>
          <w:tcPr>
            <w:tcW w:w="948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Goodwill acquired during the period </w:t>
            </w:r>
            <w:r>
              <w:rPr>
                <w:rFonts w:ascii="Arial" w:cs="Arial" w:eastAsia="Arial" w:hAnsi="Arial"/>
                <w:sz w:val="23"/>
                <w:szCs w:val="23"/>
                <w:color w:val="auto"/>
                <w:vertAlign w:val="superscript"/>
              </w:rPr>
              <w:t>(1)</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9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effects</w:t>
            </w:r>
          </w:p>
        </w:tc>
        <w:tc>
          <w:tcPr>
            <w:tcW w:w="6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49,152</w:t>
            </w:r>
          </w:p>
        </w:tc>
      </w:tr>
      <w:tr>
        <w:trPr>
          <w:trHeight w:val="20"/>
        </w:trPr>
        <w:tc>
          <w:tcPr>
            <w:tcW w:w="9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hanging="328"/>
        <w:spacing w:after="0" w:line="227" w:lineRule="auto"/>
        <w:tabs>
          <w:tab w:leader="none" w:pos="530"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During the first quarter of 2022, we recognized $0.7 million of goodwill related to the Qterics, Inc. ("Qterics") acquisition. Refer to Note 19 for further information about this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2022</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9"/>
                <w:szCs w:val="9"/>
                <w:b w:val="1"/>
                <w:bCs w:val="1"/>
                <w:color w:val="auto"/>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1"/>
                <w:szCs w:val="11"/>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1"/>
                <w:szCs w:val="11"/>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9"/>
                <w:szCs w:val="9"/>
                <w:b w:val="1"/>
                <w:bCs w:val="1"/>
                <w:color w:val="auto"/>
              </w:rPr>
              <w:t>(1)</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1"/>
                <w:szCs w:val="11"/>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3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Capitalized software development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and core technology</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Distribution rights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 and trade names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8"/>
        </w:trPr>
        <w:tc>
          <w:tcPr>
            <w:tcW w:w="3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hanging="328"/>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This table excludes the gross value of fully amortized intangible assets totaling $43.4 million and $43.2 million at March 31,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statement of operations caption was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376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rPr>
              <w:t>Three Months Ended March 31,</w:t>
            </w:r>
          </w:p>
        </w:tc>
      </w:tr>
      <w:tr>
        <w:trPr>
          <w:trHeight w:val="186"/>
        </w:trPr>
        <w:tc>
          <w:tcPr>
            <w:tcW w:w="7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Pr>
          <w:p>
            <w:pPr>
              <w:jc w:val="right"/>
              <w:ind w:right="748"/>
              <w:spacing w:after="0"/>
              <w:rPr>
                <w:sz w:val="20"/>
                <w:szCs w:val="20"/>
                <w:color w:val="auto"/>
              </w:rPr>
            </w:pPr>
            <w:r>
              <w:rPr>
                <w:rFonts w:ascii="Arial" w:cs="Arial" w:eastAsia="Arial" w:hAnsi="Arial"/>
                <w:sz w:val="14"/>
                <w:szCs w:val="14"/>
                <w:b w:val="1"/>
                <w:bCs w:val="1"/>
                <w:color w:val="auto"/>
              </w:rPr>
              <w:t>2022</w:t>
            </w:r>
          </w:p>
        </w:tc>
        <w:tc>
          <w:tcPr>
            <w:tcW w:w="1880" w:type="dxa"/>
            <w:vAlign w:val="bottom"/>
          </w:tcPr>
          <w:p>
            <w:pPr>
              <w:jc w:val="right"/>
              <w:ind w:right="68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tcBorders>
            <w:shd w:val="clear" w:color="auto" w:fill="CCEEFF"/>
          </w:tcPr>
          <w:p>
            <w:pPr>
              <w:spacing w:after="0"/>
              <w:rPr>
                <w:sz w:val="19"/>
                <w:szCs w:val="19"/>
                <w:color w:val="auto"/>
              </w:rPr>
            </w:pP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20" w:type="dxa"/>
            <w:vAlign w:val="bottom"/>
            <w:tcBorders>
              <w:bottom w:val="single" w:sz="8" w:color="auto"/>
            </w:tcBorders>
          </w:tcPr>
          <w:p>
            <w:pPr>
              <w:spacing w:after="0"/>
              <w:rPr>
                <w:sz w:val="19"/>
                <w:szCs w:val="19"/>
                <w:color w:val="auto"/>
              </w:rPr>
            </w:pP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amortization expense</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8540" w:type="dxa"/>
            <w:vAlign w:val="bottom"/>
            <w:gridSpan w:val="2"/>
          </w:tcPr>
          <w:p>
            <w:pPr>
              <w:spacing w:after="0"/>
              <w:rPr>
                <w:sz w:val="20"/>
                <w:szCs w:val="20"/>
                <w:color w:val="auto"/>
              </w:rPr>
            </w:pPr>
            <w:r>
              <w:rPr>
                <w:rFonts w:ascii="Arial" w:cs="Arial" w:eastAsia="Arial" w:hAnsi="Arial"/>
                <w:sz w:val="18"/>
                <w:szCs w:val="18"/>
                <w:color w:val="auto"/>
                <w:w w:val="94"/>
              </w:rPr>
              <w:t>Estimated future annual amortization expense related to our intangible assets at March 31, 2022, was as follows: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9 months)</w:t>
            </w:r>
          </w:p>
        </w:tc>
        <w:tc>
          <w:tcPr>
            <w:tcW w:w="10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20" w:type="dxa"/>
            <w:vAlign w:val="bottom"/>
          </w:tcPr>
          <w:p>
            <w:pPr>
              <w:spacing w:after="0"/>
              <w:rPr>
                <w:sz w:val="20"/>
                <w:szCs w:val="20"/>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2023</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4,085</w:t>
            </w:r>
          </w:p>
        </w:tc>
        <w:tc>
          <w:tcPr>
            <w:tcW w:w="2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20" w:type="dxa"/>
            <w:vAlign w:val="bottom"/>
          </w:tcPr>
          <w:p>
            <w:pPr>
              <w:spacing w:after="0"/>
              <w:rPr>
                <w:sz w:val="19"/>
                <w:szCs w:val="19"/>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2025</w:t>
            </w:r>
          </w:p>
        </w:tc>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2,953</w:t>
            </w:r>
          </w:p>
        </w:tc>
        <w:tc>
          <w:tcPr>
            <w:tcW w:w="20" w:type="dxa"/>
            <w:vAlign w:val="bottom"/>
          </w:tcPr>
          <w:p>
            <w:pPr>
              <w:spacing w:after="0"/>
              <w:rPr>
                <w:sz w:val="19"/>
                <w:szCs w:val="19"/>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20" w:type="dxa"/>
            <w:vAlign w:val="bottom"/>
          </w:tcPr>
          <w:p>
            <w:pPr>
              <w:spacing w:after="0"/>
              <w:rPr>
                <w:sz w:val="19"/>
                <w:szCs w:val="19"/>
                <w:color w:val="auto"/>
              </w:rPr>
            </w:pP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w:t>
            </w:r>
          </w:p>
        </w:tc>
        <w:tc>
          <w:tcPr>
            <w:tcW w:w="20" w:type="dxa"/>
            <w:vAlign w:val="bottom"/>
          </w:tcPr>
          <w:p>
            <w:pPr>
              <w:spacing w:after="0"/>
              <w:rPr>
                <w:sz w:val="19"/>
                <w:szCs w:val="19"/>
                <w:color w:val="auto"/>
              </w:rPr>
            </w:pP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22,475</w:t>
            </w:r>
          </w:p>
        </w:tc>
        <w:tc>
          <w:tcPr>
            <w:tcW w:w="20" w:type="dxa"/>
            <w:vAlign w:val="bottom"/>
          </w:tcPr>
          <w:p>
            <w:pPr>
              <w:spacing w:after="0"/>
              <w:rPr>
                <w:sz w:val="21"/>
                <w:szCs w:val="2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March 31, 2022, our operating leases had remaining lease terms of up to 39 years, including any reasonably probable extensions.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56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 2021</w:t>
            </w:r>
          </w:p>
        </w:tc>
      </w:tr>
      <w:tr>
        <w:trPr>
          <w:trHeight w:val="215"/>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5,659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14,266</w:t>
            </w:r>
          </w:p>
        </w:tc>
      </w:tr>
      <w:tr>
        <w:trPr>
          <w:trHeight w:val="223"/>
        </w:trPr>
        <w:tc>
          <w:tcPr>
            <w:tcW w:w="7600" w:type="dxa"/>
            <w:vAlign w:val="bottom"/>
          </w:tcPr>
          <w:p>
            <w:pPr>
              <w:ind w:left="78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19,035</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 March 31,</w:t>
            </w:r>
          </w:p>
        </w:tc>
      </w:tr>
      <w:tr>
        <w:trPr>
          <w:trHeight w:val="23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48"/>
        </w:trPr>
        <w:tc>
          <w:tcPr>
            <w:tcW w:w="7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lease expense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480" w:type="dxa"/>
            <w:vAlign w:val="bottom"/>
          </w:tcPr>
          <w:p>
            <w:pPr>
              <w:ind w:left="20"/>
              <w:spacing w:after="0" w:line="203" w:lineRule="exact"/>
              <w:rPr>
                <w:sz w:val="20"/>
                <w:szCs w:val="20"/>
                <w:color w:val="auto"/>
              </w:rPr>
            </w:pPr>
            <w:r>
              <w:rPr>
                <w:rFonts w:ascii="Arial" w:cs="Arial" w:eastAsia="Arial" w:hAnsi="Arial"/>
                <w:sz w:val="18"/>
                <w:szCs w:val="18"/>
                <w:color w:val="auto"/>
              </w:rPr>
              <w:t>Operating cash outflows from operating leases</w:t>
            </w: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1,679</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1,798</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r>
        <w:trPr>
          <w:trHeight w:val="204"/>
        </w:trPr>
        <w:tc>
          <w:tcPr>
            <w:tcW w:w="74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Non-cash release of operating lease obligations </w:t>
            </w:r>
            <w:r>
              <w:rPr>
                <w:rFonts w:ascii="Arial" w:cs="Arial" w:eastAsia="Arial" w:hAnsi="Arial"/>
                <w:sz w:val="23"/>
                <w:szCs w:val="23"/>
                <w:color w:val="auto"/>
                <w:vertAlign w:val="superscript"/>
              </w:rPr>
              <w:t>(1)</w:t>
            </w:r>
          </w:p>
        </w:tc>
        <w:tc>
          <w:tcPr>
            <w:tcW w:w="44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654</w:t>
            </w:r>
          </w:p>
        </w:tc>
      </w:tr>
      <w:tr>
        <w:trPr>
          <w:trHeight w:val="20"/>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line="227"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March 31, 2021, we were released from our guarantee of the lease obligation related to our Ohio call center which was sold in February 2020.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liability term and the weighted average discount rate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20" w:type="dxa"/>
            <w:vAlign w:val="bottom"/>
          </w:tcPr>
          <w:p>
            <w:pPr>
              <w:spacing w:after="0"/>
              <w:rPr>
                <w:sz w:val="16"/>
                <w:szCs w:val="16"/>
                <w:color w:val="auto"/>
              </w:rPr>
            </w:pPr>
          </w:p>
        </w:tc>
        <w:tc>
          <w:tcPr>
            <w:tcW w:w="2100" w:type="dxa"/>
            <w:vAlign w:val="bottom"/>
            <w:gridSpan w:val="2"/>
          </w:tcPr>
          <w:p>
            <w:pPr>
              <w:ind w:left="520"/>
              <w:spacing w:after="0"/>
              <w:rPr>
                <w:sz w:val="20"/>
                <w:szCs w:val="20"/>
                <w:color w:val="auto"/>
              </w:rPr>
            </w:pPr>
            <w:r>
              <w:rPr>
                <w:rFonts w:ascii="Arial" w:cs="Arial" w:eastAsia="Arial" w:hAnsi="Arial"/>
                <w:sz w:val="14"/>
                <w:szCs w:val="14"/>
                <w:b w:val="1"/>
                <w:bCs w:val="1"/>
                <w:color w:val="auto"/>
              </w:rPr>
              <w:t>March 31, 2022</w:t>
            </w:r>
          </w:p>
        </w:tc>
        <w:tc>
          <w:tcPr>
            <w:tcW w:w="2020" w:type="dxa"/>
            <w:vAlign w:val="bottom"/>
          </w:tcPr>
          <w:p>
            <w:pPr>
              <w:jc w:val="right"/>
              <w:ind w:right="336"/>
              <w:spacing w:after="0"/>
              <w:rPr>
                <w:sz w:val="20"/>
                <w:szCs w:val="20"/>
                <w:color w:val="auto"/>
              </w:rPr>
            </w:pPr>
            <w:r>
              <w:rPr>
                <w:rFonts w:ascii="Arial" w:cs="Arial" w:eastAsia="Arial" w:hAnsi="Arial"/>
                <w:sz w:val="14"/>
                <w:szCs w:val="14"/>
                <w:b w:val="1"/>
                <w:bCs w:val="1"/>
                <w:color w:val="auto"/>
              </w:rPr>
              <w:t>December 31, 2021</w:t>
            </w:r>
          </w:p>
        </w:tc>
      </w:tr>
      <w:tr>
        <w:trPr>
          <w:trHeight w:val="229"/>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lease liability term (in years)</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71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00" w:type="dxa"/>
            <w:vAlign w:val="bottom"/>
          </w:tcPr>
          <w:p>
            <w:pPr>
              <w:jc w:val="right"/>
              <w:spacing w:after="0"/>
              <w:rPr>
                <w:sz w:val="20"/>
                <w:szCs w:val="20"/>
                <w:color w:val="auto"/>
              </w:rPr>
            </w:pPr>
            <w:r>
              <w:rPr>
                <w:rFonts w:ascii="Arial" w:cs="Arial" w:eastAsia="Arial" w:hAnsi="Arial"/>
                <w:sz w:val="18"/>
                <w:szCs w:val="18"/>
                <w:color w:val="auto"/>
              </w:rPr>
              <w:t>3.04 %</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3.17 %</w:t>
            </w:r>
          </w:p>
        </w:tc>
      </w:tr>
    </w:tbl>
    <w:p>
      <w:pPr>
        <w:spacing w:after="0" w:line="3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March 31, 2022. The reconciliation excludes short-term leases that are not recorded on the balance sheet.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March 31, 2022</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(remaining 9 months)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5,731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4,283</w:t>
            </w:r>
          </w:p>
        </w:tc>
      </w:tr>
      <w:tr>
        <w:trPr>
          <w:trHeight w:val="229"/>
        </w:trPr>
        <w:tc>
          <w:tcPr>
            <w:tcW w:w="906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w:t>
            </w:r>
          </w:p>
        </w:tc>
      </w:tr>
      <w:tr>
        <w:trPr>
          <w:trHeight w:val="223"/>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21,767</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we had no operating leases that had not yet commenced.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7, 2022, we entered into a lease agreement for 125,000 square feet of factory space in Vietnam, with a term commencing on April 7, 2022 and continuing through December 1, 2034. The total initial lease liability associated with this lease is $4.5 million, which is not reflected within the maturity schedule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Line of Credit</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Second Amended and Restated Credit Agreement ("Second Amended Credit Agreement") with U.S. Bank National Association ("U.S. Bank") provides for a $125.0 million revolving line of credit ("Credit Line") that expires on November 1, 2023.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March 31, 2022 and December 31,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a guaranty of the Credit Line by our wholly-owned subsidiary, Universal Electronics BV.</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rates in effect at March 31, 2022 and December 31, 2021 were 1.70% and 1.35%, respectively. There are no commitment fees or unused line fees under the Second Amended Credit Agreement.</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31, 2021, the process of cessation of LIBOR as a reference rate began. Between December 31, 2021 and June 30, 2023, any borrowings under our existing Second Amended Credit Agreement may continue to use LIBOR as the basis for interest rates. If the Second Amended Credit Agreement is amended or replaced during this period, any borrowings will no longer use LIBOR as a reference rate and instead will be subject to an interest rate based on either the Secured Overnight Financing Rate ("SOFR"), which is deemed a replacement benchmark for LIBOR under the Second Amended Credit Agreement, or an alternate index to be agreed upon. After June 30, 2023, all borrowings will be based on SOFR or the alternate index.</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March 31, 2022, we were in compliance with the covenants and conditions of the Second Amended Credit Agreement.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2022 and December 31, 2021, we had $85.0 million and $56.0 million outstanding under the Credit Line, respectively. Our total interest expense on borrowings was $0.3 million and $0.1 million during the three months ended March 31, 2022 and 2021,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56"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recorded income tax expense of $2.4 million and $1.5 million for the three months ended March 31, 2022 and 2021, respectively. The income tax expense recorded for the three months ended March 31, 2022 increased primarily due to the mix of pre</w:t>
      </w:r>
      <w:r>
        <w:rPr>
          <w:rFonts w:ascii="MS PGothic" w:cs="MS PGothic" w:eastAsia="MS PGothic" w:hAnsi="MS PGothic"/>
          <w:sz w:val="18"/>
          <w:szCs w:val="18"/>
          <w:color w:val="auto"/>
        </w:rPr>
        <w:t>‐</w:t>
      </w:r>
      <w:r>
        <w:rPr>
          <w:rFonts w:ascii="Arial" w:cs="Arial" w:eastAsia="Arial" w:hAnsi="Arial"/>
          <w:sz w:val="18"/>
          <w:szCs w:val="18"/>
          <w:color w:val="auto"/>
        </w:rPr>
        <w:t>tax income among jurisdictions, including losses not benefited as a result of a valuation allowance.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the Company’s effective tax rate and the 21.0% U.S. federal statutory rate for the three months ended March 31, 2022 primarily related to the mix of pre-tax income and loss among jurisdictions and permanent tax items including a tax on global intangible low-taxed income. The permanent tax item related to global intangible low-taxed income also reflects recent legislative changes requiring the capitalization of research and experimentation costs, as well as limitations on the creditability of certain foreign income taxes.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2021,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2021, we had a three-year cumulative operating loss for our U.S. operations and accordingly, have provided a full valuation allowance on our U.S. federal and state deferred tax assets. During the three months ended March 31, 2022, there was no change to our valuation allowance position.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March 31, 2022, we had gross unrecognized tax benefits of $3.1 million, including interest and penalties, which, if not for the valuation allowance recorded against the state Research and Experimentation income tax credit, would affect the annual effective tax rate if these tax benefits are realized. Further, we are unaware of any positions for which it is reasonably possible that the total amounts of unrecognized tax benefits will significantly increase within the next twelve months. Based on federal, state and foreign statute expirations in various jurisdictions, we do not anticipate a decrease in unrecognized tax benefits within the next twelve months. We have classified uncertain tax positions as non-current income tax liabilities unless they are expected to be paid within one year.</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are immaterial at March 31, 2022 and December 31, 2021 and are included in the unrecognized tax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Accrued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bonus</w:t>
            </w:r>
          </w:p>
        </w:tc>
        <w:tc>
          <w:tcPr>
            <w:tcW w:w="36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Accrued commission</w:t>
            </w: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salary/wages</w:t>
            </w:r>
          </w:p>
        </w:tc>
        <w:tc>
          <w:tcPr>
            <w:tcW w:w="3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3"/>
                <w:szCs w:val="23"/>
                <w:color w:val="auto"/>
                <w:vertAlign w:val="superscript"/>
              </w:rPr>
              <w:t>(1)</w:t>
            </w:r>
          </w:p>
        </w:tc>
        <w:tc>
          <w:tcPr>
            <w:tcW w:w="3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vacation/holiday</w:t>
            </w:r>
          </w:p>
        </w:tc>
        <w:tc>
          <w:tcPr>
            <w:tcW w:w="3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compensation</w:t>
            </w:r>
          </w:p>
        </w:tc>
        <w:tc>
          <w:tcPr>
            <w:tcW w:w="3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compensation</w:t>
            </w:r>
          </w:p>
        </w:tc>
        <w:tc>
          <w:tcPr>
            <w:tcW w:w="3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660" w:hanging="328"/>
        <w:spacing w:after="0" w:line="238" w:lineRule="auto"/>
        <w:tabs>
          <w:tab w:leader="none" w:pos="648"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March 31, 2022 and December 31,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2021</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4,128</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Expense associated with fulfilled performance obligations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 and handling fees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Operating lease obligations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claims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4,685</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value added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5,463</w:t>
            </w:r>
          </w:p>
        </w:tc>
      </w:tr>
      <w:tr>
        <w:trPr>
          <w:trHeight w:val="230"/>
        </w:trPr>
        <w:tc>
          <w:tcPr>
            <w:tcW w:w="78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accrued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Includes $2.0 million and $0.4 million of contract liabilities at March 31, 2022 and December 31, 2021,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claims costs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 March 31,</w:t>
            </w:r>
          </w:p>
        </w:tc>
      </w:tr>
      <w:tr>
        <w:trPr>
          <w:trHeight w:val="24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2021</w:t>
            </w:r>
          </w:p>
        </w:tc>
      </w:tr>
      <w:tr>
        <w:trPr>
          <w:trHeight w:val="22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(in cash or in kind) during the period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Foreign currency translation gain (loss)</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7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"PTAB") with respect to Roku's Inter Partes Review ("IPR") requests (see discussion below). This lawsuit continues to be stayed until such time as the IPR requests and all appeals with respect to them have concluded.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32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16, 2020, we filed a complaint with the International Trade Commission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asked the ITC to issue a permanent limited exclusion order prohibiting the importation of these infringing products into the United States and a cease and desist order to stop these parties from continuing their infringing activities. On May 18, 2020, the ITC announced that it instituted its investigation as requested by us. Prior to the trial, which ended on April 23, 2021, we released TCL, Hisense and Funai from this investigation as they removed our technology from their televisions. On July 9, 2021, the Administrative Law Judge (the "ALJ") issued his Initial Determination (the "ID") finding that Roku is infringing our patents and as a result is in violation of §337 of the Tariff Act of 1930, as amended. On July 23, 2021, Roku and we filed petitions to appeal certain portions of the ID. On November 10, 2021, the full ITC issued its final determination affirming the ID and issuing a Limited Exclusion Order and Cease and Desist Order against Roku which became effective on January 9,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Lawsuit</w:t>
      </w: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companion case to our ITC complaint, on April 9, 2020, we filed separate actions against each of Roku, TCL, Hisense, and Funai in the United States District Court, Central District of California, alleging that Roku is willfully infringing five of our patents and TCL, Hisense, and Funai are willfully infringing six of our patents by incorporating our patented technology into certain of their televisions, set-top boxes, remote control devices, human interface devices, streaming devices and sound bars. These matters have been and continue to be stayed pending the final results of the open IPR matters mentioned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Partes Reviews</w:t>
      </w: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these litigation matters against Roku and the others identified above, Roku has filed multiple IPR requests with the PTAB on all patents at issue in the 2018 Lawsuit, the ITC Action, and the 2020 Lawsuit (see discussion above). To date, the PTAB has denied Roku's request eleven times, granted Roku's request seven times and we are awaiting the PTAB's institution decision with respect to the remaining two IPR requests. Of the seven IPR requests granted by the PTAB, the results were mixed, with the PTAB upholding the validity of many of our patent claims and invalidating others. We have and will appeal any PTAB decision that resulted in an invalidation of our patent claims.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Request Made by Roku against UEI and certain UEI Customers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8, 2021, Roku made a request to the ITC to initiate an investigation against us and certain of our customers claiming that certain of our and those customers' remote control devices and televisions infringe two of Roku's recently acquired patents. On May 10, 2021, the ITC announced its decision to initiate the requested investigation. Immediately prior to trial Roku withdrew its complaint against us and two of our customers with respect to one of the two patents at issue. This released the complaint against us and two of our customers with respect to that patent. The trial was thus shortened and ended on January 24, 2022. We anticipate that the ALJ will issue her ID on or about June 28, 2022 and the full commission review is set for October 28, 2022. As a companion to its ITC request, Roku also filed a lawsuit against us and certain of our customers in Federal District Court in the Central District of California alleging that we are infringing the same patents they alleged being infringed in the ITC investigation explained above. This District Court case has been and will continue to be stayed pending the conclusion of the ITC investigation.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Court of International Trade Action against the United States of America, et. al.</w:t>
      </w:r>
    </w:p>
    <w:p>
      <w:pPr>
        <w:spacing w:after="0" w:line="2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2020, we and our subsidiaries, Ecolink Intelligent Technology, Inc. ("Ecolink") and RCS Technology, LLC ("RCS"), filed an amended complaint (20-cv-00670) in the Court of International Trade (the "CIT") against the United States of America; the Office of the United States Trade Representative; Robert E. Lighthizer, U.S. Trade Representative; U.S. Customs &amp; Border Protection; and Mark A. Morgan, U.S. Customs &amp; Border Protection Acting Commissioner, challenging both the substantive and procedural processes followed by the United States Trade Representative ("USTR") when instituting Section 301 Tariffs on imports from China under Lists 3 and 4A.</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this complaint, we, Ecolink and RCS are alleging that USTR's institution of Lists 3 and 4A tariffs violated the Trade Act of 1974 (the "Trade Act") on the grounds that the USTR failed to make a determination or finding that there was an unfair trade practice that required a remedy and moreover, that Lists 3 and 4A tariffs were instituted beyond the 12-month time limit provided for in the governing statute. We, Ecolink and RCS also allege that the manner in which the Lists 3 and 4A tariff actions were implemented violated the Administrative Procedures Act (the "APA") by failing to provide adequate opportunity for comments, failed to consider relevant factors when making its decision and failed to connect the record facts to the choices it made by not explaining how the comments received by USTR came to shape the final implementation of Lists 3 and 4A.</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Ecolink and RCS are asking the CIT to declare that the defendants' actions resulting in the tariffs on products covered by Lists 3 and 4A are unauthorized by and contrary to the Trade Act and were arbitrarily and unlawfully promulgated in violation of the APA; to vacate the Lists 3 and 4A tariffs; to order a refund (with interest) of any Lists 3 and 4A duties paid by us, Ecolink and RCS; to permanently enjoin the U.S. government from applying Lists 3 and 4A duties against us, Ecolink and RCS; and award us, Ecolink and RCS our costs and reasonable attorney's fees.</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July 2021, the CIT issued a preliminary injunction suspending liquidation of all unliquidated entries subject to Lists 3 and 4A duties and has asked the parties to develop a process to keep track of the entries to efficiently and effectively deal with liquidation process and duties to be paid or refunded when finally adjudicated. On February 5, 2022, the CIT heard oral arguments on dispositive motions filed on behalf of plaintiffs and defendants. On April 1, 2022, the CIT issued its opinion on these dispositive motions, ruling that the USTR had the legal authority to promulgate List 3 and List 4A under Section 307(a)(1)(B) of the Trade Act, but that the USTR violated the APA when it promulgated List 3 and List 4A concluding that the USTR failed to adequately explain its decision as required under the APA. The Court ordered that List 3 and List 4A be remanded to the USTR for reconsideration or further explanation regarding its rationale for imposing the tariffs. The Court declined to vacate List 3 and List 4A, which means that they are still in place while on remand. The Court’s preliminary injunction regarding liquidation of entries also remains in effect. The Court set a deadline of June 30, 2022, for the USTR to complete this process.</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Treasury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On February 10, 2022, our Board approved a new share repurchase program with an effective date of February 22, 2022 (the "February 2022 Program"). Pursuant to the February 2022 Program, we were authorized to repurchase up to 300,000 shares of our common stock until the Program's expiration on May 5, 2022. Per the terms of the February 2022 Program, we may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utilize various methods to effect the repurchases, including open market repurchases, negotiated block transactions, accelerated share repurchases or open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market solicitations for shares, some or all of which may be effected through Rule 10b5-1 plans. As of May 2, 2022, we repurchased the full 300,000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under the February 2022 Program. The timing and amount of future repurchases, if any, will depend upon several factors, including market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conditions, and such repurchases may be discontinued at any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7,354</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10,951</w:t>
            </w:r>
          </w:p>
        </w:tc>
      </w:tr>
    </w:tbl>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Total employee and director stock-based compensation expense</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2,499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53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8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14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center"/>
              <w:ind w:right="30"/>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1"/>
                <w:szCs w:val="11"/>
                <w:color w:val="auto"/>
              </w:rPr>
            </w:pPr>
          </w:p>
        </w:tc>
        <w:tc>
          <w:tcPr>
            <w:tcW w:w="1020" w:type="dxa"/>
            <w:vAlign w:val="bottom"/>
            <w:gridSpan w:val="2"/>
          </w:tcPr>
          <w:p>
            <w:pPr>
              <w:jc w:val="center"/>
              <w:ind w:left="268"/>
              <w:spacing w:after="0" w:line="135" w:lineRule="exact"/>
              <w:rPr>
                <w:sz w:val="20"/>
                <w:szCs w:val="20"/>
                <w:color w:val="auto"/>
              </w:rPr>
            </w:pPr>
            <w:r>
              <w:rPr>
                <w:rFonts w:ascii="Arial" w:cs="Arial" w:eastAsia="Arial" w:hAnsi="Arial"/>
                <w:sz w:val="14"/>
                <w:szCs w:val="14"/>
                <w:b w:val="1"/>
                <w:bCs w:val="1"/>
                <w:color w:val="auto"/>
                <w:w w:val="94"/>
              </w:rPr>
              <w:t>Remaining</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Contractual Term</w:t>
            </w:r>
          </w:p>
        </w:tc>
        <w:tc>
          <w:tcPr>
            <w:tcW w:w="180" w:type="dxa"/>
            <w:vAlign w:val="bottom"/>
          </w:tcPr>
          <w:p>
            <w:pPr>
              <w:spacing w:after="0"/>
              <w:rPr>
                <w:sz w:val="11"/>
                <w:szCs w:val="11"/>
                <w:color w:val="auto"/>
              </w:rPr>
            </w:pPr>
          </w:p>
        </w:tc>
        <w:tc>
          <w:tcPr>
            <w:tcW w:w="122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8"/>
        </w:trPr>
        <w:tc>
          <w:tcPr>
            <w:tcW w:w="5380" w:type="dxa"/>
            <w:vAlign w:val="bottom"/>
          </w:tcPr>
          <w:p>
            <w:pPr>
              <w:spacing w:after="0"/>
              <w:rPr>
                <w:sz w:val="16"/>
                <w:szCs w:val="16"/>
                <w:color w:val="auto"/>
              </w:rPr>
            </w:pPr>
          </w:p>
        </w:tc>
        <w:tc>
          <w:tcPr>
            <w:tcW w:w="1380" w:type="dxa"/>
            <w:vAlign w:val="bottom"/>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1"/>
              </w:rPr>
              <w:t>Exercise Price</w:t>
            </w:r>
          </w:p>
        </w:tc>
        <w:tc>
          <w:tcPr>
            <w:tcW w:w="120" w:type="dxa"/>
            <w:vAlign w:val="bottom"/>
          </w:tcPr>
          <w:p>
            <w:pPr>
              <w:spacing w:after="0"/>
              <w:rPr>
                <w:sz w:val="16"/>
                <w:szCs w:val="16"/>
                <w:color w:val="auto"/>
              </w:rPr>
            </w:pPr>
          </w:p>
        </w:tc>
        <w:tc>
          <w:tcPr>
            <w:tcW w:w="1020" w:type="dxa"/>
            <w:vAlign w:val="bottom"/>
            <w:gridSpan w:val="2"/>
          </w:tcPr>
          <w:p>
            <w:pPr>
              <w:jc w:val="center"/>
              <w:ind w:left="248"/>
              <w:spacing w:after="0"/>
              <w:rPr>
                <w:sz w:val="20"/>
                <w:szCs w:val="20"/>
                <w:color w:val="auto"/>
              </w:rPr>
            </w:pPr>
            <w:r>
              <w:rPr>
                <w:rFonts w:ascii="Arial" w:cs="Arial" w:eastAsia="Arial" w:hAnsi="Arial"/>
                <w:sz w:val="14"/>
                <w:szCs w:val="14"/>
                <w:b w:val="1"/>
                <w:bCs w:val="1"/>
                <w:color w:val="auto"/>
                <w:w w:val="93"/>
              </w:rPr>
              <w:t>(in years)</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34.56</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Forfeited/canceled/expired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65.54</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Outstanding at March 31, 2022 </w:t>
            </w:r>
            <w:r>
              <w:rPr>
                <w:rFonts w:ascii="Arial" w:cs="Arial" w:eastAsia="Arial" w:hAnsi="Arial"/>
                <w:sz w:val="23"/>
                <w:szCs w:val="23"/>
                <w:color w:val="auto"/>
                <w:vertAlign w:val="superscript"/>
              </w:rPr>
              <w:t>(1)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Arial" w:cs="Arial" w:eastAsia="Arial" w:hAnsi="Arial"/>
                <w:sz w:val="18"/>
                <w:szCs w:val="18"/>
                <w:color w:val="auto"/>
              </w:rPr>
              <w:t xml:space="preserve">Vested and expected to vest at March 31, 2022 </w:t>
            </w:r>
            <w:r>
              <w:rPr>
                <w:rFonts w:ascii="Arial" w:cs="Arial" w:eastAsia="Arial" w:hAnsi="Arial"/>
                <w:sz w:val="23"/>
                <w:szCs w:val="23"/>
                <w:color w:val="auto"/>
                <w:vertAlign w:val="superscript"/>
              </w:rPr>
              <w:t>(1)</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42.25</w:t>
            </w: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w w:val="91"/>
              </w:rPr>
              <w:t>3.73</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80" w:type="dxa"/>
            <w:vAlign w:val="bottom"/>
            <w:vMerge w:val="continue"/>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846</w:t>
            </w:r>
          </w:p>
        </w:tc>
        <w:tc>
          <w:tcPr>
            <w:tcW w:w="22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Exercisable at March 31, 2022 </w:t>
            </w:r>
            <w:r>
              <w:rPr>
                <w:rFonts w:ascii="Arial" w:cs="Arial" w:eastAsia="Arial" w:hAnsi="Arial"/>
                <w:sz w:val="23"/>
                <w:szCs w:val="23"/>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60" w:hanging="328"/>
        <w:spacing w:after="0" w:line="249" w:lineRule="auto"/>
        <w:tabs>
          <w:tab w:leader="none" w:pos="648"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2022 and the exercise price, multiplied by the number of in-the-money options) that would have been received by the option holders had they all exercised their options on March 31, 2022. This amount will change based on the fair market value of our stock.</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187"/>
        </w:trPr>
        <w:tc>
          <w:tcPr>
            <w:tcW w:w="72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fair value of grants</w:t>
            </w:r>
          </w:p>
        </w:tc>
        <w:tc>
          <w:tcPr>
            <w:tcW w:w="1200" w:type="dxa"/>
            <w:vAlign w:val="bottom"/>
            <w:shd w:val="clear" w:color="auto" w:fill="CCEEFF"/>
          </w:tcPr>
          <w:p>
            <w:pPr>
              <w:jc w:val="right"/>
              <w:ind w:right="102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23.97</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1.78 %</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0.41 %</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48.49 %</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w:t>
            </w:r>
          </w:p>
        </w:tc>
      </w:tr>
    </w:tbl>
    <w:p>
      <w:pPr>
        <w:spacing w:after="0" w:line="3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2022, we expect to recognize $3.5 million of total unrecognized pre-tax stock-based compensation expense related to non-vested stock options over a remaining weighted-average life of 2.2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tcPr>
          <w:p>
            <w:pPr>
              <w:jc w:val="right"/>
              <w:ind w:right="179"/>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r>
      <w:tr>
        <w:trPr>
          <w:trHeight w:val="188"/>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Grant Date Fair Value</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400" w:type="dxa"/>
            <w:vAlign w:val="bottom"/>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31.85</w:t>
            </w:r>
          </w:p>
        </w:tc>
      </w:tr>
      <w:tr>
        <w:trPr>
          <w:trHeight w:val="229"/>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39.30</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47.96</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2022</w:t>
            </w:r>
          </w:p>
        </w:tc>
        <w:tc>
          <w:tcPr>
            <w:tcW w:w="1400" w:type="dxa"/>
            <w:vAlign w:val="bottom"/>
            <w:tcBorders>
              <w:bottom w:val="single" w:sz="8" w:color="auto"/>
            </w:tcBorders>
            <w:shd w:val="clear" w:color="auto" w:fill="CCEEFF"/>
          </w:tcPr>
          <w:p>
            <w:pPr>
              <w:jc w:val="right"/>
              <w:ind w:right="12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we expect to recognize $14.0 million of total unrecognized pre-tax stock-based compensation expense related to non-vested restricted stock awards over a weighted-average life of 2.2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9, 2016, we issued common stock purchase warrants to Comcast Corporation ("Comcast") at a price of $54.55 per share. At March 31, 2022, 275,000 of these warrants were vested and outstanding. All vested warrants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to net sales</w:t>
            </w:r>
          </w:p>
        </w:tc>
        <w:tc>
          <w:tcPr>
            <w:tcW w:w="1320" w:type="dxa"/>
            <w:vAlign w:val="bottom"/>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r>
      <w:tr>
        <w:trPr>
          <w:trHeight w:val="251"/>
        </w:trPr>
        <w:tc>
          <w:tcPr>
            <w:tcW w:w="7480" w:type="dxa"/>
            <w:vAlign w:val="bottom"/>
            <w:shd w:val="clear" w:color="auto" w:fill="CCEEFF"/>
          </w:tcPr>
          <w:p>
            <w:pPr>
              <w:ind w:left="20"/>
              <w:spacing w:after="0" w:line="252"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r>
      <w:tr>
        <w:trPr>
          <w:trHeight w:val="229"/>
        </w:trPr>
        <w:tc>
          <w:tcPr>
            <w:tcW w:w="7480" w:type="dxa"/>
            <w:vAlign w:val="bottom"/>
          </w:tcPr>
          <w:p>
            <w:pPr>
              <w:ind w:left="20"/>
              <w:spacing w:after="0"/>
              <w:rPr>
                <w:sz w:val="20"/>
                <w:szCs w:val="20"/>
                <w:color w:val="auto"/>
              </w:rPr>
            </w:pPr>
            <w:r>
              <w:rPr>
                <w:rFonts w:ascii="Arial" w:cs="Arial" w:eastAsia="Arial" w:hAnsi="Arial"/>
                <w:sz w:val="18"/>
                <w:szCs w:val="18"/>
                <w:color w:val="auto"/>
              </w:rPr>
              <w:t>Net gain (loss) on foreign currency exchange transactions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(1,270)</w:t>
            </w: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
        </w:trPr>
        <w:tc>
          <w:tcPr>
            <w:tcW w:w="7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per-share amounts)</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4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13,803</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DILUTED</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common shares outstanding for basic</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12,812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13,803</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stock options, restricted stock and common stock warrants</w:t>
            </w:r>
          </w:p>
        </w:tc>
        <w:tc>
          <w:tcPr>
            <w:tcW w:w="4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on a diluted basis</w:t>
            </w: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12,812</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14,199</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80" w:type="dxa"/>
            <w:vAlign w:val="bottom"/>
          </w:tcPr>
          <w:p>
            <w:pPr>
              <w:spacing w:after="0"/>
              <w:rPr>
                <w:sz w:val="16"/>
                <w:szCs w:val="16"/>
                <w:color w:val="auto"/>
              </w:rPr>
            </w:pPr>
          </w:p>
        </w:tc>
        <w:tc>
          <w:tcPr>
            <w:tcW w:w="376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r>
      <w:tr>
        <w:trPr>
          <w:trHeight w:val="224"/>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82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total net fair value of derivatives: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4"/>
                <w:szCs w:val="14"/>
                <w:b w:val="1"/>
                <w:bCs w:val="1"/>
                <w:color w:val="auto"/>
              </w:rPr>
              <w:t>Fair Value Measurement Using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b w:val="1"/>
                <w:bCs w:val="1"/>
                <w:color w:val="auto"/>
              </w:rPr>
              <w:t>Fair Value Measurement Using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4"/>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4"/>
                <w:szCs w:val="4"/>
                <w:color w:val="auto"/>
              </w:rPr>
            </w:pPr>
          </w:p>
        </w:tc>
        <w:tc>
          <w:tcPr>
            <w:tcW w:w="900" w:type="dxa"/>
            <w:vAlign w:val="bottom"/>
            <w:gridSpan w:val="3"/>
            <w:vMerge w:val="restart"/>
          </w:tcPr>
          <w:p>
            <w:pPr>
              <w:jc w:val="right"/>
              <w:ind w:right="350"/>
              <w:spacing w:after="0"/>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4"/>
                <w:szCs w:val="4"/>
                <w:color w:val="auto"/>
              </w:rPr>
            </w:pPr>
          </w:p>
        </w:tc>
        <w:tc>
          <w:tcPr>
            <w:tcW w:w="6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6"/>
              </w:rPr>
              <w:t>Level 3</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3"/>
            <w:vMerge w:val="restart"/>
          </w:tcPr>
          <w:p>
            <w:pPr>
              <w:jc w:val="right"/>
              <w:ind w:right="37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4"/>
                <w:szCs w:val="4"/>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24"/>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$0.9 million and a net pre-tax gain of $1.2 million for the three months ended March 31, 2022 and 2021,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Gain/(Loss)</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9"/>
              </w:rPr>
              <w:t>Recorded at Balance</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Notional Value</w:t>
            </w: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Sheet</w:t>
            </w: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Date Held</w:t>
            </w:r>
          </w:p>
        </w:tc>
        <w:tc>
          <w:tcPr>
            <w:tcW w:w="248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Position Held</w:t>
            </w:r>
          </w:p>
        </w:tc>
        <w:tc>
          <w:tcPr>
            <w:tcW w:w="1220" w:type="dxa"/>
            <w:vAlign w:val="bottom"/>
            <w:gridSpan w:val="3"/>
            <w:vMerge w:val="continue"/>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Forward Rate</w:t>
            </w:r>
          </w:p>
        </w:tc>
        <w:tc>
          <w:tcPr>
            <w:tcW w:w="14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Date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89"/>
        </w:trPr>
        <w:tc>
          <w:tcPr>
            <w:tcW w:w="198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88"/>
              </w:rPr>
              <w:t>(in thousands)</w:t>
            </w:r>
            <w:r>
              <w:rPr>
                <w:rFonts w:ascii="Arial" w:cs="Arial" w:eastAsia="Arial" w:hAnsi="Arial"/>
                <w:sz w:val="18"/>
                <w:szCs w:val="18"/>
                <w:b w:val="1"/>
                <w:bCs w:val="1"/>
                <w:color w:val="auto"/>
                <w:w w:val="88"/>
                <w:vertAlign w:val="superscript"/>
              </w:rPr>
              <w:t>(1)</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8"/>
              </w:rPr>
              <w:t>USD/Chinese Yuan Renminbi</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CNY</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April 29, 2022</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March 31, 2022</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1.0998</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April 29, 2022</w:t>
            </w:r>
          </w:p>
        </w:tc>
        <w:tc>
          <w:tcPr>
            <w:tcW w:w="0" w:type="dxa"/>
            <w:vAlign w:val="bottom"/>
          </w:tcPr>
          <w:p>
            <w:pPr>
              <w:spacing w:after="0"/>
              <w:rPr>
                <w:sz w:val="1"/>
                <w:szCs w:val="1"/>
                <w:color w:val="auto"/>
              </w:rPr>
            </w:pPr>
          </w:p>
        </w:tc>
      </w:tr>
      <w:tr>
        <w:trPr>
          <w:trHeight w:val="229"/>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0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CNY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7, 2022</w:t>
            </w:r>
          </w:p>
        </w:tc>
        <w:tc>
          <w:tcPr>
            <w:tcW w:w="0" w:type="dxa"/>
            <w:vAlign w:val="bottom"/>
          </w:tcPr>
          <w:p>
            <w:pPr>
              <w:spacing w:after="0"/>
              <w:rPr>
                <w:sz w:val="1"/>
                <w:szCs w:val="1"/>
                <w:color w:val="auto"/>
              </w:rPr>
            </w:pPr>
          </w:p>
        </w:tc>
      </w:tr>
      <w:tr>
        <w:trPr>
          <w:trHeight w:val="230"/>
        </w:trPr>
        <w:tc>
          <w:tcPr>
            <w:tcW w:w="1980" w:type="dxa"/>
            <w:vAlign w:val="bottom"/>
            <w:gridSpan w:val="2"/>
          </w:tcPr>
          <w:p>
            <w:pPr>
              <w:ind w:left="20"/>
              <w:spacing w:after="0"/>
              <w:rPr>
                <w:sz w:val="20"/>
                <w:szCs w:val="20"/>
                <w:color w:val="auto"/>
              </w:rPr>
            </w:pPr>
            <w:r>
              <w:rPr>
                <w:rFonts w:ascii="Arial" w:cs="Arial" w:eastAsia="Arial" w:hAnsi="Arial"/>
                <w:sz w:val="18"/>
                <w:szCs w:val="18"/>
                <w:color w:val="auto"/>
              </w:rPr>
              <w:t>December 31, 2021</w:t>
            </w:r>
          </w:p>
        </w:tc>
        <w:tc>
          <w:tcPr>
            <w:tcW w:w="248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1.1336</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January 7, 2022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60" w:right="20" w:hanging="328"/>
        <w:spacing w:after="0" w:line="22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Business Combination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we acquired substantially all of the net assets of Qterics, a U.S.-based provider of multimedia connectivity solutions and services for internet-enabled consumer products. Under the terms of the Asset Purchase Agreement ("APA"), we paid a cash purchase price of approximately $0.9 million. The acquisition of these assets will allow us to expand our customer base in the OEM market.</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consolidated income statement for the three months ended March 31, 2022 includes net sales of $0.3 million and net income of $0.1 million attributable to Qterics for the period commencing on February 17, 2022.</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accordance with the terms of the APA, the initial purchase price was subject to adjustment for differences between the initial estimated working capital balances and the final adjusted balances. This calculation was completed at March 31,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Using the acquisition method of accounting, the acquisition date fair value of the consideration transferred was allocated to the net tangible and intangible assets acquired and liabilities assumed based on their estimated fair values on the acquisition date. The calculation of the fair value of deferred revenue has not been finalized, pending the determination of the appropriate service period over which to recognize revenue. The excess of the purchase price over the estimated fair value of net assets acquired is recorded as goodwill. The goodwill is expected to be deductible for income tax purposes.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Management's preliminary purchase price allocation as of March 31, 2022 was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26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1"/>
              </w:rPr>
              <w:t>Estimated Lives</w:t>
            </w:r>
          </w:p>
        </w:tc>
        <w:tc>
          <w:tcPr>
            <w:tcW w:w="1760" w:type="dxa"/>
            <w:vAlign w:val="bottom"/>
          </w:tcPr>
          <w:p>
            <w:pPr>
              <w:jc w:val="right"/>
              <w:ind w:right="171"/>
              <w:spacing w:after="0"/>
              <w:rPr>
                <w:sz w:val="20"/>
                <w:szCs w:val="20"/>
                <w:color w:val="auto"/>
              </w:rPr>
            </w:pPr>
            <w:r>
              <w:rPr>
                <w:rFonts w:ascii="Arial" w:cs="Arial" w:eastAsia="Arial" w:hAnsi="Arial"/>
                <w:sz w:val="14"/>
                <w:szCs w:val="14"/>
                <w:b w:val="1"/>
                <w:bCs w:val="1"/>
                <w:color w:val="auto"/>
              </w:rPr>
              <w:t>Preliminary Fair Value</w:t>
            </w:r>
          </w:p>
        </w:tc>
      </w:tr>
      <w:tr>
        <w:trPr>
          <w:trHeight w:val="229"/>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26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5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6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6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260" w:type="dxa"/>
            <w:vAlign w:val="bottom"/>
            <w:gridSpan w:val="3"/>
          </w:tcPr>
          <w:p>
            <w:pPr>
              <w:jc w:val="center"/>
              <w:ind w:right="210"/>
              <w:spacing w:after="0"/>
              <w:rPr>
                <w:sz w:val="20"/>
                <w:szCs w:val="20"/>
                <w:color w:val="auto"/>
              </w:rPr>
            </w:pPr>
            <w:r>
              <w:rPr>
                <w:rFonts w:ascii="Arial" w:cs="Arial" w:eastAsia="Arial" w:hAnsi="Arial"/>
                <w:sz w:val="18"/>
                <w:szCs w:val="18"/>
                <w:color w:val="auto"/>
                <w:w w:val="88"/>
              </w:rPr>
              <w:t>6 years</w:t>
            </w:r>
          </w:p>
        </w:tc>
        <w:tc>
          <w:tcPr>
            <w:tcW w:w="17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226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6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ROU assets</w:t>
            </w:r>
          </w:p>
        </w:tc>
        <w:tc>
          <w:tcPr>
            <w:tcW w:w="2260" w:type="dxa"/>
            <w:vAlign w:val="bottom"/>
            <w:gridSpan w:val="3"/>
            <w:shd w:val="clear" w:color="auto" w:fill="CCEEFF"/>
          </w:tcPr>
          <w:p>
            <w:pPr>
              <w:jc w:val="center"/>
              <w:ind w:right="210"/>
              <w:spacing w:after="0"/>
              <w:rPr>
                <w:sz w:val="20"/>
                <w:szCs w:val="20"/>
                <w:color w:val="auto"/>
              </w:rPr>
            </w:pPr>
            <w:r>
              <w:rPr>
                <w:rFonts w:ascii="Arial" w:cs="Arial" w:eastAsia="Arial" w:hAnsi="Arial"/>
                <w:sz w:val="18"/>
                <w:szCs w:val="18"/>
                <w:color w:val="auto"/>
                <w:w w:val="88"/>
              </w:rPr>
              <w:t>3 years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Short-term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Long-term operating lease obligation</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1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3"/>
        </w:trPr>
        <w:tc>
          <w:tcPr>
            <w:tcW w:w="7220" w:type="dxa"/>
            <w:vAlign w:val="bottom"/>
          </w:tcPr>
          <w:p>
            <w:pPr>
              <w:ind w:left="260"/>
              <w:spacing w:after="0"/>
              <w:rPr>
                <w:sz w:val="20"/>
                <w:szCs w:val="20"/>
                <w:color w:val="auto"/>
              </w:rPr>
            </w:pPr>
            <w:r>
              <w:rPr>
                <w:rFonts w:ascii="Arial" w:cs="Arial" w:eastAsia="Arial" w:hAnsi="Arial"/>
                <w:sz w:val="18"/>
                <w:szCs w:val="18"/>
                <w:color w:val="auto"/>
              </w:rPr>
              <w:t>Cash paid</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r>
      <w:tr>
        <w:trPr>
          <w:trHeight w:val="20"/>
        </w:trPr>
        <w:tc>
          <w:tcPr>
            <w:tcW w:w="7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Management's determination of the fair value of intangible assets acquired are based primarily on significant inputs not observable in an active market and thus represent Level 3 fair value measurements as defined under U.S. GAAP.</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assigned to the Qterics developed technology and trade names intangible assets were determined utilizing a relief from royalty method. Under the relief from royalty method, the fair value of the intangible asset is estimated to be the present value of the royalties saved because the company owns the intangible asset. Revenue projections and estimated useful life were significant inputs into estimating the value of the Qterics developed technology and trade names.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assigned to Qterics customer relationships intangible assets were determined utilizing a multi-period excess earnings approach. Under the multi-period excess earnings approach, the fair value of the intangible asset is estimated to be the present value of future earnings attributable to the asset and utilizes revenue and cost projections, including an assumed contributory asset charge.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developed technology, trade names and customer relationships intangible assets are expected to be deductible for income tax purposes.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pro forma financial information of combined results of our operations and the operations of Qterics as if the transaction had occurred on January 1, 2021, is immaterially different from the net sales, net income (loss) and income (loss) per share amounts reported in the Consolidated Statements of Operations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design, develop, manufacture, ship and support control and sensor technology solutions and a broad line of universal control systems, audio-video ("AV") accessories, and intelligent wireless security and smart home products that are used by the world's leading brands in the video services, consumer electronics, security, home automation, climate control, and home appliance markets. Our product and technology offerings include:</w:t>
      </w:r>
    </w:p>
    <w:p>
      <w:pPr>
        <w:spacing w:after="0" w:line="192" w:lineRule="exact"/>
        <w:rPr>
          <w:sz w:val="20"/>
          <w:szCs w:val="20"/>
          <w:color w:val="auto"/>
        </w:rPr>
      </w:pPr>
    </w:p>
    <w:p>
      <w:pPr>
        <w:jc w:val="both"/>
        <w:ind w:left="980" w:hanging="324"/>
        <w:spacing w:after="0" w:line="263"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easy-to-use, voice-enabled, automatically-programmed universal remote controls with two-way radio frequency ("RF") as well as infrared ("IR") remote controls, that are sold primarily to video service providers (cable, satellite, Internet Protocol television ("IPTV") and Over the Top ("OTT") services), original equipment manufacturers ("OEMs"), retailers, and private label customers;</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integrated circuits ("ICs"), on which our software and universal device control database is embedded, sold primarily to OEMs, video service providers, and private label customers;</w:t>
      </w:r>
    </w:p>
    <w:p>
      <w:pPr>
        <w:spacing w:after="0" w:line="8" w:lineRule="exact"/>
        <w:rPr>
          <w:rFonts w:ascii="Arial" w:cs="Arial" w:eastAsia="Arial" w:hAnsi="Arial"/>
          <w:sz w:val="18"/>
          <w:szCs w:val="18"/>
          <w:color w:val="auto"/>
        </w:rPr>
      </w:pPr>
    </w:p>
    <w:p>
      <w:pPr>
        <w:jc w:val="both"/>
        <w:ind w:left="980" w:hanging="324"/>
        <w:spacing w:after="0" w:line="271" w:lineRule="auto"/>
        <w:tabs>
          <w:tab w:leader="none" w:pos="975"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software, firmware and technology solutions that can enable devices such as TVs, set-top boxes, audio systems, smart speakers, game controllers and other consumer electronic and smart home devices to wirelessly connect and interact with home networks and interactive services to control and deliver home entertainment, smart home services and device or system information;</w:t>
      </w:r>
    </w:p>
    <w:p>
      <w:pPr>
        <w:jc w:val="both"/>
        <w:ind w:left="980" w:hanging="324"/>
        <w:spacing w:after="0" w:line="255"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cloud-services that support our embedded software and hardware solutions (directly or indirectly) enabling software update and device provisioning services, as well as real-time device identification and system control with billions of transactions per year in device and data management;</w:t>
      </w:r>
    </w:p>
    <w:p>
      <w:pPr>
        <w:spacing w:after="0" w:line="2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intellectual property that we license primarily to OEMs and video service providers;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home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hotels and hospitality system integrators; and</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 including universal remote controls, television wall mounts and stands and digital television antennas.</w:t>
      </w:r>
    </w:p>
    <w:p>
      <w:pPr>
        <w:spacing w:after="0" w:line="25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 key factor in creating products and software for control of entertainment devices is our proprietary device knowledge graph. Since our beginning in 1986, we have compiled an extensive device control knowledge library that includes over 13,000 brands comprising over 1,002,000 device models across AV and smart home platforms, supported by many common smart home protocols, including IR, HDMI-CEC, Zigbee (Rf4CE) Z-Wave, and IP, as well as Home Network and Cloud Control.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nearly 27.6 million unique device fingerprints across both AV and Smart Home devices.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technology also includes other remote controlled home entertainment devices and home automation control modules, as well as wired Consumer Electronics Control ("CEC") and wireless IP control protocols commonly found on many of the latest HDMI and internet connected devices. Our proprietary software automatically detects, identifies and enables the appropriate control commands for many home entertainment and automation devices in the home. Our libraries are continuously updated with device control codes used in newly introduced AV and Internet of Things devices. These control codes are captured directly from original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22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hold a number of patents in the United States and abroad related to our products and technology, and have filed domestic and foreign applications for other patents that are pending. At March 31, 2022, we had more than 650 issued and pending U.S. patents related to remote control, home security, safety and automation as well as hundreds of foreign counterpart patents and applications in various territories around the world.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two domestic subsidiaries and 25 international subsidiaries located in Brazil, British Virgin Islands, Cayman Islands, France, Germany, Hong Kong (3), India, Italy, Japan, Korea, Mexico (2), the Netherlands, People's Republic of China (the "PRC") (7), Singapore, Spain and the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2022:</w:t>
      </w:r>
    </w:p>
    <w:p>
      <w:pPr>
        <w:spacing w:after="0" w:line="252" w:lineRule="exact"/>
        <w:rPr>
          <w:sz w:val="20"/>
          <w:szCs w:val="20"/>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sales decreased 12.0% to $132.4 million for the three months ended March 31, 2022 from $150.5 million for the three months ended March 31, 2021.</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gross margin percentage decreased to 27.4% for the three months ended March 31, 2022 from 30.8% for the three months ended March 31, 2021.</w:t>
      </w:r>
    </w:p>
    <w:p>
      <w:pPr>
        <w:spacing w:after="0" w:line="8"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expenses, as a percentage of net sales, increased to 27.8% for the three months ended March 31, 2022 from 25.1% for the three months ended March 31, 2021.</w:t>
      </w:r>
    </w:p>
    <w:p>
      <w:pPr>
        <w:spacing w:after="0" w:line="8" w:lineRule="exact"/>
        <w:rPr>
          <w:rFonts w:ascii="Arial" w:cs="Arial" w:eastAsia="Arial" w:hAnsi="Arial"/>
          <w:sz w:val="18"/>
          <w:szCs w:val="18"/>
          <w:color w:val="auto"/>
        </w:rPr>
      </w:pPr>
    </w:p>
    <w:p>
      <w:pPr>
        <w:jc w:val="both"/>
        <w:ind w:left="980" w:right="20" w:hanging="324"/>
        <w:spacing w:after="0" w:line="263"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operating loss was $0.6 million for the three months ended March 31, 2022 compared to operating income of $8.6 million for the three months ended March 31, 2021. Our operating income (loss) percentage decreased to (0.4)% for the three months ended March 31, 2022 from 5.7% for the three months ended March 31, 2021.</w:t>
      </w:r>
    </w:p>
    <w:p>
      <w:pPr>
        <w:spacing w:after="0" w:line="2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Income tax expense increased to $2.4 million for the three months ended March 31, 2022 from $1.5 million for the three months ended March 31,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2022 include the following:</w:t>
      </w:r>
    </w:p>
    <w:p>
      <w:pPr>
        <w:spacing w:after="0" w:line="25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and market advanced remote control products and technologies our customer base is adopting;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broaden our home control and home automation product offerings;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expand our software and service offerings to deliver a complete managed service platform;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invest in creating technology differentiation across our global product portfolio;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penetration of international subscription broadcasting markets;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share with existing customers;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long-term factory planning strategy of reducing our concentration risk in the People's Republic of China.</w:t>
      </w:r>
    </w:p>
    <w:p>
      <w:pPr>
        <w:spacing w:after="0" w:line="2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Impact</w:t>
      </w:r>
    </w:p>
    <w:p>
      <w:pPr>
        <w:spacing w:after="0" w:line="2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global spread of COVID-19 has been and continues to be a complex and rapidly-evolving situation, with governments, public institutions and other organizations imposing or recommending, and businesses and individuals implementing, at various times and to varying degrees, restrictions on various activities or other actions to combat its spread, such as restrictions and bans on travel or transportation, limitations on the size of gatherings, closures of or occupancy or other operating limitations on ports, work facilities, schools, public buildings and businesses, cancellation of events, including sporting events, conferences and meetings, and quarantines and lockdowns. The COVID-19 pandemic and its consequences have and will continue to impact our business, operations, and financial results. The extent to which the COVID-19 pandemic impacts our business, operations, and financial results, including the duration and magnitude of such effects, will depend on numerous evolving factors that we may not be able to accurately predict or assess, including the duration and scope of the COVID-19 pandemic (including the location and extent of resurgences of the virus, particularly in light of new variants, and the availability of effective treatments or vaccines); and the negative impact the COVID-19 pandemic has on global and regional economies and economic activity, including the duration and magnitude of its impact on unemployment rates, inflation and consumer discretionary spending. Because the severity, magnitude and duration of the COVID-19 pandemic are uncertain, rapidly changing, and difficult to predict, the pandemic's impact on our operations and financial performance, as well as its impact on our ability to successfully execute our business strategy and initiatives, remains uncertain. As the COVID-19 pandemic continues, the full extent of this outbreak and the related governmental, business and travel restrictions in order to contain the COVID-19 pandemic are continuing to evolve globally. Our COVID-19 task force, which includes a cross-functional group of senior-level executives, continues to manage and respond to the ever-changing health and safety requirements across the globe and communicate our responses and recommended course of action to our global factory and office leaders.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continue to maintain safety measures for all our employees across the globe as pandemic conditions require, including implementing work-from-home arrangements, restricting travel except where essential and approved in advance, frequent office and factory sanitation, temperature scans upon entry, hand sanitizer stations located throughout our facilities and offices, mask wearing, social distancing measures in gathering places and restricting visitor access. Further, we continue to monitor and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Local lockdowns near our southern China factory during the last two weeks of the first quarter of 2022 temporarily caused labor shortages that negatively affected our ability to manufacture at full capacity and to meet customer demand. As of the issuance of this report, our southern China factory and our other factories are operating at or near labor capacity.</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anticipate that the global health crisis caused by the COVID-19 pandemic will continue to negatively impact business activity across the globe, including our business. We expect our sales demand to continue to be negatively impacted into, at least, the first half of 2022 given the global reach and economic impact of the COVID-19 pandemic and the various quarantine and social distancing measures put in place to contain the spread of the COVID-19 pandemic. A closure of one of our factories and/or a local lockdown that negatively affects our factory staffing levels for a sustained period of time have impacted and may continue to impact our ability to meet customer demand, in the short run, and would negatively impact our results. We have also seen disruptions in our supply chain, due to difficulty in obtaining ICs and substantial delays in the transportation and the onloading and offloading of our product due to significant congestion and shutdowns at ports throughout the world. This, in turn, causes significant congestion in other downstream transportation, such as via trucks and rail. As such, these congestions have caused and continue to cause difficulty and delays in our ability to fulfill customer orders and have resulted in increased logistics costs.</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will continue to actively monitor these situations and may take further actions altering our business operations as necessary or as required by federal, state, or local authorities. The potential effects of any such alterations or modifications may have a material adverse impact on our business during 2022. Even after the COVID-19 pandemic subsides or effective treatments or vaccines become available, our business, markets, growth prospects and business model could be materially impacted or altered</w:t>
      </w:r>
      <w:r>
        <w:rPr>
          <w:rFonts w:ascii="Arial" w:cs="Arial" w:eastAsia="Arial" w:hAnsi="Arial"/>
          <w:sz w:val="19"/>
          <w:szCs w:val="19"/>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Integrated Circuit Shortage Impact</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continue experiencing difficulty in ordering ICs for future use and that difficulty is expected to continue through at least mid to late 2022. The global shortage of ICs is affecting a multitude of industries and we expect it to continue to affect our business. While we are identifying other sources of ICs and taking other production and inventory control steps in order to mitigate the effects caused by this shortage, we cannot guarantee that we will find alternative sources to meet our short- and longer-term IC needs and/or without experiencing increases in the prices we pay for these components. If we are not able to find alternative sources of ICs or are not able to purchase sufficient quantities of ICs from our current and alternative suppliers, we may not be able to produce sufficient quantities of products to meet our customers' demands. This, in turn, may affect our ability to meet our quarterly revenue targets. Further, we may incur additional freight costs to meet the delivery demands of our customers. In addition, many of our products are paired with certain of our customers' products, like set-top boxes or televisions. If those customers are not able to obtain sufficient quantities of ICs for their products, their demand for our products may decrease.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Impact</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Inflation has adversely affected our business and we expect this to continue through the end of 2022. We have been and expect to continue to be negatively impacted by increased component and logistics costs. While we have been able to increase prices of our products to customers, we may not be able to fully offset the impact of increased material costs which would negatively impact our gross profit. In addition, our cost of labor, materials and borrowing may increase which would negatively impact our business and financial results. Alternatively, deflation may cause a deterioration of global and regional economic conditions which could impact unemployment rates and consumer discretionary spending. These, and other factors that may increase the risk of significant deflation, could negatively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Qinzhou, China Facility</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2021, Reuters published an article indicating that individuals from China's Uyghur minority, originally resident in the PRC region of Xinjiang, were working in a facility in Qinzhou, Guangxi operated by our Chinese subsidiary, Gemstar Technology (Qinzhou) Co. Ltd. ("Gemstar"). The article alleged that the presence of these workers in Guangxi was indicative of "a transfer program described by some rights groups as forced labor." Shortly after publication of the Reuters article, three U.S. Senators heading the U.S. Senate Foreign Affairs Committee (the "Committee") jointly wrote to us seeking information regarding these workers and the terms of their work at our Gemstar factory.</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reviewed and confirmed that Gemstar compensated these individuals for their work at the same rates as workers of other ethnicities who had comparable skills and roles, and at a level that was above the local minimum wage. Although our review did not identify any instances in which individuals were obliged or in any other way forced to work at the Qinzhou facility or were paid less than their promised wage, Gemstar, which engaged these workers through a third-party labor agency, terminated its relationship with that agency, ended its arrangement with these workers, and paid all outstanding wages and severance directly and individually to each of the workers in question. Nonetheless, the perception that we or an entity affiliated with us might have had associations with a program described by some as involving forced labor could result in reputational damage as well as lost revenue. To date, as a result of this perception, one customer has put further business with us on hold. Should additional customers cease doing business with us, the loss of revenue could become material, which would have an adverse effect on our business, results of operations and financial condition. We take all allegations regarding working conditions seriously, and took a cooperative approach to responding to the Committee's letter, cooperated fully with the Committee's inquiry and provided the Committee with timely and complete responses to all of its questions.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impairment of long-lived assets, intangible assets and goodwill and income taxes. Actual results may differ from these judgments and estimates, and they may be adjusted as more information becomes available. Any adjustment may be significant and may have a material impact on our consolidated financial statements.</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2022 to the items that we disclosed as our critical accounting policies and estimates in Item 7, "Management's Discussion and Analysis of Financial Condition and Results of Operations" contained in our Annual Report on Form 10-K for our fiscal year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41"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8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94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2021</w:t>
            </w:r>
          </w:p>
        </w:tc>
      </w:tr>
      <w:tr>
        <w:trPr>
          <w:trHeight w:val="224"/>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69.2</w:t>
            </w: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27.4</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30.8</w:t>
            </w: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5.3</w:t>
            </w: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19.8</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9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5.7</w:t>
            </w:r>
          </w:p>
        </w:tc>
      </w:tr>
      <w:tr>
        <w:trPr>
          <w:trHeight w:val="230"/>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23"/>
        </w:trPr>
        <w:tc>
          <w:tcPr>
            <w:tcW w:w="7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1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r>
      <w:tr>
        <w:trPr>
          <w:trHeight w:val="229"/>
        </w:trPr>
        <w:tc>
          <w:tcPr>
            <w:tcW w:w="848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940" w:type="dxa"/>
            <w:vAlign w:val="bottom"/>
          </w:tcPr>
          <w:p>
            <w:pPr>
              <w:jc w:val="right"/>
              <w:ind w:right="132"/>
              <w:spacing w:after="0"/>
              <w:rPr>
                <w:sz w:val="20"/>
                <w:szCs w:val="20"/>
                <w:color w:val="auto"/>
              </w:rPr>
            </w:pPr>
            <w:r>
              <w:rPr>
                <w:rFonts w:ascii="Arial" w:cs="Arial" w:eastAsia="Arial" w:hAnsi="Arial"/>
                <w:sz w:val="18"/>
                <w:szCs w:val="18"/>
                <w:color w:val="auto"/>
              </w:rPr>
              <w:t>1.0</w:t>
            </w:r>
          </w:p>
        </w:tc>
      </w:tr>
      <w:tr>
        <w:trPr>
          <w:trHeight w:val="248"/>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4"/>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versus Three Months Ended March 31, 2021</w:t>
      </w:r>
    </w:p>
    <w:p>
      <w:pPr>
        <w:spacing w:after="0" w:line="12"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three months ended March 31, 2022 were $132.4 million, a decrease compared to $150.5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2021. Sales in our subscription broadcast channel were lower than the prior year period due primarily to component shortages and lower customer demand. Sales in our HVAC and consumer electronics channels were lower than the prior year period, due to component shortages and COVID-19 related lockdowns in China, which impacted our ability to both manufacture and deliver product. Sales in our retail channel were lower than the prior year period due to the loss of a customer in North America.</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March 31, 2022 was $36.3 million compared to $46.4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Gross profit as a percentage of sales decreased to 27.4% for the three months ended March 31, 2022 from 30.8% for the three months ended March 31, 2021. Gross profit as a percentage of sales was unfavorably impacted by higher material and freight costs and the weakening of the U.S. Dollar versus the Chinese Yuan Renminbi and Mexican Peso. Partially offsetting these unfavorable impacts were price increases and a favorable mix shift toward higher margin revenue streams such as royalties, as a few of the largest consumer electronic companies in the world are embedding our technology in their devices.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remained consistent at $7.8 million for the three months ended March 31, 2022 and $7.9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prior year period.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decreased to $29.0 million for the three months ended March 31, 2022 from</w:t>
      </w:r>
      <w:r>
        <w:rPr>
          <w:rFonts w:ascii="Arial" w:cs="Arial" w:eastAsia="Arial" w:hAnsi="Arial"/>
          <w:sz w:val="18"/>
          <w:szCs w:val="18"/>
          <w:i w:val="1"/>
          <w:iCs w:val="1"/>
          <w:color w:val="auto"/>
        </w:rPr>
        <w:t xml:space="preserve"> </w:t>
      </w:r>
      <w:r>
        <w:rPr>
          <w:rFonts w:ascii="Arial" w:cs="Arial" w:eastAsia="Arial" w:hAnsi="Arial"/>
          <w:sz w:val="18"/>
          <w:szCs w:val="18"/>
          <w:color w:val="auto"/>
        </w:rPr>
        <w:t>$29.8 million for the three months ended March 31, 2021, primarily due to a decrease in incentive compensation.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net increased to $0.3 million for the three months ended March 31, 2022 from $0.1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as a result of a higher average loan balance and a higher interest rate.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net was $0.4 million for the three months ended March 31, 2022 and $23.0 thousand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2021, as a result of net foreign currency gains.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$2.4 million for the three months ended March 31, 2022, relative to pre-tax loss of $0.5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income tax expense of $1.5 million for the three months ended March 31, 2021, representing an effective tax rate of 18.0%. We expect the U.S. to be in a pre-tax loss position without benefit for the full year 2022. In addition, recent legislative changes for research and experimentation costs and creditability of certain foreign income taxes have resulted in a higher than normal effective tax rate.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Cash</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Historically, we have utilized cash provided from operations as our primary source of liquidity, as internally generated cash flows have been sufficient to support our business operations, capital expenditures and discretionary share repurchases. In addition, we have utilized our revolving line of credit to fund an increased level of share repurchases and acquisitions. We anticipate that we will continue to utilize both cash flows from operations and our revolving line of credit to support ongoing business operations, capital expenditures, expenses associated with our long-term factory planning strategy, future discretionary share repurchases and potential future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2022</w:t>
            </w:r>
          </w:p>
        </w:tc>
        <w:tc>
          <w:tcPr>
            <w:tcW w:w="280" w:type="dxa"/>
            <w:vAlign w:val="bottom"/>
          </w:tcPr>
          <w:p>
            <w:pPr>
              <w:spacing w:after="0"/>
              <w:rPr>
                <w:sz w:val="16"/>
                <w:szCs w:val="16"/>
                <w:color w:val="auto"/>
              </w:rPr>
            </w:pPr>
          </w:p>
        </w:tc>
        <w:tc>
          <w:tcPr>
            <w:tcW w:w="182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2021</w:t>
            </w:r>
          </w:p>
        </w:tc>
      </w:tr>
      <w:tr>
        <w:trPr>
          <w:trHeight w:val="229"/>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r>
      <w:tr>
        <w:trPr>
          <w:trHeight w:val="230"/>
        </w:trPr>
        <w:tc>
          <w:tcPr>
            <w:tcW w:w="6920" w:type="dxa"/>
            <w:vAlign w:val="bottom"/>
          </w:tcPr>
          <w:p>
            <w:pPr>
              <w:ind w:left="20"/>
              <w:spacing w:after="0"/>
              <w:rPr>
                <w:sz w:val="20"/>
                <w:szCs w:val="20"/>
                <w:color w:val="auto"/>
              </w:rPr>
            </w:pPr>
            <w:r>
              <w:rPr>
                <w:rFonts w:ascii="Arial" w:cs="Arial" w:eastAsia="Arial" w:hAnsi="Arial"/>
                <w:sz w:val="18"/>
                <w:szCs w:val="18"/>
                <w:color w:val="auto"/>
              </w:rPr>
              <w:t>Available borrowing resources</w:t>
            </w:r>
          </w:p>
        </w:tc>
        <w:tc>
          <w:tcPr>
            <w:tcW w:w="3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37,300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66,300</w:t>
            </w:r>
          </w:p>
        </w:tc>
      </w:tr>
    </w:tbl>
    <w:p>
      <w:pPr>
        <w:spacing w:after="0" w:line="3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Cash, cash equivalents and term deposit </w:t>
      </w:r>
      <w:r>
        <w:rPr>
          <w:rFonts w:ascii="Arial" w:cs="Arial" w:eastAsia="Arial" w:hAnsi="Arial"/>
          <w:sz w:val="17"/>
          <w:szCs w:val="17"/>
          <w:color w:val="auto"/>
        </w:rPr>
        <w:t>– On March 31, 2022, we had $4.9 million, $17.7 million, $10.4 million, $18.0 million and $2.7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of cash and cash equivalents in North America, the PRC, Asia (excluding the PRC), Europe, and South America, respectively. In addition, at March 31, 2022, we had a one-year term deposit of $8.6 million, which will mature on January 25, 2023. We attempt to mitigate our exposure to liquidity, credit and other relevant risks by placing our cash, cash equivalents, and term deposits with financial institutions we believe are high quality.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 xml:space="preserve">Available Borrowing Resources </w:t>
      </w:r>
      <w:r>
        <w:rPr>
          <w:rFonts w:ascii="Arial" w:cs="Arial" w:eastAsia="Arial" w:hAnsi="Arial"/>
          <w:sz w:val="16"/>
          <w:szCs w:val="16"/>
          <w:color w:val="auto"/>
        </w:rPr>
        <w:t>– Our Second Amended and Restated Credit Agreement ("Second Amended Credit Agreement") with U.S. Bank</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Association ("U.S. Bank") provides for a $125.0 million revolving line of credit ("Credit Line") that expires on November 1, 2023.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March 31, 2022. At March 31, 2022, we had an outstanding balance of $85.0 million on our Credit Line and $37.3 million of availability.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 8 contained in the "Notes to Consolidated Financial Statements" for further information regarding our Credit Line.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Uses of Cash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were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4"/>
                <w:szCs w:val="14"/>
                <w:color w:val="auto"/>
              </w:rPr>
            </w:pPr>
          </w:p>
        </w:tc>
        <w:tc>
          <w:tcPr>
            <w:tcW w:w="160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88"/>
        </w:trPr>
        <w:tc>
          <w:tcPr>
            <w:tcW w:w="5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2022</w:t>
            </w:r>
          </w:p>
        </w:tc>
        <w:tc>
          <w:tcPr>
            <w:tcW w:w="340" w:type="dxa"/>
            <w:vAlign w:val="bottom"/>
          </w:tcPr>
          <w:p>
            <w:pPr>
              <w:spacing w:after="0"/>
              <w:rPr>
                <w:sz w:val="16"/>
                <w:szCs w:val="16"/>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6"/>
                <w:szCs w:val="16"/>
                <w:color w:val="auto"/>
              </w:rPr>
            </w:pPr>
          </w:p>
        </w:tc>
        <w:tc>
          <w:tcPr>
            <w:tcW w:w="1600" w:type="dxa"/>
            <w:vAlign w:val="bottom"/>
          </w:tcPr>
          <w:p>
            <w:pPr>
              <w:jc w:val="right"/>
              <w:ind w:right="315"/>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for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(6,729)</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Effect of foreign currency exchange rates on cash and cash equivalents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5740" w:type="dxa"/>
            <w:vAlign w:val="bottom"/>
            <w:gridSpan w:val="2"/>
          </w:tcPr>
          <w:p>
            <w:pPr>
              <w:spacing w:after="0"/>
              <w:rPr>
                <w:rFonts w:ascii="Arial" w:cs="Arial" w:eastAsia="Arial" w:hAnsi="Arial"/>
                <w:sz w:val="14"/>
                <w:szCs w:val="14"/>
                <w:b w:val="1"/>
                <w:bCs w:val="1"/>
                <w:color w:val="0000FF"/>
              </w:rPr>
            </w:pPr>
            <w:hyperlink w:anchor="page37">
              <w:r>
                <w:rPr>
                  <w:rFonts w:ascii="Arial" w:cs="Arial" w:eastAsia="Arial" w:hAnsi="Arial"/>
                  <w:sz w:val="14"/>
                  <w:szCs w:val="14"/>
                  <w:b w:val="1"/>
                  <w:bCs w:val="1"/>
                  <w:color w:val="0000FF"/>
                </w:rPr>
                <w:t>Table of Contents</w:t>
              </w:r>
            </w:hyperlink>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7"/>
        </w:trPr>
        <w:tc>
          <w:tcPr>
            <w:tcW w:w="1080" w:type="dxa"/>
            <w:vAlign w:val="bottom"/>
            <w:tcBorders>
              <w:top w:val="single" w:sz="8" w:color="0000FF"/>
            </w:tcBorders>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Pr>
          <w:p>
            <w:pPr>
              <w:spacing w:after="0"/>
              <w:rPr>
                <w:sz w:val="24"/>
                <w:szCs w:val="2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24"/>
                <w:szCs w:val="24"/>
                <w:color w:val="auto"/>
              </w:rPr>
            </w:pPr>
          </w:p>
        </w:tc>
        <w:tc>
          <w:tcPr>
            <w:tcW w:w="15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60,813</w:t>
            </w:r>
          </w:p>
        </w:tc>
        <w:tc>
          <w:tcPr>
            <w:tcW w:w="0" w:type="dxa"/>
            <w:vAlign w:val="bottom"/>
          </w:tcPr>
          <w:p>
            <w:pPr>
              <w:spacing w:after="0"/>
              <w:rPr>
                <w:sz w:val="1"/>
                <w:szCs w:val="1"/>
                <w:color w:val="auto"/>
              </w:rPr>
            </w:pPr>
          </w:p>
        </w:tc>
      </w:tr>
      <w:tr>
        <w:trPr>
          <w:trHeight w:val="23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115,241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120,359</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Net cash used for operating activities </w:t>
      </w:r>
      <w:r>
        <w:rPr>
          <w:rFonts w:ascii="Arial" w:cs="Arial" w:eastAsia="Arial" w:hAnsi="Arial"/>
          <w:sz w:val="16"/>
          <w:szCs w:val="16"/>
          <w:color w:val="auto"/>
        </w:rPr>
        <w:t>was $18.0 million during the three months ended March 31, 2022 compared to $6.7 million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2021. Net loss was $2.9 million for the three months ended March 31, 2022 compared to net income of $7.0 million for the three months ended March 31, 2021. Changes in accounts receivable and contract assets resulted in cash outflows of $5.1 million during the three months ended March 31, 2022 largely as a result of a increase in days sales outstanding compared to the fourth quarter 2021 offset partially by a decrease in sales. Changes in accounts receivable and contract assets resulted in cash outflows of $10.1 million during the three months ended March 31, 2021 largely as a result of an increase in days sales outstanding compared to the fourth quarter 2020. Days sales outstanding were 88 days at March 31, 2022 compared to 79 days at March 31, 2021. Inventories increased by $4.6 million during the three months ended March 31, 2022 due to efforts to mitigate supply chain issues relating to component shortages and logistics delays compared to a decrease of $1.3 million during the three months ended March 31, 2021. Our inventory turns decreased to 2.8 turns at March 31, 2022 compared to 3.5 turns at March 31, 2021.</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cash flows from operations are expected to be affected by the impacts of the COVID-19 pandemic, specifically relating to logistical issues. For the first half of 2022, we expect component shortages will continue to have an adverse effect on cash flows with some relief beginning to occur in the second half of the year. In addition, we expect to commence manufacturing operations in a new factory in Vietnam in the third quarter of 2022 which, in the short run, may result in manufacturing inefficiencies.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three months ended March 31, 2022 was $11.6 million, of which $7.5 million, $0.9 million, $1.8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$1.4 million was used for our term deposit investment, acquisition of Qterics Inc., capital expenditures, and the development of patents, respectively. Net cash used for investing activities during the three months ended March 31, 2021 was $4.8 million of which $3.7 million and $1.1 million was used for capital expenditures and the development of patents, respectively.</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Future cash flows used for investing activities are largely dependent on the timing and amount of capital expenditures. We estimate that we will incur between $15.0 million and $18.0 million in 2022, which includes amounts associated with our factory in Vietnam, which we anticipate to commence operations in the third quarter of 2022.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$21.6 million during the three months ended March 31, 2022 compared to $10.0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2021. The increase in cash provided by financing activities was driven primarily by borrowing and repayment activity on our line of credit. During the three months ended March 31, 2022, we had net borrowings of $29.0 million compared to net borrowings of $20.0 million during the three months ended March 31, 2021.</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2022, we repurchased 224,638 shares of our common stock at a cost of $7.4 million compared to our repurchase of 190,523 shares at a cost of $11.0 million during the three months ended March 31, 2021.</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will impact our cash flows used for financing activities. See Note 13 contained in "Notes to Consolidated Financial Statements" for further information regarding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Material Cash Commitments </w:t>
      </w:r>
      <w:r>
        <w:rPr>
          <w:rFonts w:ascii="Arial" w:cs="Arial" w:eastAsia="Arial" w:hAnsi="Arial"/>
          <w:sz w:val="18"/>
          <w:szCs w:val="18"/>
          <w:color w:val="auto"/>
        </w:rPr>
        <w:t>– The following table summarizes our material cash commitments and the effect these commitments are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on our cash flows in future periods: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2"/>
              </w:rPr>
              <w:t>Payments Due by Period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940" w:type="dxa"/>
            <w:vAlign w:val="bottom"/>
          </w:tcPr>
          <w:p>
            <w:pPr>
              <w:jc w:val="right"/>
              <w:ind w:right="175"/>
              <w:spacing w:after="0" w:line="135" w:lineRule="exact"/>
              <w:rPr>
                <w:sz w:val="20"/>
                <w:szCs w:val="20"/>
                <w:color w:val="auto"/>
              </w:rPr>
            </w:pPr>
            <w:r>
              <w:rPr>
                <w:rFonts w:ascii="Arial" w:cs="Arial" w:eastAsia="Arial" w:hAnsi="Arial"/>
                <w:sz w:val="14"/>
                <w:szCs w:val="14"/>
                <w:b w:val="1"/>
                <w:bCs w:val="1"/>
                <w:color w:val="auto"/>
              </w:rPr>
              <w:t>Less than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375"/>
              <w:spacing w:after="0" w:line="135"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355"/>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years</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6"/>
                <w:szCs w:val="16"/>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31"/>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4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Property, plant, and equipment purchases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 purchases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 license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material cash commitments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29,246</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meeting our material cash commitments with our cash generated from operations and available borrowing resources, including our Credit 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2021 Annual Report on Form 10-K, or in our other reports filed from time to time with the Securities and Exchange Commission ("SEC")),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impact of the COVID-19 pandemic on our business, results of operations, financial position and liquidity; the impact to our quarterly revenue, margins and operating profits due to our inability to continue to obtain adequate quantities of component parts, including ICs; potential inability to timely deliver products to our customers due to the substantial delays in the transportation and the onloading and offloading of our product resulting from the significant congestion at ports throughout the world and other downstream transportation, such as via trucks and rail;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decision to purchase their products from an alternative or second source supplier, their efforts to refocus their operations to broadband and OTT versus traditional linear video, their failure to grow as we anticipated, their internal inventory control measures, or their loss of market share; the effects of natural or other events beyond our control, including the effects of political unrest, war (including the conflict between Russia and Ukraine)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stock value; and other factors listed from time to time in our press releases and filings with the Securities and Exchange Commission.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$0.6 million annual impact on net income based on our outstanding Credit Line balance at March 31, 2022.</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March 31, 2022, we had wholly-owned subsidiaries in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Euro, British Pound, Mexican Peso, Indian Rupee, Hong Kong Dollar, Brazilian Real, Japanese Yen and Korean Won.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Indian Rupee, Hong Kong Dollar, Japanese Yen and Korean Won and therefore benefit from a stronger U.S. Dollar and are adversely affected by a weaker U.S. Dollar relative to the foreign currency. For the Euro, British Pound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March 31, 2022, we believe that movements in foreign currency rates may have a material effect on our financial position and results of operations. We estimate that if the exchange rates for the Chinese Yuan Renminbi, Euro, British Pound, Mexican Peso, Indian Rupee, Brazilian Real, and Japanese Yen relative to the U.S. Dollar fluctuate 10% from March 31, 2022, net income in the second quarter of 2022 would fluctuate by approximately $8.4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2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12"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reader should carefully consider, in connection with the other information in this report, the risk factors discussed in "Part I, Item 1A: Risk Factors" of the Company's 2021 Annual Report on Form 10-K. These factors may cause our actual results to differ materially from those stated in forward-looking statements contained in this document and elsewhere.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2022, our total stock repurchases, average price paid per share and the maximum number of shares that may yet be purchased on the open market under our plans or programs: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2160" w:type="dxa"/>
            <w:vAlign w:val="bottom"/>
            <w:vMerge w:val="restart"/>
          </w:tcPr>
          <w:p>
            <w:pPr>
              <w:jc w:val="center"/>
              <w:ind w:left="18"/>
              <w:spacing w:after="0"/>
              <w:rPr>
                <w:sz w:val="20"/>
                <w:szCs w:val="20"/>
                <w:color w:val="auto"/>
              </w:rPr>
            </w:pPr>
            <w:r>
              <w:rPr>
                <w:rFonts w:ascii="Arial" w:cs="Arial" w:eastAsia="Arial" w:hAnsi="Arial"/>
                <w:sz w:val="14"/>
                <w:szCs w:val="14"/>
                <w:b w:val="1"/>
                <w:bCs w:val="1"/>
                <w:color w:val="auto"/>
                <w:w w:val="94"/>
              </w:rPr>
              <w:t>Maximum Number of Shares</w:t>
            </w:r>
          </w:p>
        </w:tc>
        <w:tc>
          <w:tcPr>
            <w:tcW w:w="0" w:type="dxa"/>
            <w:vAlign w:val="bottom"/>
          </w:tcPr>
          <w:p>
            <w:pPr>
              <w:spacing w:after="0"/>
              <w:rPr>
                <w:sz w:val="1"/>
                <w:szCs w:val="1"/>
                <w:color w:val="auto"/>
              </w:rPr>
            </w:pPr>
          </w:p>
        </w:tc>
      </w:tr>
      <w:tr>
        <w:trPr>
          <w:trHeight w:val="135"/>
        </w:trPr>
        <w:tc>
          <w:tcPr>
            <w:tcW w:w="4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Average</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Purchased as Part of Publicly</w:t>
            </w: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Price Paid</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2160" w:type="dxa"/>
            <w:vAlign w:val="bottom"/>
          </w:tcPr>
          <w:p>
            <w:pPr>
              <w:jc w:val="center"/>
              <w:ind w:left="38"/>
              <w:spacing w:after="0" w:line="135"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89"/>
        </w:trPr>
        <w:tc>
          <w:tcPr>
            <w:tcW w:w="4180" w:type="dxa"/>
            <w:vAlign w:val="bottom"/>
            <w:gridSpan w:val="2"/>
            <w:vMerge w:val="continue"/>
          </w:tcPr>
          <w:p>
            <w:pPr>
              <w:spacing w:after="0"/>
              <w:rPr>
                <w:sz w:val="16"/>
                <w:szCs w:val="16"/>
                <w:color w:val="auto"/>
              </w:rPr>
            </w:pPr>
          </w:p>
        </w:tc>
        <w:tc>
          <w:tcPr>
            <w:tcW w:w="1440" w:type="dxa"/>
            <w:vAlign w:val="bottom"/>
          </w:tcPr>
          <w:p>
            <w:pPr>
              <w:jc w:val="right"/>
              <w:ind w:right="16"/>
              <w:spacing w:after="0" w:line="189" w:lineRule="exact"/>
              <w:rPr>
                <w:sz w:val="20"/>
                <w:szCs w:val="20"/>
                <w:color w:val="auto"/>
              </w:rPr>
            </w:pPr>
            <w:r>
              <w:rPr>
                <w:rFonts w:ascii="Arial" w:cs="Arial" w:eastAsia="Arial" w:hAnsi="Arial"/>
                <w:sz w:val="14"/>
                <w:szCs w:val="14"/>
                <w:b w:val="1"/>
                <w:bCs w:val="1"/>
                <w:color w:val="auto"/>
                <w:w w:val="93"/>
              </w:rPr>
              <w:t xml:space="preserve">Shares Purchased </w:t>
            </w:r>
            <w:r>
              <w:rPr>
                <w:rFonts w:ascii="Arial" w:cs="Arial" w:eastAsia="Arial" w:hAnsi="Arial"/>
                <w:sz w:val="18"/>
                <w:szCs w:val="18"/>
                <w:b w:val="1"/>
                <w:bCs w:val="1"/>
                <w:color w:val="auto"/>
                <w:w w:val="93"/>
                <w:vertAlign w:val="superscript"/>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per Share</w:t>
            </w:r>
          </w:p>
        </w:tc>
        <w:tc>
          <w:tcPr>
            <w:tcW w:w="18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2160" w:type="dxa"/>
            <w:vAlign w:val="bottom"/>
          </w:tcPr>
          <w:p>
            <w:pPr>
              <w:jc w:val="center"/>
              <w:ind w:left="18"/>
              <w:spacing w:after="0" w:line="189" w:lineRule="exact"/>
              <w:rPr>
                <w:sz w:val="20"/>
                <w:szCs w:val="20"/>
                <w:color w:val="auto"/>
              </w:rPr>
            </w:pPr>
            <w:r>
              <w:rPr>
                <w:rFonts w:ascii="Arial" w:cs="Arial" w:eastAsia="Arial" w:hAnsi="Arial"/>
                <w:sz w:val="14"/>
                <w:szCs w:val="14"/>
                <w:b w:val="1"/>
                <w:bCs w:val="1"/>
                <w:color w:val="auto"/>
                <w:w w:val="91"/>
              </w:rPr>
              <w:t xml:space="preserve">Under the Plans or Programs </w:t>
            </w:r>
            <w:r>
              <w:rPr>
                <w:rFonts w:ascii="Arial" w:cs="Arial" w:eastAsia="Arial" w:hAnsi="Arial"/>
                <w:sz w:val="18"/>
                <w:szCs w:val="18"/>
                <w:b w:val="1"/>
                <w:bCs w:val="1"/>
                <w:color w:val="auto"/>
                <w:w w:val="91"/>
                <w:vertAlign w:val="superscript"/>
              </w:rPr>
              <w:t>(2)</w:t>
            </w:r>
          </w:p>
        </w:tc>
        <w:tc>
          <w:tcPr>
            <w:tcW w:w="0" w:type="dxa"/>
            <w:vAlign w:val="bottom"/>
          </w:tcPr>
          <w:p>
            <w:pPr>
              <w:spacing w:after="0"/>
              <w:rPr>
                <w:sz w:val="1"/>
                <w:szCs w:val="1"/>
                <w:color w:val="auto"/>
              </w:rPr>
            </w:pPr>
          </w:p>
        </w:tc>
      </w:tr>
      <w:tr>
        <w:trPr>
          <w:trHeight w:val="223"/>
        </w:trPr>
        <w:tc>
          <w:tcPr>
            <w:tcW w:w="4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2022 - January 31, 2022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February 1, 2022 - February 28, 2022</w:t>
            </w:r>
          </w:p>
        </w:tc>
        <w:tc>
          <w:tcPr>
            <w:tcW w:w="1440" w:type="dxa"/>
            <w:vAlign w:val="bottom"/>
          </w:tcPr>
          <w:p>
            <w:pPr>
              <w:jc w:val="right"/>
              <w:spacing w:after="0"/>
              <w:rPr>
                <w:sz w:val="20"/>
                <w:szCs w:val="20"/>
                <w:color w:val="auto"/>
              </w:rPr>
            </w:pPr>
            <w:r>
              <w:rPr>
                <w:rFonts w:ascii="Arial" w:cs="Arial" w:eastAsia="Arial" w:hAnsi="Arial"/>
                <w:sz w:val="18"/>
                <w:szCs w:val="18"/>
                <w:color w:val="auto"/>
              </w:rPr>
              <w:t>80,386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32.86</w:t>
            </w: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47,030</w:t>
            </w:r>
          </w:p>
        </w:tc>
        <w:tc>
          <w:tcPr>
            <w:tcW w:w="2160" w:type="dxa"/>
            <w:vAlign w:val="bottom"/>
          </w:tcPr>
          <w:p>
            <w:pPr>
              <w:jc w:val="right"/>
              <w:spacing w:after="0"/>
              <w:rPr>
                <w:sz w:val="20"/>
                <w:szCs w:val="20"/>
                <w:color w:val="auto"/>
              </w:rPr>
            </w:pPr>
            <w:r>
              <w:rPr>
                <w:rFonts w:ascii="Arial" w:cs="Arial" w:eastAsia="Arial" w:hAnsi="Arial"/>
                <w:sz w:val="18"/>
                <w:szCs w:val="18"/>
                <w:color w:val="auto"/>
              </w:rPr>
              <w:t>252,970</w:t>
            </w: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2022 - March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12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127,970</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23"/>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224,638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32.74</w:t>
            </w:r>
          </w:p>
        </w:tc>
        <w:tc>
          <w:tcPr>
            <w:tcW w:w="120" w:type="dxa"/>
            <w:vAlign w:val="bottom"/>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216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60" w:hanging="328"/>
        <w:spacing w:after="0" w:line="251" w:lineRule="auto"/>
        <w:tabs>
          <w:tab w:leader="none" w:pos="64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Of the repurchases in January, February, and March, 1,193, 33,356 and 15,089 shares, respectively, represent common shares of the Company that were owned and tendered by employees to satisfy tax withholding obligations in connection with the vesting of restricted shares.</w:t>
      </w:r>
    </w:p>
    <w:p>
      <w:pPr>
        <w:spacing w:after="0" w:line="1" w:lineRule="exact"/>
        <w:rPr>
          <w:rFonts w:ascii="Arial" w:cs="Arial" w:eastAsia="Arial" w:hAnsi="Arial"/>
          <w:sz w:val="21"/>
          <w:szCs w:val="21"/>
          <w:color w:val="auto"/>
          <w:vertAlign w:val="superscript"/>
        </w:rPr>
      </w:pPr>
    </w:p>
    <w:p>
      <w:pPr>
        <w:jc w:val="both"/>
        <w:ind w:left="660" w:hanging="328"/>
        <w:spacing w:after="0" w:line="256" w:lineRule="auto"/>
        <w:tabs>
          <w:tab w:leader="none" w:pos="648"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On February 10, 2022, our Board approved a new share repurchase program with an effective date of February 22, 2022 (the "February 2022 Program"). Pursuant to the February 2022 Program, we were authorized to repurchase up to 300,000 shares of our common stock until the Program’s expiration on May 5, 2022. Per the terms of the February 2022 Program, we may utilize various methods to effect the repurchases, including open market repurchases, negotiated block transactions, accelerated share repurchases or open market solicitations for shares, some or all of which may be effected through Rule 10b5-1 plans. As of May 2, 2022, we repurchased the full 300,000 shares under the February 2022 Program. The timing and amount of future repurchases, if any, will depend upon several factors, including market and business conditions, and such repurchases may be discontinued at any time.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20" w:type="dxa"/>
            <w:vAlign w:val="bottom"/>
            <w:gridSpan w:val="3"/>
          </w:tcPr>
          <w:p>
            <w:pPr>
              <w:ind w:left="72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31.1</w:t>
            </w:r>
          </w:p>
        </w:tc>
        <w:tc>
          <w:tcPr>
            <w:tcW w:w="940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37">
              <w:r>
                <w:rPr>
                  <w:rFonts w:ascii="Arial" w:cs="Arial" w:eastAsia="Arial" w:hAnsi="Arial"/>
                  <w:sz w:val="18"/>
                  <w:szCs w:val="18"/>
                  <w:color w:val="0000FF"/>
                  <w:w w:val="93"/>
                </w:rPr>
                <w:t>Rule 13a-14(a) Certifications of Paul D. Arling, Chief Executive Officer (principal executive officer) of Universal Electronics Inc.</w:t>
              </w:r>
            </w:hyperlink>
          </w:p>
        </w:tc>
        <w:tc>
          <w:tcPr>
            <w:tcW w:w="280" w:type="dxa"/>
            <w:vAlign w:val="bottom"/>
            <w:gridSpan w:val="2"/>
          </w:tcPr>
          <w:p>
            <w:pPr>
              <w:spacing w:after="0"/>
              <w:rPr>
                <w:sz w:val="24"/>
                <w:szCs w:val="24"/>
                <w:color w:val="auto"/>
              </w:rPr>
            </w:pPr>
          </w:p>
        </w:tc>
      </w:tr>
      <w:tr>
        <w:trPr>
          <w:trHeight w:val="264"/>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9680" w:type="dxa"/>
            <w:vAlign w:val="bottom"/>
            <w:gridSpan w:val="4"/>
          </w:tcPr>
          <w:p>
            <w:pPr>
              <w:spacing w:after="0"/>
              <w:rPr>
                <w:rFonts w:ascii="Arial" w:cs="Arial" w:eastAsia="Arial" w:hAnsi="Arial"/>
                <w:sz w:val="18"/>
                <w:szCs w:val="18"/>
                <w:color w:val="0000FF"/>
                <w:w w:val="96"/>
              </w:rPr>
            </w:pPr>
            <w:hyperlink w:anchor="page38">
              <w:r>
                <w:rPr>
                  <w:rFonts w:ascii="Arial" w:cs="Arial" w:eastAsia="Arial" w:hAnsi="Arial"/>
                  <w:sz w:val="18"/>
                  <w:szCs w:val="18"/>
                  <w:color w:val="0000FF"/>
                  <w:w w:val="96"/>
                </w:rPr>
                <w:t>Rule 13a-14(a) Certifications of Bryan M. Hackworth, Chief Financial Officer (principal financial officer and principal accounting</w:t>
              </w:r>
            </w:hyperlink>
          </w:p>
        </w:tc>
      </w:tr>
      <w:tr>
        <w:trPr>
          <w:trHeight w:val="155"/>
        </w:trPr>
        <w:tc>
          <w:tcPr>
            <w:tcW w:w="1380" w:type="dxa"/>
            <w:vAlign w:val="bottom"/>
          </w:tcPr>
          <w:p>
            <w:pPr>
              <w:spacing w:after="0"/>
              <w:rPr>
                <w:sz w:val="13"/>
                <w:szCs w:val="13"/>
                <w:color w:val="auto"/>
              </w:rPr>
            </w:pPr>
          </w:p>
        </w:tc>
        <w:tc>
          <w:tcPr>
            <w:tcW w:w="26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38">
              <w:r>
                <w:rPr>
                  <w:rFonts w:ascii="Arial" w:cs="Arial" w:eastAsia="Arial" w:hAnsi="Arial"/>
                  <w:sz w:val="18"/>
                  <w:szCs w:val="18"/>
                  <w:color w:val="0000FF"/>
                  <w:w w:val="93"/>
                </w:rPr>
                <w:t>officer) of Universal Electronics Inc.</w:t>
              </w:r>
            </w:hyperlink>
          </w:p>
        </w:tc>
        <w:tc>
          <w:tcPr>
            <w:tcW w:w="70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80" w:lineRule="exact"/>
        <w:rPr>
          <w:sz w:val="20"/>
          <w:szCs w:val="20"/>
          <w:color w:val="auto"/>
        </w:rPr>
      </w:pPr>
    </w:p>
    <w:p>
      <w:pPr>
        <w:jc w:val="both"/>
        <w:ind w:left="1540" w:hanging="1372"/>
        <w:spacing w:after="0" w:line="224" w:lineRule="auto"/>
        <w:tabs>
          <w:tab w:leader="none" w:pos="1540" w:val="left"/>
        </w:tabs>
        <w:numPr>
          <w:ilvl w:val="0"/>
          <w:numId w:val="17"/>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Bryan M. Hackworth, Chief Financial Officer (principal financial officer and principal accounting officer) of Universal Electronics</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Inc., pursuant to 18 U.S.C. Section 1350</w:t>
        </w:r>
      </w:hyperlink>
    </w:p>
    <w:p>
      <w:pPr>
        <w:spacing w:after="0" w:line="55" w:lineRule="exact"/>
        <w:rPr>
          <w:rFonts w:ascii="Arial" w:cs="Arial" w:eastAsia="Arial" w:hAnsi="Arial"/>
          <w:sz w:val="18"/>
          <w:szCs w:val="18"/>
          <w:u w:val="single" w:color="auto"/>
          <w:color w:val="0000FF"/>
        </w:rPr>
      </w:pPr>
    </w:p>
    <w:tbl>
      <w:tblPr>
        <w:tblLayout w:type="fixed"/>
        <w:tblInd w:w="16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Instance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5300" w:type="dxa"/>
            <w:vAlign w:val="bottom"/>
          </w:tcPr>
          <w:p>
            <w:pPr>
              <w:ind w:left="340"/>
              <w:spacing w:after="0"/>
              <w:rPr>
                <w:sz w:val="20"/>
                <w:szCs w:val="20"/>
                <w:color w:val="auto"/>
              </w:rPr>
            </w:pPr>
            <w:r>
              <w:rPr>
                <w:rFonts w:ascii="Arial" w:cs="Arial" w:eastAsia="Arial" w:hAnsi="Arial"/>
                <w:sz w:val="18"/>
                <w:szCs w:val="18"/>
                <w:color w:val="auto"/>
                <w:w w:val="93"/>
              </w:rPr>
              <w:t>Inline XBRL Taxonomy Extension Calculation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5300" w:type="dxa"/>
            <w:vAlign w:val="bottom"/>
          </w:tcPr>
          <w:p>
            <w:pPr>
              <w:ind w:left="340"/>
              <w:spacing w:after="0"/>
              <w:rPr>
                <w:sz w:val="20"/>
                <w:szCs w:val="20"/>
                <w:color w:val="auto"/>
              </w:rPr>
            </w:pPr>
            <w:r>
              <w:rPr>
                <w:rFonts w:ascii="Arial" w:cs="Arial" w:eastAsia="Arial" w:hAnsi="Arial"/>
                <w:sz w:val="18"/>
                <w:szCs w:val="18"/>
                <w:color w:val="auto"/>
                <w:w w:val="96"/>
              </w:rPr>
              <w:t>Inline XBRL Taxonomy Extension Definition Linkbase Document</w:t>
            </w:r>
          </w:p>
        </w:tc>
      </w:tr>
      <w:tr>
        <w:trPr>
          <w:trHeight w:val="283"/>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5300" w:type="dxa"/>
            <w:vAlign w:val="bottom"/>
          </w:tcPr>
          <w:p>
            <w:pPr>
              <w:ind w:left="3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4"/>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5300" w:type="dxa"/>
            <w:vAlign w:val="bottom"/>
          </w:tcPr>
          <w:p>
            <w:pPr>
              <w:ind w:left="340"/>
              <w:spacing w:after="0"/>
              <w:rPr>
                <w:sz w:val="20"/>
                <w:szCs w:val="20"/>
                <w:color w:val="auto"/>
              </w:rPr>
            </w:pPr>
            <w:r>
              <w:rPr>
                <w:rFonts w:ascii="Arial" w:cs="Arial" w:eastAsia="Arial" w:hAnsi="Arial"/>
                <w:sz w:val="18"/>
                <w:szCs w:val="18"/>
                <w:color w:val="auto"/>
                <w:w w:val="91"/>
              </w:rPr>
              <w:t>Inline XBRL Taxonomy Extension Presentation Linkbase Document</w:t>
            </w:r>
          </w:p>
        </w:tc>
      </w:tr>
    </w:tbl>
    <w:p>
      <w:pPr>
        <w:spacing w:after="0" w:line="53" w:lineRule="exact"/>
        <w:rPr>
          <w:rFonts w:ascii="Arial" w:cs="Arial" w:eastAsia="Arial" w:hAnsi="Arial"/>
          <w:sz w:val="18"/>
          <w:szCs w:val="18"/>
          <w:u w:val="single" w:color="auto"/>
          <w:color w:val="0000FF"/>
        </w:rPr>
      </w:pPr>
    </w:p>
    <w:p>
      <w:pPr>
        <w:ind w:left="1540" w:hanging="1372"/>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37">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Arial" w:cs="Arial" w:eastAsia="Arial" w:hAnsi="Arial"/>
                <w:sz w:val="18"/>
                <w:szCs w:val="18"/>
                <w:color w:val="auto"/>
              </w:rPr>
              <w:t>Dated:   May 5, 2022</w:t>
            </w:r>
          </w:p>
        </w:tc>
        <w:tc>
          <w:tcPr>
            <w:tcW w:w="7660" w:type="dxa"/>
            <w:vAlign w:val="bottom"/>
            <w:gridSpan w:val="2"/>
          </w:tcPr>
          <w:p>
            <w:pPr>
              <w:ind w:left="1880"/>
              <w:spacing w:after="0"/>
              <w:rPr>
                <w:sz w:val="20"/>
                <w:szCs w:val="20"/>
                <w:color w:val="auto"/>
              </w:rPr>
            </w:pPr>
            <w:r>
              <w:rPr>
                <w:rFonts w:ascii="Arial" w:cs="Arial" w:eastAsia="Arial" w:hAnsi="Arial"/>
                <w:sz w:val="18"/>
                <w:szCs w:val="18"/>
                <w:b w:val="1"/>
                <w:bCs w:val="1"/>
                <w:color w:val="auto"/>
              </w:rPr>
              <w:t>UNIVERSAL ELECTRONICS INC.</w:t>
            </w:r>
          </w:p>
        </w:tc>
      </w:tr>
      <w:tr>
        <w:trPr>
          <w:trHeight w:val="283"/>
        </w:trPr>
        <w:tc>
          <w:tcPr>
            <w:tcW w:w="3520" w:type="dxa"/>
            <w:vAlign w:val="bottom"/>
          </w:tcPr>
          <w:p>
            <w:pPr>
              <w:spacing w:after="0"/>
              <w:rPr>
                <w:sz w:val="24"/>
                <w:szCs w:val="24"/>
                <w:color w:val="auto"/>
              </w:rPr>
            </w:pPr>
          </w:p>
        </w:tc>
        <w:tc>
          <w:tcPr>
            <w:tcW w:w="2600" w:type="dxa"/>
            <w:vAlign w:val="bottom"/>
          </w:tcPr>
          <w:p>
            <w:pPr>
              <w:ind w:left="188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22"/>
        </w:trPr>
        <w:tc>
          <w:tcPr>
            <w:tcW w:w="3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35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30"/>
        </w:trPr>
        <w:tc>
          <w:tcPr>
            <w:tcW w:w="3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42" w:lineRule="auto"/>
        <w:tabs>
          <w:tab w:leader="none" w:pos="715"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 D. Arling</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jc w:val="both"/>
        <w:ind w:left="340" w:firstLine="154"/>
        <w:spacing w:after="0" w:line="263" w:lineRule="auto"/>
        <w:tabs>
          <w:tab w:leader="none" w:pos="71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73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340" w:firstLine="154"/>
        <w:spacing w:after="0" w:line="308" w:lineRule="auto"/>
        <w:tabs>
          <w:tab w:leader="none" w:pos="746"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340" w:firstLine="154"/>
        <w:spacing w:after="0" w:line="334" w:lineRule="auto"/>
        <w:tabs>
          <w:tab w:leader="none" w:pos="7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48" w:lineRule="exact"/>
        <w:rPr>
          <w:rFonts w:ascii="Arial" w:cs="Arial" w:eastAsia="Arial" w:hAnsi="Arial"/>
          <w:sz w:val="18"/>
          <w:szCs w:val="18"/>
          <w:color w:val="auto"/>
        </w:rPr>
      </w:pPr>
    </w:p>
    <w:p>
      <w:pPr>
        <w:ind w:left="340" w:firstLine="154"/>
        <w:spacing w:after="0" w:line="277" w:lineRule="auto"/>
        <w:tabs>
          <w:tab w:leader="none" w:pos="71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340" w:right="20" w:firstLine="154"/>
        <w:spacing w:after="0" w:line="277" w:lineRule="auto"/>
        <w:tabs>
          <w:tab w:leader="none" w:pos="7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229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Bryan M. Hackworth</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ind w:left="20"/>
        <w:spacing w:after="0" w:line="203" w:lineRule="auto"/>
        <w:rPr>
          <w:sz w:val="20"/>
          <w:szCs w:val="20"/>
          <w:color w:val="auto"/>
        </w:rPr>
      </w:pPr>
      <w:r>
        <w:rPr>
          <w:rFonts w:ascii="Arial" w:cs="Arial" w:eastAsia="Arial" w:hAnsi="Arial"/>
          <w:sz w:val="18"/>
          <w:szCs w:val="18"/>
          <w:color w:val="auto"/>
        </w:rPr>
        <w:t>(principal financial officer</w:t>
      </w:r>
    </w:p>
    <w:p>
      <w:pPr>
        <w:ind w:left="2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89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2022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Dated:   May 5, 2022</w:t>
            </w:r>
          </w:p>
        </w:tc>
        <w:tc>
          <w:tcPr>
            <w:tcW w:w="6280" w:type="dxa"/>
            <w:vAlign w:val="bottom"/>
            <w:gridSpan w:val="2"/>
          </w:tcPr>
          <w:p>
            <w:pPr>
              <w:ind w:left="3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Paul D. Arling</w:t>
            </w:r>
          </w:p>
        </w:tc>
      </w:tr>
      <w:tr>
        <w:trPr>
          <w:trHeight w:val="222"/>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D. Arling</w:t>
            </w:r>
          </w:p>
        </w:tc>
      </w:tr>
      <w:tr>
        <w:trPr>
          <w:trHeight w:val="230"/>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47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99"/>
        </w:trPr>
        <w:tc>
          <w:tcPr>
            <w:tcW w:w="4760" w:type="dxa"/>
            <w:vAlign w:val="bottom"/>
          </w:tcPr>
          <w:p>
            <w:pPr>
              <w:spacing w:after="0"/>
              <w:rPr>
                <w:sz w:val="24"/>
                <w:szCs w:val="24"/>
                <w:color w:val="auto"/>
              </w:rPr>
            </w:pPr>
          </w:p>
        </w:tc>
        <w:tc>
          <w:tcPr>
            <w:tcW w:w="6280" w:type="dxa"/>
            <w:vAlign w:val="bottom"/>
            <w:gridSpan w:val="2"/>
          </w:tcPr>
          <w:p>
            <w:pPr>
              <w:ind w:left="31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Bryan M. Hackworth</w:t>
            </w:r>
          </w:p>
        </w:tc>
      </w:tr>
      <w:tr>
        <w:trPr>
          <w:trHeight w:val="222"/>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Bryan M. Hackworth</w:t>
            </w:r>
          </w:p>
        </w:tc>
      </w:tr>
      <w:tr>
        <w:trPr>
          <w:trHeight w:val="229"/>
        </w:trPr>
        <w:tc>
          <w:tcPr>
            <w:tcW w:w="47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176"/>
        </w:trPr>
        <w:tc>
          <w:tcPr>
            <w:tcW w:w="4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00" w:type="dxa"/>
            <w:vAlign w:val="bottom"/>
          </w:tcPr>
          <w:p>
            <w:pPr>
              <w:ind w:left="20"/>
              <w:spacing w:after="0" w:line="176" w:lineRule="exact"/>
              <w:rPr>
                <w:sz w:val="20"/>
                <w:szCs w:val="20"/>
                <w:color w:val="auto"/>
              </w:rPr>
            </w:pPr>
            <w:r>
              <w:rPr>
                <w:rFonts w:ascii="Arial" w:cs="Arial" w:eastAsia="Arial" w:hAnsi="Arial"/>
                <w:sz w:val="18"/>
                <w:szCs w:val="18"/>
                <w:color w:val="auto"/>
              </w:rPr>
              <w:t>(principal financial officer and</w:t>
            </w:r>
          </w:p>
        </w:tc>
      </w:tr>
      <w:tr>
        <w:trPr>
          <w:trHeight w:val="230"/>
        </w:trPr>
        <w:tc>
          <w:tcPr>
            <w:tcW w:w="47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32"/>
    </w:lvl>
  </w:abstractNum>
  <w:abstractNum w:abstractNumId="17">
    <w:nsid w:val="7C83E458"/>
    <w:multiLevelType w:val="hybridMultilevel"/>
    <w:lvl w:ilvl="0">
      <w:lvlJc w:val="left"/>
      <w:lvlText w:val="%1"/>
      <w:numFmt w:val="decimal"/>
      <w:start w:val="104"/>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2022-05-06T05:47:26Z</dcterms:created>
  <dcterms:modified xsi:type="dcterms:W3CDTF">2022-05-06T05:47:26Z</dcterms:modified>
</cp:coreProperties>
</file>