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9" w:lineRule="exact"/>
        <w:rPr>
          <w:sz w:val="24"/>
          <w:szCs w:val="24"/>
          <w:color w:val="auto"/>
        </w:rPr>
      </w:pPr>
    </w:p>
    <w:p>
      <w:pPr>
        <w:ind w:left="700" w:right="100" w:hanging="674"/>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June 30, 2023</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25" w:lineRule="exact"/>
        <w:rPr>
          <w:sz w:val="24"/>
          <w:szCs w:val="24"/>
          <w:color w:val="auto"/>
        </w:rPr>
      </w:pPr>
    </w:p>
    <w:p>
      <w:pPr>
        <w:ind w:left="700" w:right="80" w:hanging="674"/>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0-21044</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2320" w:type="dxa"/>
        <w:tblCellMar>
          <w:top w:w="0" w:type="dxa"/>
          <w:left w:w="0" w:type="dxa"/>
          <w:bottom w:w="0" w:type="dxa"/>
          <w:right w:w="0" w:type="dxa"/>
        </w:tblCellMar>
      </w:tblPr>
      <w:tr>
        <w:trPr>
          <w:trHeight w:val="256"/>
        </w:trPr>
        <w:tc>
          <w:tcPr>
            <w:tcW w:w="3600" w:type="dxa"/>
            <w:vAlign w:val="bottom"/>
          </w:tcPr>
          <w:p>
            <w:pPr>
              <w:jc w:val="center"/>
              <w:ind w:right="1107"/>
              <w:spacing w:after="0"/>
              <w:rPr>
                <w:sz w:val="20"/>
                <w:szCs w:val="20"/>
                <w:color w:val="auto"/>
              </w:rPr>
            </w:pPr>
            <w:r>
              <w:rPr>
                <w:rFonts w:ascii="Arial" w:cs="Arial" w:eastAsia="Arial" w:hAnsi="Arial"/>
                <w:sz w:val="20"/>
                <w:szCs w:val="20"/>
                <w:b w:val="1"/>
                <w:bCs w:val="1"/>
                <w:color w:val="auto"/>
                <w:w w:val="91"/>
              </w:rPr>
              <w:t>Delaware</w:t>
            </w:r>
          </w:p>
        </w:tc>
        <w:tc>
          <w:tcPr>
            <w:tcW w:w="2580" w:type="dxa"/>
            <w:vAlign w:val="bottom"/>
          </w:tcPr>
          <w:p>
            <w:pPr>
              <w:jc w:val="center"/>
              <w:ind w:left="1087"/>
              <w:spacing w:after="0"/>
              <w:rPr>
                <w:sz w:val="20"/>
                <w:szCs w:val="20"/>
                <w:color w:val="auto"/>
              </w:rPr>
            </w:pPr>
            <w:r>
              <w:rPr>
                <w:rFonts w:ascii="Arial" w:cs="Arial" w:eastAsia="Arial" w:hAnsi="Arial"/>
                <w:sz w:val="20"/>
                <w:szCs w:val="20"/>
                <w:b w:val="1"/>
                <w:bCs w:val="1"/>
                <w:color w:val="auto"/>
                <w:w w:val="89"/>
              </w:rPr>
              <w:t>33-0204817</w:t>
            </w:r>
          </w:p>
        </w:tc>
      </w:tr>
      <w:tr>
        <w:trPr>
          <w:trHeight w:val="185"/>
        </w:trPr>
        <w:tc>
          <w:tcPr>
            <w:tcW w:w="3600" w:type="dxa"/>
            <w:vAlign w:val="bottom"/>
          </w:tcPr>
          <w:p>
            <w:pPr>
              <w:jc w:val="center"/>
              <w:ind w:right="1107"/>
              <w:spacing w:after="0" w:line="185" w:lineRule="exact"/>
              <w:rPr>
                <w:sz w:val="20"/>
                <w:szCs w:val="20"/>
                <w:color w:val="auto"/>
              </w:rPr>
            </w:pPr>
            <w:r>
              <w:rPr>
                <w:rFonts w:ascii="Arial" w:cs="Arial" w:eastAsia="Arial" w:hAnsi="Arial"/>
                <w:sz w:val="18"/>
                <w:szCs w:val="18"/>
                <w:b w:val="1"/>
                <w:bCs w:val="1"/>
                <w:color w:val="auto"/>
                <w:w w:val="90"/>
              </w:rPr>
              <w:t>(State or Other Jurisdiction of</w:t>
            </w:r>
          </w:p>
        </w:tc>
        <w:tc>
          <w:tcPr>
            <w:tcW w:w="2580" w:type="dxa"/>
            <w:vAlign w:val="bottom"/>
          </w:tcPr>
          <w:p>
            <w:pPr>
              <w:jc w:val="center"/>
              <w:ind w:left="110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107"/>
              <w:spacing w:after="0"/>
              <w:rPr>
                <w:sz w:val="20"/>
                <w:szCs w:val="20"/>
                <w:color w:val="auto"/>
              </w:rPr>
            </w:pPr>
            <w:r>
              <w:rPr>
                <w:rFonts w:ascii="Arial" w:cs="Arial" w:eastAsia="Arial" w:hAnsi="Arial"/>
                <w:sz w:val="18"/>
                <w:szCs w:val="18"/>
                <w:b w:val="1"/>
                <w:bCs w:val="1"/>
                <w:color w:val="auto"/>
                <w:w w:val="92"/>
              </w:rPr>
              <w:t>Incorporation or Organization)</w:t>
            </w:r>
          </w:p>
        </w:tc>
        <w:tc>
          <w:tcPr>
            <w:tcW w:w="2580" w:type="dxa"/>
            <w:vAlign w:val="bottom"/>
          </w:tcPr>
          <w:p>
            <w:pPr>
              <w:jc w:val="center"/>
              <w:ind w:left="1087"/>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2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6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40"/>
        <w:spacing w:after="0" w:line="20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12,908,715 shares of Common Stock, par value $0.01 per share, of the registrant were outstanding on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0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 FINANCIAL INFORMATION</w:t>
            </w:r>
          </w:p>
        </w:tc>
        <w:tc>
          <w:tcPr>
            <w:tcW w:w="5580" w:type="dxa"/>
            <w:vAlign w:val="bottom"/>
            <w:gridSpan w:val="8"/>
          </w:tcPr>
          <w:p>
            <w:pPr>
              <w:spacing w:after="0"/>
              <w:rPr>
                <w:sz w:val="18"/>
                <w:szCs w:val="18"/>
                <w:color w:val="auto"/>
              </w:rPr>
            </w:pPr>
          </w:p>
        </w:tc>
        <w:tc>
          <w:tcPr>
            <w:tcW w:w="20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4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Item 1. Consolidated Financial Statements (Unaudited)</w:t>
            </w:r>
          </w:p>
        </w:tc>
        <w:tc>
          <w:tcPr>
            <w:tcW w:w="4660" w:type="dxa"/>
            <w:vAlign w:val="bottom"/>
            <w:gridSpan w:val="4"/>
          </w:tcPr>
          <w:p>
            <w:pPr>
              <w:spacing w:after="0"/>
              <w:rPr>
                <w:sz w:val="19"/>
                <w:szCs w:val="19"/>
                <w:color w:val="auto"/>
              </w:rPr>
            </w:pPr>
          </w:p>
        </w:tc>
        <w:tc>
          <w:tcPr>
            <w:tcW w:w="206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4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Consolidated Balance Sheets</w:t>
            </w:r>
          </w:p>
        </w:tc>
        <w:tc>
          <w:tcPr>
            <w:tcW w:w="6340" w:type="dxa"/>
            <w:vAlign w:val="bottom"/>
            <w:gridSpan w:val="12"/>
          </w:tcPr>
          <w:p>
            <w:pPr>
              <w:spacing w:after="0"/>
              <w:rPr>
                <w:sz w:val="18"/>
                <w:szCs w:val="18"/>
                <w:color w:val="auto"/>
              </w:rPr>
            </w:pPr>
          </w:p>
        </w:tc>
        <w:tc>
          <w:tcPr>
            <w:tcW w:w="20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4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0000FF"/>
              </w:rPr>
              <w:t>Consolidated Statements of Operations</w:t>
            </w:r>
          </w:p>
        </w:tc>
        <w:tc>
          <w:tcPr>
            <w:tcW w:w="2160" w:type="dxa"/>
            <w:vAlign w:val="bottom"/>
            <w:gridSpan w:val="4"/>
          </w:tcPr>
          <w:p>
            <w:pPr>
              <w:jc w:val="right"/>
              <w:spacing w:after="0"/>
              <w:rPr>
                <w:sz w:val="20"/>
                <w:szCs w:val="20"/>
                <w:color w:val="auto"/>
              </w:rPr>
            </w:pPr>
            <w:r>
              <w:rPr>
                <w:rFonts w:ascii="Arial" w:cs="Arial" w:eastAsia="Arial" w:hAnsi="Arial"/>
                <w:sz w:val="18"/>
                <w:szCs w:val="18"/>
                <w:color w:val="0000FF"/>
              </w:rPr>
              <w:t>4</w:t>
            </w: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Comprehensive Income (Loss) Statements</w:t>
            </w:r>
          </w:p>
        </w:tc>
        <w:tc>
          <w:tcPr>
            <w:tcW w:w="4380" w:type="dxa"/>
            <w:vAlign w:val="bottom"/>
            <w:gridSpan w:val="3"/>
          </w:tcPr>
          <w:p>
            <w:pPr>
              <w:spacing w:after="0"/>
              <w:rPr>
                <w:sz w:val="19"/>
                <w:szCs w:val="19"/>
                <w:color w:val="auto"/>
              </w:rPr>
            </w:pPr>
          </w:p>
        </w:tc>
        <w:tc>
          <w:tcPr>
            <w:tcW w:w="206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4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0000FF"/>
              </w:rPr>
              <w:t>Consolidated Statements of Stockholders' Equity</w:t>
            </w:r>
          </w:p>
        </w:tc>
        <w:tc>
          <w:tcPr>
            <w:tcW w:w="2160" w:type="dxa"/>
            <w:vAlign w:val="bottom"/>
            <w:gridSpan w:val="4"/>
          </w:tcPr>
          <w:p>
            <w:pPr>
              <w:jc w:val="right"/>
              <w:spacing w:after="0"/>
              <w:rPr>
                <w:sz w:val="20"/>
                <w:szCs w:val="20"/>
                <w:color w:val="auto"/>
              </w:rPr>
            </w:pPr>
            <w:r>
              <w:rPr>
                <w:rFonts w:ascii="Arial" w:cs="Arial" w:eastAsia="Arial" w:hAnsi="Arial"/>
                <w:sz w:val="18"/>
                <w:szCs w:val="18"/>
                <w:color w:val="0000FF"/>
              </w:rPr>
              <w:t>6</w:t>
            </w:r>
          </w:p>
        </w:tc>
        <w:tc>
          <w:tcPr>
            <w:tcW w:w="4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89"/>
              </w:rPr>
              <w:t>Consolidated Statements of Cash Flows</w:t>
            </w:r>
          </w:p>
        </w:tc>
        <w:tc>
          <w:tcPr>
            <w:tcW w:w="640" w:type="dxa"/>
            <w:vAlign w:val="bottom"/>
            <w:tcBorders>
              <w:top w:val="single" w:sz="8" w:color="0000FF"/>
            </w:tcBorders>
            <w:gridSpan w:val="2"/>
          </w:tcPr>
          <w:p>
            <w:pPr>
              <w:spacing w:after="0"/>
              <w:rPr>
                <w:sz w:val="18"/>
                <w:szCs w:val="18"/>
                <w:color w:val="auto"/>
              </w:rPr>
            </w:pPr>
          </w:p>
        </w:tc>
        <w:tc>
          <w:tcPr>
            <w:tcW w:w="4920" w:type="dxa"/>
            <w:vAlign w:val="bottom"/>
            <w:gridSpan w:val="5"/>
          </w:tcPr>
          <w:p>
            <w:pPr>
              <w:spacing w:after="0"/>
              <w:rPr>
                <w:sz w:val="18"/>
                <w:szCs w:val="18"/>
                <w:color w:val="auto"/>
              </w:rPr>
            </w:pPr>
          </w:p>
        </w:tc>
        <w:tc>
          <w:tcPr>
            <w:tcW w:w="2060" w:type="dxa"/>
            <w:vAlign w:val="bottom"/>
            <w:gridSpan w:val="3"/>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4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280" w:type="dxa"/>
            <w:vAlign w:val="bottom"/>
            <w:gridSpan w:val="6"/>
          </w:tcPr>
          <w:p>
            <w:pPr>
              <w:spacing w:after="0"/>
              <w:rPr>
                <w:sz w:val="19"/>
                <w:szCs w:val="19"/>
                <w:color w:val="auto"/>
              </w:rPr>
            </w:pPr>
          </w:p>
        </w:tc>
        <w:tc>
          <w:tcPr>
            <w:tcW w:w="206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4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640" w:type="dxa"/>
            <w:vAlign w:val="bottom"/>
            <w:gridSpan w:val="18"/>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25</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660" w:type="dxa"/>
            <w:vAlign w:val="bottom"/>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16"/>
          </w:tcPr>
          <w:p>
            <w:pPr>
              <w:spacing w:after="0"/>
              <w:rPr>
                <w:sz w:val="20"/>
                <w:szCs w:val="20"/>
                <w:color w:val="auto"/>
              </w:rPr>
            </w:pPr>
            <w:r>
              <w:rPr>
                <w:rFonts w:ascii="Arial" w:cs="Arial" w:eastAsia="Arial" w:hAnsi="Arial"/>
                <w:sz w:val="18"/>
                <w:szCs w:val="18"/>
                <w:color w:val="0000FF"/>
              </w:rPr>
              <w:t>Item 4. Controls and Procedures</w:t>
            </w:r>
          </w:p>
        </w:tc>
        <w:tc>
          <w:tcPr>
            <w:tcW w:w="3740" w:type="dxa"/>
            <w:vAlign w:val="bottom"/>
            <w:gridSpan w:val="2"/>
          </w:tcPr>
          <w:p>
            <w:pPr>
              <w:spacing w:after="0"/>
              <w:rPr>
                <w:sz w:val="19"/>
                <w:szCs w:val="19"/>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33</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gridSpan w:val="18"/>
          </w:tcPr>
          <w:p>
            <w:pPr>
              <w:spacing w:after="0"/>
              <w:rPr>
                <w:sz w:val="20"/>
                <w:szCs w:val="20"/>
                <w:color w:val="auto"/>
              </w:rPr>
            </w:pPr>
            <w:r>
              <w:rPr>
                <w:rFonts w:ascii="Arial" w:cs="Arial" w:eastAsia="Arial" w:hAnsi="Arial"/>
                <w:sz w:val="18"/>
                <w:szCs w:val="18"/>
                <w:b w:val="1"/>
                <w:bCs w:val="1"/>
                <w:color w:val="0000FF"/>
              </w:rPr>
              <w:t>PART II. OTHER INFORMATION</w:t>
            </w: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0000FF"/>
                <w:w w:val="87"/>
              </w:rPr>
              <w:t>Item 1. Legal Proceedings</w:t>
            </w:r>
          </w:p>
        </w:tc>
        <w:tc>
          <w:tcPr>
            <w:tcW w:w="880" w:type="dxa"/>
            <w:vAlign w:val="bottom"/>
            <w:gridSpan w:val="3"/>
          </w:tcPr>
          <w:p>
            <w:pPr>
              <w:spacing w:after="0"/>
              <w:rPr>
                <w:sz w:val="18"/>
                <w:szCs w:val="18"/>
                <w:color w:val="auto"/>
              </w:rPr>
            </w:pPr>
          </w:p>
        </w:tc>
        <w:tc>
          <w:tcPr>
            <w:tcW w:w="5880" w:type="dxa"/>
            <w:vAlign w:val="bottom"/>
            <w:gridSpan w:val="10"/>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0000FF"/>
                <w:w w:val="91"/>
              </w:rPr>
              <w:t>Item 1A. Risk Factors</w:t>
            </w:r>
          </w:p>
        </w:tc>
        <w:tc>
          <w:tcPr>
            <w:tcW w:w="280" w:type="dxa"/>
            <w:vAlign w:val="bottom"/>
          </w:tcPr>
          <w:p>
            <w:pPr>
              <w:spacing w:after="0"/>
              <w:rPr>
                <w:sz w:val="19"/>
                <w:szCs w:val="19"/>
                <w:color w:val="auto"/>
              </w:rPr>
            </w:pPr>
          </w:p>
        </w:tc>
        <w:tc>
          <w:tcPr>
            <w:tcW w:w="6760" w:type="dxa"/>
            <w:vAlign w:val="bottom"/>
            <w:gridSpan w:val="13"/>
          </w:tcPr>
          <w:p>
            <w:pPr>
              <w:spacing w:after="0"/>
              <w:rPr>
                <w:sz w:val="19"/>
                <w:szCs w:val="19"/>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18"/>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0000FF"/>
                <w:w w:val="91"/>
              </w:rPr>
              <w:t>Item 5. Other Information</w:t>
            </w:r>
          </w:p>
        </w:tc>
        <w:tc>
          <w:tcPr>
            <w:tcW w:w="3020" w:type="dxa"/>
            <w:vAlign w:val="bottom"/>
            <w:gridSpan w:val="11"/>
          </w:tcPr>
          <w:p>
            <w:pPr>
              <w:spacing w:after="0"/>
              <w:rPr>
                <w:sz w:val="18"/>
                <w:szCs w:val="18"/>
                <w:color w:val="auto"/>
              </w:rPr>
            </w:pPr>
          </w:p>
        </w:tc>
        <w:tc>
          <w:tcPr>
            <w:tcW w:w="3740" w:type="dxa"/>
            <w:vAlign w:val="bottom"/>
            <w:gridSpan w:val="2"/>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0000FF"/>
              </w:rPr>
              <w:t>Item 6. Exhibits</w:t>
            </w:r>
          </w:p>
        </w:tc>
        <w:tc>
          <w:tcPr>
            <w:tcW w:w="6760" w:type="dxa"/>
            <w:vAlign w:val="bottom"/>
            <w:gridSpan w:val="13"/>
          </w:tcPr>
          <w:p>
            <w:pPr>
              <w:spacing w:after="0"/>
              <w:rPr>
                <w:sz w:val="19"/>
                <w:szCs w:val="19"/>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80" w:type="dxa"/>
            <w:vAlign w:val="bottom"/>
            <w:gridSpan w:val="1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7480" w:type="dxa"/>
            <w:vAlign w:val="bottom"/>
            <w:gridSpan w:val="15"/>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0000FF"/>
              </w:rPr>
              <w:t>36</w:t>
            </w: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104,767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112,346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105,858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140,181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338,040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62,791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49,085</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25,446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24,470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12"/>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391,941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504,163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71,373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88,000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6,477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216,473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235,757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1"/>
              </w:rPr>
              <w:t>Common stock, $0.01 par value, 50,000,000 shares authorized; 25,254,230 and 24,999,951 shares issued on</w:t>
            </w:r>
          </w:p>
        </w:tc>
        <w:tc>
          <w:tcPr>
            <w:tcW w:w="2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2023 and December 31, 2022, respectively</w:t>
            </w:r>
          </w:p>
        </w:tc>
        <w:tc>
          <w:tcPr>
            <w:tcW w:w="2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332,259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326,839</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Treasury stock, at cost, 12,353,278 and 12,295,305 shares on June 30, 2023 and December 31, 2022,</w:t>
            </w:r>
          </w:p>
        </w:tc>
        <w:tc>
          <w:tcPr>
            <w:tcW w:w="2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(369,049)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(368,194)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(22,388)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(21,187)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330,698</w:t>
            </w:r>
          </w:p>
        </w:tc>
        <w:tc>
          <w:tcPr>
            <w:tcW w:w="0" w:type="dxa"/>
            <w:vAlign w:val="bottom"/>
          </w:tcPr>
          <w:p>
            <w:pPr>
              <w:spacing w:after="0"/>
              <w:rPr>
                <w:sz w:val="1"/>
                <w:szCs w:val="1"/>
                <w:color w:val="auto"/>
              </w:rPr>
            </w:pPr>
          </w:p>
        </w:tc>
      </w:tr>
      <w:tr>
        <w:trPr>
          <w:trHeight w:val="207"/>
        </w:trPr>
        <w:tc>
          <w:tcPr>
            <w:tcW w:w="74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199,999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268,406</w:t>
            </w:r>
          </w:p>
        </w:tc>
        <w:tc>
          <w:tcPr>
            <w:tcW w:w="0" w:type="dxa"/>
            <w:vAlign w:val="bottom"/>
          </w:tcPr>
          <w:p>
            <w:pPr>
              <w:spacing w:after="0"/>
              <w:rPr>
                <w:sz w:val="1"/>
                <w:szCs w:val="1"/>
                <w:color w:val="auto"/>
              </w:rPr>
            </w:pPr>
          </w:p>
        </w:tc>
      </w:tr>
      <w:tr>
        <w:trPr>
          <w:trHeight w:val="23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391,941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107,391</w:t>
            </w:r>
          </w:p>
        </w:tc>
        <w:tc>
          <w:tcPr>
            <w:tcW w:w="1120" w:type="dxa"/>
            <w:vAlign w:val="bottom"/>
            <w:gridSpan w:val="2"/>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139,101</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215,768</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271,511</w:t>
            </w: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82,774</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99,730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166,458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195,872</w:t>
            </w: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75,639</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8,484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8,637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16,443</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54,260</w:t>
            </w: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49,075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auto"/>
                <w:w w:val="98"/>
              </w:rPr>
              <w:t>Income (loss) before provision for (benefit from) income taxes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(10,931)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4,620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(71,644)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4,123</w:t>
            </w:r>
          </w:p>
        </w:tc>
      </w:tr>
      <w:tr>
        <w:trPr>
          <w:trHeight w:val="21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(10,411)</w:t>
            </w:r>
          </w:p>
        </w:tc>
        <w:tc>
          <w:tcPr>
            <w:tcW w:w="1120" w:type="dxa"/>
            <w:vAlign w:val="bottom"/>
            <w:gridSpan w:val="2"/>
          </w:tcPr>
          <w:p>
            <w:pPr>
              <w:jc w:val="right"/>
              <w:ind w:right="8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2,988</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(71,774)</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4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0"/>
        </w:trPr>
        <w:tc>
          <w:tcPr>
            <w:tcW w:w="432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(0.81)</w:t>
            </w:r>
          </w:p>
        </w:tc>
        <w:tc>
          <w:tcPr>
            <w:tcW w:w="1120" w:type="dxa"/>
            <w:vAlign w:val="bottom"/>
            <w:gridSpan w:val="2"/>
          </w:tcPr>
          <w:p>
            <w:pPr>
              <w:jc w:val="right"/>
              <w:ind w:right="8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0.23</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(5.61)</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computing earnings (loss) per share:</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6"/>
                <w:szCs w:val="16"/>
                <w:color w:val="auto"/>
              </w:rPr>
              <w:t>Basic</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12,860</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12,736</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5"/>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12,715</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w w:val="89"/>
              </w:rPr>
              <w:t>2,988</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61"/>
              <w:spacing w:after="0"/>
              <w:rPr>
                <w:sz w:val="20"/>
                <w:szCs w:val="20"/>
                <w:color w:val="auto"/>
              </w:rPr>
            </w:pPr>
            <w:r>
              <w:rPr>
                <w:rFonts w:ascii="Arial" w:cs="Arial" w:eastAsia="Arial" w:hAnsi="Arial"/>
                <w:sz w:val="16"/>
                <w:szCs w:val="16"/>
                <w:color w:val="auto"/>
                <w:w w:val="90"/>
              </w:rPr>
              <w:t>(7,313)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(13,528)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center"/>
              <w:ind w:left="661"/>
              <w:spacing w:after="0"/>
              <w:rPr>
                <w:sz w:val="20"/>
                <w:szCs w:val="20"/>
                <w:color w:val="auto"/>
              </w:rPr>
            </w:pPr>
            <w:r>
              <w:rPr>
                <w:rFonts w:ascii="Arial" w:cs="Arial" w:eastAsia="Arial" w:hAnsi="Arial"/>
                <w:sz w:val="16"/>
                <w:szCs w:val="16"/>
                <w:color w:val="auto"/>
                <w:w w:val="90"/>
              </w:rPr>
              <w:t>(4,325)</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(72,975)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(5,386)</w:t>
            </w:r>
          </w:p>
        </w:tc>
      </w:tr>
      <w:tr>
        <w:trPr>
          <w:trHeight w:val="21"/>
        </w:trPr>
        <w:tc>
          <w:tcPr>
            <w:tcW w:w="4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six months ended June 30,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60" w:type="dxa"/>
            <w:vAlign w:val="bottom"/>
            <w:gridSpan w:val="4"/>
            <w:vMerge w:val="restart"/>
          </w:tcPr>
          <w:p>
            <w:pPr>
              <w:jc w:val="right"/>
              <w:ind w:right="34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760" w:type="dxa"/>
            <w:vAlign w:val="bottom"/>
            <w:gridSpan w:val="4"/>
            <w:vMerge w:val="restart"/>
          </w:tcPr>
          <w:p>
            <w:pPr>
              <w:jc w:val="right"/>
              <w:ind w:right="34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center"/>
              <w:ind w:right="22"/>
              <w:spacing w:after="0" w:line="13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gridSpan w:val="4"/>
            <w:vMerge w:val="restart"/>
          </w:tcPr>
          <w:p>
            <w:pPr>
              <w:jc w:val="right"/>
              <w:ind w:right="461"/>
              <w:spacing w:after="0"/>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540" w:type="dxa"/>
            <w:vAlign w:val="bottom"/>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0"/>
                <w:szCs w:val="10"/>
                <w:color w:val="auto"/>
              </w:rPr>
            </w:pPr>
          </w:p>
        </w:tc>
        <w:tc>
          <w:tcPr>
            <w:tcW w:w="11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5"/>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(368,194)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330,698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268,406</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w w:val="93"/>
              </w:rPr>
              <w:t>(61,363)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(61,363)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166"/>
        </w:trPr>
        <w:tc>
          <w:tcPr>
            <w:tcW w:w="354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25,197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(12,348)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(369,006)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329,729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w w:val="96"/>
              </w:rPr>
              <w:t>269,335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211,039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(10,411)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(10,411)</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169"/>
        </w:trPr>
        <w:tc>
          <w:tcPr>
            <w:tcW w:w="3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Arial" w:cs="Arial" w:eastAsia="Arial" w:hAnsi="Arial"/>
                <w:sz w:val="16"/>
                <w:szCs w:val="16"/>
                <w:color w:val="auto"/>
                <w:w w:val="98"/>
              </w:rPr>
              <w:t>Employee and director stock-based compensation</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25,254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(369,049)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258,924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199,999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six months ended June 30, 2022:</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78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restart"/>
          </w:tcPr>
          <w:p>
            <w:pPr>
              <w:jc w:val="center"/>
              <w:ind w:right="2"/>
              <w:spacing w:after="0" w:line="14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520" w:type="dxa"/>
            <w:vAlign w:val="bottom"/>
          </w:tcPr>
          <w:p>
            <w:pPr>
              <w:spacing w:after="0"/>
              <w:rPr>
                <w:sz w:val="7"/>
                <w:szCs w:val="7"/>
                <w:color w:val="auto"/>
              </w:rPr>
            </w:pPr>
          </w:p>
        </w:tc>
        <w:tc>
          <w:tcPr>
            <w:tcW w:w="1100" w:type="dxa"/>
            <w:vAlign w:val="bottom"/>
            <w:gridSpan w:val="3"/>
            <w:vMerge w:val="restart"/>
          </w:tcPr>
          <w:p>
            <w:pPr>
              <w:jc w:val="center"/>
              <w:ind w:left="602"/>
              <w:spacing w:after="0"/>
              <w:rPr>
                <w:sz w:val="20"/>
                <w:szCs w:val="20"/>
                <w:color w:val="auto"/>
              </w:rPr>
            </w:pPr>
            <w:r>
              <w:rPr>
                <w:rFonts w:ascii="Arial" w:cs="Arial" w:eastAsia="Arial" w:hAnsi="Arial"/>
                <w:sz w:val="14"/>
                <w:szCs w:val="14"/>
                <w:b w:val="1"/>
                <w:bCs w:val="1"/>
                <w:color w:val="auto"/>
                <w:w w:val="85"/>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5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restart"/>
          </w:tcPr>
          <w:p>
            <w:pPr>
              <w:jc w:val="right"/>
              <w:ind w:right="143"/>
              <w:spacing w:after="0" w:line="11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8"/>
                <w:szCs w:val="8"/>
                <w:color w:val="auto"/>
              </w:rPr>
            </w:pPr>
          </w:p>
        </w:tc>
        <w:tc>
          <w:tcPr>
            <w:tcW w:w="1080" w:type="dxa"/>
            <w:vAlign w:val="bottom"/>
            <w:gridSpan w:val="2"/>
            <w:vMerge w:val="restart"/>
          </w:tcPr>
          <w:p>
            <w:pPr>
              <w:jc w:val="center"/>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8"/>
                <w:szCs w:val="8"/>
                <w:color w:val="auto"/>
              </w:rPr>
            </w:pPr>
          </w:p>
        </w:tc>
        <w:tc>
          <w:tcPr>
            <w:tcW w:w="860" w:type="dxa"/>
            <w:vAlign w:val="bottom"/>
            <w:vMerge w:val="restart"/>
          </w:tcPr>
          <w:p>
            <w:pPr>
              <w:jc w:val="right"/>
              <w:ind w:right="91"/>
              <w:spacing w:after="0" w:line="115"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82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60" w:type="dxa"/>
            <w:vAlign w:val="bottom"/>
          </w:tcPr>
          <w:p>
            <w:pPr>
              <w:jc w:val="right"/>
              <w:ind w:right="143"/>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(355,159)</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  314,094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330,291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(2,910)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166"/>
        </w:trPr>
        <w:tc>
          <w:tcPr>
            <w:tcW w:w="35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Employee and director stock-based compensation</w:t>
            </w: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820" w:type="dxa"/>
            <w:vAlign w:val="bottom"/>
          </w:tcPr>
          <w:p>
            <w:pPr>
              <w:jc w:val="right"/>
              <w:spacing w:after="0"/>
              <w:rPr>
                <w:sz w:val="20"/>
                <w:szCs w:val="20"/>
                <w:color w:val="auto"/>
              </w:rPr>
            </w:pPr>
            <w:r>
              <w:rPr>
                <w:rFonts w:ascii="Arial" w:cs="Arial" w:eastAsia="Arial" w:hAnsi="Arial"/>
                <w:sz w:val="16"/>
                <w:szCs w:val="16"/>
                <w:color w:val="auto"/>
              </w:rPr>
              <w:t>24,831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(12,086)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(362,513)</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316,916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327,381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270,357</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(7,313)</w:t>
            </w: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(3,857)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8"/>
              </w:rPr>
              <w:t>Employee and director stock-based compensation</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(366,370)</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319,854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330,369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265,114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(71,774)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12,155</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1,227</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5,136</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Impairment of goodwill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Impairment of long-term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(5,195)</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(16,287)</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1,329</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(15,001)</w:t>
            </w:r>
          </w:p>
        </w:tc>
      </w:tr>
      <w:tr>
        <w:trPr>
          <w:trHeight w:val="216"/>
        </w:trPr>
        <w:tc>
          <w:tcPr>
            <w:tcW w:w="8260" w:type="dxa"/>
            <w:vAlign w:val="bottom"/>
          </w:tcPr>
          <w:p>
            <w:pPr>
              <w:ind w:left="1200"/>
              <w:spacing w:after="0"/>
              <w:rPr>
                <w:sz w:val="20"/>
                <w:szCs w:val="20"/>
                <w:color w:val="auto"/>
              </w:rPr>
            </w:pPr>
            <w:r>
              <w:rPr>
                <w:rFonts w:ascii="Arial" w:cs="Arial" w:eastAsia="Arial" w:hAnsi="Arial"/>
                <w:sz w:val="16"/>
                <w:szCs w:val="16"/>
                <w:color w:val="auto"/>
              </w:rPr>
              <w:t>Accrued income taxes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r>
      <w:tr>
        <w:trPr>
          <w:trHeight w:val="209"/>
        </w:trPr>
        <w:tc>
          <w:tcPr>
            <w:tcW w:w="8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(used for)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(17,084)</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term deposit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 of net assets of Qterics, Inc.</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r>
      <w:tr>
        <w:trPr>
          <w:trHeight w:val="216"/>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intangible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w:t>
            </w:r>
          </w:p>
        </w:tc>
      </w:tr>
      <w:tr>
        <w:trPr>
          <w:trHeight w:val="210"/>
        </w:trPr>
        <w:tc>
          <w:tcPr>
            <w:tcW w:w="8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(used for) 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under line of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Repayments on line of credit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purchased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(11,211)</w:t>
            </w:r>
          </w:p>
        </w:tc>
      </w:tr>
      <w:tr>
        <w:trPr>
          <w:trHeight w:val="207"/>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financing activities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(13,855)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20,789</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(14,683)</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66,740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60,813</w:t>
            </w:r>
          </w:p>
        </w:tc>
      </w:tr>
      <w:tr>
        <w:trPr>
          <w:trHeight w:val="212"/>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55,823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46,130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3,843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623</w:t>
            </w: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2023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2022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Term Deposit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15,633</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13,042</w:t>
            </w:r>
          </w:p>
        </w:tc>
      </w:tr>
      <w:tr>
        <w:trPr>
          <w:trHeight w:val="22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r>
      <w:tr>
        <w:trPr>
          <w:trHeight w:val="236"/>
        </w:trPr>
        <w:tc>
          <w:tcPr>
            <w:tcW w:w="76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55,823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66,740</w:t>
            </w:r>
          </w:p>
        </w:tc>
      </w:tr>
      <w:tr>
        <w:trPr>
          <w:trHeight w:val="21"/>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we entered into an $8.6 million, one-year term deposit cash account with Banco Santander (Brasil) S.A., denominated in Brazilian Real. The term deposit earned interest at a variable annual rate based upon the Brazilian CDI overnight interbank rate. As of December 31, 2022, all of this term deposit was redeemed.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and Accounts Receivable,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pattern of revenue recognition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5"/>
          </w:tcPr>
          <w:p>
            <w:pPr>
              <w:jc w:val="right"/>
              <w:ind w:right="7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118,355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166,053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227,441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28,019</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20,746</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107,391</w:t>
            </w:r>
          </w:p>
        </w:tc>
        <w:tc>
          <w:tcPr>
            <w:tcW w:w="10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139,101</w:t>
            </w:r>
          </w:p>
        </w:tc>
        <w:tc>
          <w:tcPr>
            <w:tcW w:w="110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215,768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66,562</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83,464</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19,302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34,322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46,402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67,386</w:t>
            </w: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46,069</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49,024</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17,904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22,616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30,032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41,908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w:t>
            </w:r>
          </w:p>
        </w:tc>
        <w:tc>
          <w:tcPr>
            <w:tcW w:w="0" w:type="dxa"/>
            <w:vAlign w:val="bottom"/>
          </w:tcPr>
          <w:p>
            <w:pPr>
              <w:spacing w:after="0"/>
              <w:rPr>
                <w:sz w:val="1"/>
                <w:szCs w:val="1"/>
                <w:color w:val="auto"/>
              </w:rPr>
            </w:pPr>
          </w:p>
        </w:tc>
      </w:tr>
      <w:tr>
        <w:trPr>
          <w:trHeight w:val="254"/>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107,391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139,101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215,768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271,511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95"/>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3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117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(thousands)</w:t>
            </w:r>
          </w:p>
        </w:tc>
        <w:tc>
          <w:tcPr>
            <w:tcW w:w="1320" w:type="dxa"/>
            <w:vAlign w:val="bottom"/>
          </w:tcPr>
          <w:p>
            <w:pPr>
              <w:jc w:val="center"/>
              <w:ind w:right="107"/>
              <w:spacing w:after="0"/>
              <w:rPr>
                <w:sz w:val="20"/>
                <w:szCs w:val="20"/>
                <w:color w:val="auto"/>
              </w:rPr>
            </w:pPr>
            <w:r>
              <w:rPr>
                <w:rFonts w:ascii="Arial" w:cs="Arial" w:eastAsia="Arial" w:hAnsi="Arial"/>
                <w:sz w:val="14"/>
                <w:szCs w:val="14"/>
                <w:b w:val="1"/>
                <w:bCs w:val="1"/>
                <w:color w:val="auto"/>
                <w:w w:val="93"/>
              </w:rPr>
              <w:t>% of Net Sales</w:t>
            </w:r>
          </w:p>
        </w:tc>
        <w:tc>
          <w:tcPr>
            <w:tcW w:w="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96"/>
              <w:spacing w:after="0"/>
              <w:rPr>
                <w:sz w:val="20"/>
                <w:szCs w:val="20"/>
                <w:color w:val="auto"/>
              </w:rPr>
            </w:pPr>
            <w:r>
              <w:rPr>
                <w:rFonts w:ascii="Arial" w:cs="Arial" w:eastAsia="Arial" w:hAnsi="Arial"/>
                <w:sz w:val="14"/>
                <w:szCs w:val="14"/>
                <w:b w:val="1"/>
                <w:bCs w:val="1"/>
                <w:color w:val="auto"/>
                <w:w w:val="87"/>
              </w:rPr>
              <w:t>(thousands)</w:t>
            </w:r>
          </w:p>
        </w:tc>
        <w:tc>
          <w:tcPr>
            <w:tcW w:w="320" w:type="dxa"/>
            <w:vAlign w:val="bottom"/>
          </w:tcPr>
          <w:p>
            <w:pPr>
              <w:spacing w:after="0"/>
              <w:rPr>
                <w:sz w:val="17"/>
                <w:szCs w:val="17"/>
                <w:color w:val="auto"/>
              </w:rPr>
            </w:pP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 Sales</w:t>
            </w:r>
          </w:p>
        </w:tc>
      </w:tr>
      <w:tr>
        <w:trPr>
          <w:trHeight w:val="23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2"/>
                <w:szCs w:val="12"/>
                <w:color w:val="auto"/>
              </w:rPr>
              <w:t>(1)</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2"/>
                <w:szCs w:val="12"/>
                <w:color w:val="auto"/>
              </w:rPr>
              <w:t>(1)</w:t>
            </w:r>
          </w:p>
        </w:tc>
        <w:tc>
          <w:tcPr>
            <w:tcW w:w="3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3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
              <w:spacing w:after="0"/>
              <w:rPr>
                <w:sz w:val="20"/>
                <w:szCs w:val="20"/>
                <w:color w:val="auto"/>
              </w:rPr>
            </w:pPr>
            <w:r>
              <w:rPr>
                <w:rFonts w:ascii="Arial" w:cs="Arial" w:eastAsia="Arial" w:hAnsi="Arial"/>
                <w:sz w:val="18"/>
                <w:szCs w:val="18"/>
                <w:color w:val="auto"/>
              </w:rPr>
              <w:t>13,540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12.6 %</w:t>
            </w:r>
          </w:p>
        </w:tc>
        <w:tc>
          <w:tcPr>
            <w:tcW w:w="6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20,875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320" w:type="dxa"/>
            <w:vAlign w:val="bottom"/>
          </w:tcPr>
          <w:p>
            <w:pPr>
              <w:spacing w:after="0"/>
              <w:rPr>
                <w:sz w:val="20"/>
                <w:szCs w:val="20"/>
                <w:color w:val="auto"/>
              </w:rPr>
            </w:pPr>
          </w:p>
        </w:tc>
      </w:tr>
    </w:tbl>
    <w:p>
      <w:pPr>
        <w:spacing w:after="0" w:line="153" w:lineRule="exact"/>
        <w:rPr>
          <w:sz w:val="20"/>
          <w:szCs w:val="20"/>
          <w:color w:val="auto"/>
        </w:rPr>
      </w:pPr>
    </w:p>
    <w:p>
      <w:pPr>
        <w:ind w:left="580" w:hanging="248"/>
        <w:spacing w:after="0"/>
        <w:tabs>
          <w:tab w:leader="none" w:pos="58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Net sales associated with this customer did not total more than 10% of our net sales for the indicated period.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95"/>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3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117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(thousands)</w:t>
            </w: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tcPr>
          <w:p>
            <w:pPr>
              <w:spacing w:after="0"/>
              <w:rPr>
                <w:sz w:val="17"/>
                <w:szCs w:val="17"/>
                <w:color w:val="auto"/>
              </w:rPr>
            </w:pP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 Sales</w:t>
            </w:r>
          </w:p>
        </w:tc>
      </w:tr>
      <w:tr>
        <w:trPr>
          <w:trHeight w:val="23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24,416</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2"/>
              </w:rPr>
              <w:t>11.3 %</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3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33,207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w w:val="92"/>
              </w:rPr>
              <w:t>15.4 %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38,016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95" w:lineRule="exact"/>
        <w:rPr>
          <w:sz w:val="20"/>
          <w:szCs w:val="20"/>
          <w:color w:val="auto"/>
        </w:rPr>
      </w:pPr>
    </w:p>
    <w:p>
      <w:pPr>
        <w:ind w:left="20"/>
        <w:spacing w:after="0"/>
        <w:tabs>
          <w:tab w:leader="none" w:pos="8040" w:val="left"/>
          <w:tab w:leader="none" w:pos="976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2"/>
          <w:szCs w:val="12"/>
          <w:b w:val="1"/>
          <w:bCs w:val="1"/>
          <w:color w:val="auto"/>
        </w:rPr>
        <w:t>December 31, 2022</w:t>
      </w:r>
    </w:p>
    <w:p>
      <w:pPr>
        <w:sectPr>
          <w:pgSz w:w="11900" w:h="16838" w:orient="portrait"/>
          <w:cols w:equalWidth="0" w:num="1">
            <w:col w:w="11240"/>
          </w:cols>
          <w:pgMar w:left="320" w:top="118"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receivables, gross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Allowance for credit losses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Allowance for sales returns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99,706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108,030</w:t>
            </w:r>
          </w:p>
        </w:tc>
      </w:tr>
      <w:tr>
        <w:trPr>
          <w:trHeight w:val="229"/>
        </w:trPr>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30"/>
        </w:trPr>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-445135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-145415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6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98,516</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106,455</w:t>
            </w:r>
          </w:p>
        </w:tc>
      </w:tr>
      <w:tr>
        <w:trPr>
          <w:trHeight w:val="230"/>
        </w:trPr>
        <w:tc>
          <w:tcPr>
            <w:tcW w:w="760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r>
      <w:tr>
        <w:trPr>
          <w:trHeight w:val="236"/>
        </w:trPr>
        <w:tc>
          <w:tcPr>
            <w:tcW w:w="76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104,767</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112,346</w:t>
            </w:r>
          </w:p>
        </w:tc>
      </w:tr>
      <w:tr>
        <w:trPr>
          <w:trHeight w:val="21"/>
        </w:trPr>
        <w:tc>
          <w:tcPr>
            <w:tcW w:w="7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Other accounts receivable is primarily comprised of value added tax and supplier rebate receivables.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this significant customer that totaled more than 10% of our accounts receivable, net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9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(thousands)</w:t>
            </w:r>
          </w:p>
        </w:tc>
        <w:tc>
          <w:tcPr>
            <w:tcW w:w="12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 (thousands)</w:t>
            </w:r>
          </w:p>
        </w:tc>
        <w:tc>
          <w:tcPr>
            <w:tcW w:w="12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 of Accounts</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5"/>
        </w:trPr>
        <w:tc>
          <w:tcPr>
            <w:tcW w:w="4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420" w:type="dxa"/>
            <w:vAlign w:val="bottom"/>
            <w:shd w:val="clear" w:color="auto" w:fill="CCEEFF"/>
          </w:tcPr>
          <w:p>
            <w:pPr>
              <w:jc w:val="right"/>
              <w:ind w:right="573"/>
              <w:spacing w:after="0"/>
              <w:rPr>
                <w:sz w:val="20"/>
                <w:szCs w:val="20"/>
                <w:color w:val="auto"/>
              </w:rPr>
            </w:pPr>
            <w:r>
              <w:rPr>
                <w:rFonts w:ascii="Arial" w:cs="Arial" w:eastAsia="Arial" w:hAnsi="Arial"/>
                <w:sz w:val="12"/>
                <w:szCs w:val="12"/>
                <w:color w:val="auto"/>
              </w:rPr>
              <w:t>(1)</w:t>
            </w:r>
          </w:p>
        </w:tc>
        <w:tc>
          <w:tcPr>
            <w:tcW w:w="1540" w:type="dxa"/>
            <w:vAlign w:val="bottom"/>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95"/>
              </w:rPr>
              <w:t>(1)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20" w:hanging="188"/>
        <w:spacing w:after="0"/>
        <w:tabs>
          <w:tab w:leader="none" w:pos="5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25,226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4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53,580</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inventory purchases: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6"/>
          </w:tcPr>
          <w:p>
            <w:pPr>
              <w:jc w:val="right"/>
              <w:ind w:right="419"/>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1308"/>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1304"/>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w w:val="98"/>
              </w:rPr>
              <w:t>$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 of Total Inventory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 of Total Inventory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6"/>
          </w:tcPr>
          <w:p>
            <w:pPr>
              <w:jc w:val="right"/>
              <w:ind w:right="459"/>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1288"/>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1304"/>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 of Total Inventory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7"/>
              <w:spacing w:after="0"/>
              <w:rPr>
                <w:sz w:val="20"/>
                <w:szCs w:val="20"/>
                <w:color w:val="auto"/>
              </w:rPr>
            </w:pPr>
            <w:r>
              <w:rPr>
                <w:rFonts w:ascii="Arial" w:cs="Arial" w:eastAsia="Arial" w:hAnsi="Arial"/>
                <w:sz w:val="12"/>
                <w:szCs w:val="12"/>
                <w:color w:val="auto"/>
              </w:rPr>
              <w:t>(1)</w:t>
            </w:r>
          </w:p>
        </w:tc>
        <w:tc>
          <w:tcPr>
            <w:tcW w:w="1680" w:type="dxa"/>
            <w:vAlign w:val="bottom"/>
            <w:gridSpan w:val="5"/>
            <w:shd w:val="clear" w:color="auto" w:fill="CCEEFF"/>
          </w:tcPr>
          <w:p>
            <w:pPr>
              <w:jc w:val="center"/>
              <w:ind w:left="193"/>
              <w:spacing w:after="0"/>
              <w:rPr>
                <w:sz w:val="20"/>
                <w:szCs w:val="20"/>
                <w:color w:val="auto"/>
              </w:rPr>
            </w:pPr>
            <w:r>
              <w:rPr>
                <w:rFonts w:ascii="Arial" w:cs="Arial" w:eastAsia="Arial" w:hAnsi="Arial"/>
                <w:sz w:val="12"/>
                <w:szCs w:val="12"/>
                <w:color w:val="auto"/>
                <w:w w:val="95"/>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60" w:type="dxa"/>
            <w:vAlign w:val="bottom"/>
            <w:gridSpan w:val="2"/>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from suppliers that totaled more than 10% of our total accounts payable at June 30, 2023 and December 31, 2022.</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37,648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42,893</w:t>
            </w:r>
          </w:p>
        </w:tc>
      </w:tr>
      <w:tr>
        <w:trPr>
          <w:trHeight w:val="23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Vietnam</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6,923</w:t>
            </w: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36"/>
        </w:trPr>
        <w:tc>
          <w:tcPr>
            <w:tcW w:w="7600" w:type="dxa"/>
            <w:vAlign w:val="bottom"/>
          </w:tcPr>
          <w:p>
            <w:pPr>
              <w:ind w:left="360"/>
              <w:spacing w:after="0"/>
              <w:rPr>
                <w:sz w:val="20"/>
                <w:szCs w:val="20"/>
                <w:color w:val="auto"/>
              </w:rPr>
            </w:pPr>
            <w:r>
              <w:rPr>
                <w:rFonts w:ascii="Arial" w:cs="Arial" w:eastAsia="Arial" w:hAnsi="Arial"/>
                <w:sz w:val="18"/>
                <w:szCs w:val="18"/>
                <w:color w:val="auto"/>
              </w:rPr>
              <w:t>Total long-lived tangible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78,548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84,390</w:t>
            </w:r>
          </w:p>
        </w:tc>
      </w:tr>
      <w:tr>
        <w:trPr>
          <w:trHeight w:val="21"/>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$170.0 million and $170.5 million at June 30, 2023 and December 31, 2022,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$4.8 million and $5.1 million for the three months ended June 30, 2023 and 2022, respectively. Depreciation expense was $9.4 million and $10.2 million for the six months ended June 30, 2023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including forecasted revenue growth, margins, capital expenditures, depreciation and amortization. In addition to our valuation analysis under an income approach, we also considered the implied control premium compared to our market capitalization.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determined that the implied control premium over our market capitalization to be substantial; therefore, we recorded an impairment charge of $49.1 million during the six months ended June 30,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effects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080" w:type="dxa"/>
            <w:vAlign w:val="bottom"/>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20" w:type="dxa"/>
            <w:vAlign w:val="bottom"/>
            <w:gridSpan w:val="3"/>
          </w:tcPr>
          <w:p>
            <w:pPr>
              <w:spacing w:after="0"/>
              <w:rPr>
                <w:sz w:val="20"/>
                <w:szCs w:val="20"/>
                <w:color w:val="auto"/>
              </w:rPr>
            </w:pPr>
            <w:r>
              <w:rPr>
                <w:rFonts w:ascii="Arial" w:cs="Arial" w:eastAsia="Arial" w:hAnsi="Arial"/>
                <w:sz w:val="18"/>
                <w:szCs w:val="18"/>
                <w:color w:val="auto"/>
                <w:w w:val="93"/>
              </w:rPr>
              <w:t>The components of intangible assets, net were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June 30, 2023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55"/>
              <w:spacing w:after="0" w:line="136"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0"/>
              <w:spacing w:after="0" w:line="136"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0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 xml:space="preserve">Amortization </w:t>
            </w:r>
            <w:r>
              <w:rPr>
                <w:rFonts w:ascii="Arial" w:cs="Arial" w:eastAsia="Arial" w:hAnsi="Arial"/>
                <w:sz w:val="18"/>
                <w:szCs w:val="18"/>
                <w:b w:val="1"/>
                <w:bCs w:val="1"/>
                <w:color w:val="auto"/>
                <w:w w:val="94"/>
                <w:vertAlign w:val="superscript"/>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Capitalized software development costs</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 years)</w:t>
            </w:r>
          </w:p>
        </w:tc>
        <w:tc>
          <w:tcPr>
            <w:tcW w:w="2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(10-15 years)</w:t>
            </w: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years)</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 (10 years)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(10 years)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Trademarks and trade names</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 years)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27"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$44.1 million and $43.7 million at June 30, 2023 and December 31, 2022, respectively.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0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18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tcPr>
          <w:p>
            <w:pPr>
              <w:jc w:val="center"/>
              <w:ind w:left="1391"/>
              <w:spacing w:after="0"/>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780" w:type="dxa"/>
            <w:vAlign w:val="bottom"/>
          </w:tcPr>
          <w:p>
            <w:pPr>
              <w:jc w:val="center"/>
              <w:ind w:left="1391"/>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780" w:type="dxa"/>
            <w:vAlign w:val="bottom"/>
          </w:tcPr>
          <w:p>
            <w:pPr>
              <w:jc w:val="center"/>
              <w:ind w:left="1391"/>
              <w:spacing w:after="0"/>
              <w:rPr>
                <w:sz w:val="20"/>
                <w:szCs w:val="20"/>
                <w:color w:val="auto"/>
              </w:rPr>
            </w:pPr>
            <w:r>
              <w:rPr>
                <w:rFonts w:ascii="Arial" w:cs="Arial" w:eastAsia="Arial" w:hAnsi="Arial"/>
                <w:sz w:val="18"/>
                <w:szCs w:val="18"/>
                <w:b w:val="1"/>
                <w:bCs w:val="1"/>
                <w:color w:val="auto"/>
                <w:w w:val="92"/>
              </w:rPr>
              <w:t>JUNE 30, 2023</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9780" w:type="dxa"/>
            <w:vAlign w:val="bottom"/>
          </w:tcPr>
          <w:p>
            <w:pPr>
              <w:jc w:val="center"/>
              <w:ind w:left="1371"/>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34"/>
        </w:trPr>
        <w:tc>
          <w:tcPr>
            <w:tcW w:w="9780" w:type="dxa"/>
            <w:vAlign w:val="bottom"/>
          </w:tcPr>
          <w:p>
            <w:pPr>
              <w:spacing w:after="0"/>
              <w:rPr>
                <w:sz w:val="20"/>
                <w:szCs w:val="20"/>
                <w:color w:val="auto"/>
              </w:rPr>
            </w:pPr>
            <w:r>
              <w:rPr>
                <w:rFonts w:ascii="Arial" w:cs="Arial" w:eastAsia="Arial" w:hAnsi="Arial"/>
                <w:sz w:val="18"/>
                <w:szCs w:val="18"/>
                <w:color w:val="auto"/>
              </w:rPr>
              <w:t>Estimated future annual amortization expense related to our intangible assets at June 30, 2023, was as follows: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8"/>
        </w:trPr>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6 months)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4,910</w:t>
            </w:r>
          </w:p>
        </w:tc>
      </w:tr>
      <w:tr>
        <w:trPr>
          <w:trHeight w:val="24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3,464</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r>
      <w:tr>
        <w:trPr>
          <w:trHeight w:val="23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r>
      <w:tr>
        <w:trPr>
          <w:trHeight w:val="254"/>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June 30, 2023, our operating leases had remaining lease terms of up to 37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December 31, 2022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20,327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21,599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30"/>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r>
      <w:tr>
        <w:trPr>
          <w:trHeight w:val="236"/>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19,363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20,536</w:t>
            </w:r>
          </w:p>
        </w:tc>
      </w:tr>
      <w:tr>
        <w:trPr>
          <w:trHeight w:val="20"/>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6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lease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56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1,746</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8"/>
              <w:spacing w:after="0" w:line="203" w:lineRule="exact"/>
              <w:rPr>
                <w:sz w:val="20"/>
                <w:szCs w:val="20"/>
                <w:color w:val="auto"/>
              </w:rPr>
            </w:pPr>
            <w:r>
              <w:rPr>
                <w:rFonts w:ascii="Arial" w:cs="Arial" w:eastAsia="Arial" w:hAnsi="Arial"/>
                <w:sz w:val="18"/>
                <w:szCs w:val="18"/>
                <w:color w:val="auto"/>
              </w:rPr>
              <w:t>1,781</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rPr>
              <w:t>3,577</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5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Operating lease right-of-use assets obtained in exchange for</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vMerge w:val="restart"/>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255</w:t>
            </w:r>
          </w:p>
        </w:tc>
        <w:tc>
          <w:tcPr>
            <w:tcW w:w="120" w:type="dxa"/>
            <w:vAlign w:val="bottom"/>
            <w:vMerge w:val="restart"/>
            <w:shd w:val="clear" w:color="auto" w:fill="CCEEFF"/>
          </w:tcPr>
          <w:p>
            <w:pPr>
              <w:spacing w:after="0"/>
              <w:rPr>
                <w:sz w:val="12"/>
                <w:szCs w:val="12"/>
                <w:color w:val="auto"/>
              </w:rPr>
            </w:pPr>
          </w:p>
        </w:tc>
        <w:tc>
          <w:tcPr>
            <w:tcW w:w="62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1,960</w:t>
            </w:r>
          </w:p>
        </w:tc>
        <w:tc>
          <w:tcPr>
            <w:tcW w:w="120" w:type="dxa"/>
            <w:vAlign w:val="bottom"/>
            <w:vMerge w:val="restart"/>
            <w:shd w:val="clear" w:color="auto" w:fill="CCEEFF"/>
          </w:tcPr>
          <w:p>
            <w:pPr>
              <w:spacing w:after="0"/>
              <w:rPr>
                <w:sz w:val="12"/>
                <w:szCs w:val="12"/>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840" w:type="dxa"/>
            <w:vAlign w:val="bottom"/>
            <w:gridSpan w:val="8"/>
          </w:tcPr>
          <w:p>
            <w:pPr>
              <w:spacing w:after="0"/>
              <w:rPr>
                <w:sz w:val="20"/>
                <w:szCs w:val="20"/>
                <w:color w:val="auto"/>
              </w:rPr>
            </w:pPr>
            <w:r>
              <w:rPr>
                <w:rFonts w:ascii="Arial" w:cs="Arial" w:eastAsia="Arial" w:hAnsi="Arial"/>
                <w:sz w:val="18"/>
                <w:szCs w:val="18"/>
                <w:color w:val="auto"/>
                <w:w w:val="90"/>
              </w:rPr>
              <w:t>The weighted average remaining lease liability term and the weighted average discount rate were as follows: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46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4.13 %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3.82 %</w:t>
            </w:r>
          </w:p>
        </w:tc>
        <w:tc>
          <w:tcPr>
            <w:tcW w:w="0" w:type="dxa"/>
            <w:vAlign w:val="bottom"/>
          </w:tcPr>
          <w:p>
            <w:pPr>
              <w:spacing w:after="0"/>
              <w:rPr>
                <w:sz w:val="1"/>
                <w:szCs w:val="1"/>
                <w:color w:val="auto"/>
              </w:rPr>
            </w:pPr>
          </w:p>
        </w:tc>
      </w:tr>
      <w:tr>
        <w:trPr>
          <w:trHeight w:val="904"/>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June 30, 2023.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June 30, 2023</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6 months)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5,613</w:t>
            </w:r>
          </w:p>
        </w:tc>
      </w:tr>
      <w:tr>
        <w:trPr>
          <w:trHeight w:val="24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r>
      <w:tr>
        <w:trPr>
          <w:trHeight w:val="243"/>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r>
      <w:tr>
        <w:trPr>
          <w:trHeight w:val="223"/>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r>
      <w:tr>
        <w:trPr>
          <w:trHeight w:val="262"/>
        </w:trPr>
        <w:tc>
          <w:tcPr>
            <w:tcW w:w="9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we did not have any operating leases that had not yet commenced.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3, 2023, we executed an amendment to our Second Amended and Restated Credit Agreement ("Second Amended Credit Agreement") with U.S. Bank National Association ("U.S. Bank"), which provides for a $125.0 million revolving line of credit ("Credit Line"). Among other things, the amendment to the Second Amended Credit Agreement extended the maturity of the revolving line of credit to April 30, 2024.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June 30, 2023 and December 31, 2022.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Second Amended Credit Agreement, we may elect to pay interest on the Credit Line based on the Secured Overnight Financing Rate ("SOFR") plus an applicable margin (varying from 2.00% to 2.75%), or base rate (based on the prime rate of U.S. Bank or as otherwise specified in the Second Amended Credit Agreement) plus an applicable margin (varying from 0.00% to 0.75%). The applicable margins are calculated quarterly and vary based on our cash flow leverage ratio as set forth in the Second Amended Credit Agreement. The interest rates in effect at June 30, 2023 and December 31, 2022 were 7.80% and 5.62%, respectively. There are no commitment fees or unused line fees under the Second Amended Credit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From May 3, 2023 to March 31, 2024 (unless we elect to terminate earlier), our fixed charge coverage ratio and cash flow leverage ratio-based covenants are temporarily replaced with EBITDA-based covenants. Additionally, from May 3, 2023 to March 31, 2024 (unless we elect to terminate the temporary covenant provision earlier) the applicable margins are fixed at 2.75% and 0.75% for SOFR and base rate borrowing, respectively. At June 30, 2023, we were in compliance with the covenants and conditions of the Second Amended Credit Agreement.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and December 31, 2022, we had $75.0 million and $88.0 million outstanding under the Credit Line, respectively. Our total interest expense on borrowings was $1.5 million and $0.6 million during the three months ended June 30, 2023 and 2022, respectively. Our total interest expense on borrowings was $2.9 million and $0.9 million during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recorded an income tax benefit of $0.5 million for the three months ended June 30, 2023 and income tax expense of $1.6 million for the three months ended June 30, 2022, respectively. We recorded income tax expense of $0.1 million and $4.0 million for the six months ended June 30, 2023 and 2022, respectively. The difference in income tax recorded for the six months ended June 30, 2023 and 2022 is primarily due to the mix of pre</w:t>
      </w:r>
      <w:r>
        <w:rPr>
          <w:rFonts w:ascii="MS PGothic" w:cs="MS PGothic" w:eastAsia="MS PGothic" w:hAnsi="MS PGothic"/>
          <w:sz w:val="17"/>
          <w:szCs w:val="17"/>
          <w:color w:val="auto"/>
        </w:rPr>
        <w:t>‐</w:t>
      </w:r>
      <w:r>
        <w:rPr>
          <w:rFonts w:ascii="Arial" w:cs="Arial" w:eastAsia="Arial" w:hAnsi="Arial"/>
          <w:sz w:val="17"/>
          <w:szCs w:val="17"/>
          <w:color w:val="auto"/>
        </w:rPr>
        <w:t>tax income among jurisdictions, including losses not benefited as a result of a valuation allowance. In addition, during the six months ended June 30, 2023, we received multiple tax incentives at two of our manufacturing entities in China approximating $1.6 million.</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the Company's effective tax rate and the 21.0% U.S. federal statutory rate for the three months ended June 30, 2023 primarily related to the mix of pre-tax income and loss among jurisdictions and permanent tax items including a tax on global intangible low-taxed income. The permanent tax item related to global intangible low-taxed income also reflects recent legislative changes requiring the capitalization of research and experimentation costs, as well as limitations on the creditability of certain foreign income taxes.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2022,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2022, we had a three-year cumulative operating loss for our U.S. operations and, accordingly, have provided a full valuation allowance on our U.S. federal and state deferred tax assets. During the six months ended June 30, 2023, there was no change to our valuation allowance position.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we had gross unrecognized tax benefits of $3.3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June 30, 2023 and December 31, 2022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December 31, 2022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7,037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4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38" w:lineRule="auto"/>
        <w:tabs>
          <w:tab w:leader="none" w:pos="6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Duties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Freight and handling fees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accrued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i w:val="1"/>
                <w:iCs w:val="1"/>
                <w:color w:val="auto"/>
              </w:rPr>
              <w:t>Product Warranties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Changes in the liability for product warranty claims costs were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7"/>
          </w:tcPr>
          <w:p>
            <w:pPr>
              <w:ind w:lef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(see discussion below). This lawsuit continues to be stayed until such time as the IPR's and all appeals with respect to them have concluded.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and later this month, Roku filed its appeal of the ITC ruling with the Federal Circuit Court of Appeals. Oral argument for this appeal is set for September 5, 2023 and we expect a decision in the fourth quarter of 2023. Meanwhile, Roku continues to be subject to the LEO and CDO.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We have appealed all but one PTAB decision that resulted in an invalidation of our patent claims and we will continue to do so.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her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In addition, Roku, along with the ITC, filed a joint motion to dismiss the '511 patent as moot as it recently expired. We are opposing this motion. As a companion to its ITC request, Roku also filed a lawsuit against us in Federal District Court in the Central District of California alleging that we are infringing the same two patents they alleged being infringed in the ITC investigation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explained above. This District Court case has been stayed pending the ITC case, and will likely continue to be stayed pending the conclusion of the '875 IPR investigation, even after Roku's appeal of the ITC case has concluded.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Lead plaintiffs have appealed this decision and on July 17, 2023, the lead plaintiffs filed its opening brief to this appeal.</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Our share repurchase programs typically utilize various methods to effect the repurchases, including open market repurchases, negotiated block transactions, accelerated share repurchases or open market solicitations for shares, some or all of which could be effected through Rule 10b5-1 plans. We do not currently have any approved repurchase programs in progress.</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also repurchase shares of our issued and outstanding common stock to satisfy the cost of stock option exercises and/or income tax withholding obligations relating to the stock-based compensation of our employees and directors. Repurchased shares of our common stock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2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market shares repurchased</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repurchased</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open market shares repurchased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shares repurchased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68"/>
        </w:trPr>
        <w:tc>
          <w:tcPr>
            <w:tcW w:w="4600" w:type="dxa"/>
            <w:vAlign w:val="bottom"/>
          </w:tcPr>
          <w:p>
            <w:pPr>
              <w:ind w:left="20"/>
              <w:spacing w:after="0" w:line="168" w:lineRule="exact"/>
              <w:rPr>
                <w:sz w:val="20"/>
                <w:szCs w:val="20"/>
                <w:color w:val="auto"/>
              </w:rPr>
            </w:pPr>
            <w:r>
              <w:rPr>
                <w:rFonts w:ascii="Arial" w:cs="Arial" w:eastAsia="Arial" w:hAnsi="Arial"/>
                <w:sz w:val="18"/>
                <w:szCs w:val="18"/>
                <w:color w:val="auto"/>
              </w:rPr>
              <w:t>Total employee and director stock-based compensation</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2,158</w:t>
            </w:r>
          </w:p>
        </w:tc>
        <w:tc>
          <w:tcPr>
            <w:tcW w:w="4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2,637</w:t>
            </w:r>
          </w:p>
        </w:tc>
        <w:tc>
          <w:tcPr>
            <w:tcW w:w="4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4,698</w:t>
            </w:r>
          </w:p>
        </w:tc>
        <w:tc>
          <w:tcPr>
            <w:tcW w:w="5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Arial" w:cs="Arial" w:eastAsia="Arial" w:hAnsi="Arial"/>
                <w:sz w:val="18"/>
                <w:szCs w:val="18"/>
                <w:color w:val="auto"/>
              </w:rPr>
              <w:t>expense</w:t>
            </w: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4"/>
        </w:trPr>
        <w:tc>
          <w:tcPr>
            <w:tcW w:w="5360" w:type="dxa"/>
            <w:vAlign w:val="bottom"/>
          </w:tcPr>
          <w:p>
            <w:pPr>
              <w:spacing w:after="0"/>
              <w:rPr>
                <w:sz w:val="12"/>
                <w:szCs w:val="12"/>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51.39</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June 30, 2023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Arial" w:cs="Arial" w:eastAsia="Arial" w:hAnsi="Arial"/>
                <w:sz w:val="18"/>
                <w:szCs w:val="18"/>
                <w:color w:val="auto"/>
              </w:rPr>
              <w:t xml:space="preserve">Vested and expected to vest at June 30, 2023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38.49</w:t>
            </w:r>
          </w:p>
        </w:tc>
        <w:tc>
          <w:tcPr>
            <w:tcW w:w="15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June 30, 2023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60" w:hanging="328"/>
        <w:spacing w:after="0" w:line="249"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2023 and the exercise price, multiplied by the number of in-the-money options) that would have been received by the option holders had they all exercised their options on June 30, 2023. This amount will change based on the fair market value of our stock.</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8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23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100" w:type="dxa"/>
            <w:vAlign w:val="bottom"/>
            <w:tcBorders>
              <w:top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14.87</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49.42 %</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4.65</w:t>
            </w: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2023, we expect to recognize $3.7 million of total unrecognized pre-tax stock-based compensation expense related to non-vested stock options over a remaining weighted-average life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2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3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Grant Date Fair Value</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42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14.74</w:t>
            </w:r>
          </w:p>
        </w:tc>
      </w:tr>
      <w:tr>
        <w:trPr>
          <w:trHeight w:val="24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37.47</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expect to recognize $9.4 million of total unrecognized pre-tax stock-based compensation expense related to non-vested restricted stock awards over a weighted-average life of 2.0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9, 2016, we issued common stock purchase warrants to Comcast Corporation at a price of $54.55 per share. On January 1, 2023, all 275,000 of the vested and outstanding warrants expired unexercised.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7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20" w:type="dxa"/>
            <w:vAlign w:val="bottom"/>
            <w:vMerge w:val="continue"/>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xml:space="preserve">Net gain (loss) on foreign currency exchange contracts </w:t>
            </w:r>
            <w:r>
              <w:rPr>
                <w:rFonts w:ascii="Arial" w:cs="Arial" w:eastAsia="Arial" w:hAnsi="Arial"/>
                <w:sz w:val="23"/>
                <w:szCs w:val="23"/>
                <w:color w:val="auto"/>
                <w:w w:val="97"/>
                <w:vertAlign w:val="superscript"/>
              </w:rPr>
              <w:t>(1)</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(2,613)</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153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w w:val="97"/>
              </w:rPr>
              <w:t>Net gain (loss) on foreign currency exchange transactions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(432)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(694)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(10,411)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(71,774)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182"/>
        </w:trPr>
        <w:tc>
          <w:tcPr>
            <w:tcW w:w="5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Dilutive effect of stock options, restricted stock and common stock</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24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6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560" w:type="dxa"/>
            <w:vAlign w:val="bottom"/>
          </w:tcPr>
          <w:p>
            <w:pPr>
              <w:jc w:val="right"/>
              <w:spacing w:after="0"/>
              <w:rPr>
                <w:sz w:val="20"/>
                <w:szCs w:val="20"/>
                <w:color w:val="auto"/>
              </w:rPr>
            </w:pPr>
            <w:r>
              <w:rPr>
                <w:rFonts w:ascii="Arial" w:cs="Arial" w:eastAsia="Arial" w:hAnsi="Arial"/>
                <w:sz w:val="18"/>
                <w:szCs w:val="18"/>
                <w:color w:val="auto"/>
              </w:rPr>
              <w:t>380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700" w:type="dxa"/>
            <w:vAlign w:val="bottom"/>
            <w:gridSpan w:val="2"/>
          </w:tcPr>
          <w:p>
            <w:pPr>
              <w:jc w:val="right"/>
              <w:ind w:right="8"/>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4"/>
                <w:szCs w:val="14"/>
                <w:b w:val="1"/>
                <w:bCs w:val="1"/>
                <w:color w:val="auto"/>
                <w:w w:val="93"/>
              </w:rPr>
              <w:t>Fair Value Measurement Using</w:t>
            </w:r>
          </w:p>
        </w:tc>
        <w:tc>
          <w:tcPr>
            <w:tcW w:w="12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1"/>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
                <w:szCs w:val="2"/>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7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  (1,465)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  (1,465)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loss of $2.6 million and pre-tax gain of $0.2 million for the three months ended June 30, 2023 and 2022, respectively. For the six months ended June 30, 2023 and 2022, we had a net pre-tax loss of $2.8 million and pre-tax gain of $1.1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2"/>
              </w:rPr>
              <w:t>Recorded at Balance</w:t>
            </w: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Notional Value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Date Held</w:t>
            </w:r>
          </w:p>
        </w:tc>
        <w:tc>
          <w:tcPr>
            <w:tcW w:w="120" w:type="dxa"/>
            <w:vAlign w:val="bottom"/>
          </w:tcPr>
          <w:p>
            <w:pPr>
              <w:spacing w:after="0"/>
              <w:rPr>
                <w:sz w:val="12"/>
                <w:szCs w:val="12"/>
                <w:color w:val="auto"/>
              </w:rPr>
            </w:pPr>
          </w:p>
        </w:tc>
        <w:tc>
          <w:tcPr>
            <w:tcW w:w="23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Forward 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201"/>
        </w:trPr>
        <w:tc>
          <w:tcPr>
            <w:tcW w:w="1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line="201"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20" w:type="dxa"/>
            <w:vAlign w:val="bottom"/>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USD/Chinese Yuan Renminbi</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7.0332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USD/Euro</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1.0768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6, 2023</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w w:val="97"/>
              </w:rPr>
              <w:t>USD/Chinese Yuan Renminbi</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CNY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7.0358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6, 2023</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hanging="328"/>
        <w:spacing w:after="0" w:line="227" w:lineRule="auto"/>
        <w:tabs>
          <w:tab w:leader="none" w:pos="66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income statement for the three and six months ended June 30, 2023 includes net sales of $0.6 million and $1.1 million, respectively, and net income of $76.0 thousand and $72.9 thousand, respectively, attributable to Qterics. Our consolidated income statement for the three and six months ended June 30, 2022 includes net sales of $0.6 million and $0.9 million, respectively, and net income of $9.2 thousand and $0.1 million, respectively, attributable to Qterics for the period commencing on February 17, 2022.</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fair values on the acquisition date. The excess of the purchase price over the estimated fair value of net assets acquired is recorded as goodwill. The goodwill is expected to be deductible for income tax purposes. Management's purchase price allocation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1"/>
              </w:rPr>
              <w:t>Estimated Lives</w:t>
            </w:r>
          </w:p>
        </w:tc>
        <w:tc>
          <w:tcPr>
            <w:tcW w:w="1780" w:type="dxa"/>
            <w:vAlign w:val="bottom"/>
          </w:tcPr>
          <w:p>
            <w:pPr>
              <w:jc w:val="right"/>
              <w:ind w:right="191"/>
              <w:spacing w:after="0"/>
              <w:rPr>
                <w:sz w:val="20"/>
                <w:szCs w:val="20"/>
                <w:color w:val="auto"/>
              </w:rPr>
            </w:pPr>
            <w:r>
              <w:rPr>
                <w:rFonts w:ascii="Arial" w:cs="Arial" w:eastAsia="Arial" w:hAnsi="Arial"/>
                <w:sz w:val="14"/>
                <w:szCs w:val="14"/>
                <w:b w:val="1"/>
                <w:bCs w:val="1"/>
                <w:color w:val="auto"/>
              </w:rPr>
              <w:t>Preliminary Fair Value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color w:val="auto"/>
                <w:w w:val="88"/>
              </w:rPr>
              <w:t>5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8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8"/>
              </w:rPr>
              <w:t>6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color w:val="auto"/>
                <w:w w:val="88"/>
              </w:rPr>
              <w:t>6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8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8"/>
              </w:rPr>
              <w:t>6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1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(1)</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228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8"/>
              </w:rPr>
              <w:t>3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Short-term operating lease obligation</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Long-term operating lease obligation</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18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2080" w:type="dxa"/>
            <w:vAlign w:val="bottom"/>
            <w:gridSpan w:val="2"/>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7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Our consolidated goodwill balance was impaired during the six months ended June 30, 2023. Please see Note 6 for further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developed technology, trade names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of combined results of our operations and the operations of Qterics as if the transaction had occurred on January 1, 2021, is immaterially different from the net sales, net income (loss) and income (loss) per share amounts reported in the Consolidated Statements of Operations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continued availability of cash through borrowing under our revolving line of credit; the effects of natural or other events beyond our control, including the effects of political unrest, war (including the conflict between Russia and Ukraine), terrorist activities, or the outbreak of infectious diseases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2022 ("2022 Form 10-K"), Part II, Item 1A of this report, and other factors we describe from time to time in our periodic filings with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5"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embedded and cloud-enabled software for reliable firmware update and digital rights management validation services to major consumer electronics brands;</w:t>
      </w:r>
    </w:p>
    <w:p>
      <w:pPr>
        <w:ind w:left="980" w:hanging="324"/>
        <w:spacing w:after="0" w:line="2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smart energy management systems, primarily to OEM customers, as well as hotels and hospitality system integrators;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Each year our device control library continues to grow across AV and smart home platforms, supporting many common smart home protocols, including IR, HDMI-CEC, Zigbee (Rf4CE), Z-Wave, IP, as well as Home Network and Cloud Control.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one domestic subsidiary and 25 international subsidiaries located in Brazil, British Virgin Islands, France, Germany, Hong Kong (3), India, Italy, Japan, Korea, Mexico (2), the Netherlands, People's Republic of China (the "PRC") (7), Singapore, Spain, United Kingdom and Vietnam.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2023:</w:t>
      </w:r>
    </w:p>
    <w:p>
      <w:pPr>
        <w:spacing w:after="0" w:line="252"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decreased 22.8% to $107.4 million for the three months ended June 30, 2023 from $139.1 million for the three months ended June 30, 2022.</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margin percentage decreased to 22.9% for the three months ended June 30, 2023 from 28.3% for the three months ended June 30, 2022.</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31.4% for the three months ended June 30, 2023 from 24.3% for the three months ended June 30, 2022.</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loss was $9.1 million for the three months ended June 30, 2023 compared to operating income of $5.5 million for the three months ended June 30, 2022. Our operating loss percentage was 8.5% for the three months ended June 30, 2023, compared to an operating income percentage of 4.0% for the three months ended June 30, 2022.</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benefit was $0.5 million for the three months ended June 30, 2023 compared to income tax expense of $1.6 million for the three months ended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2023 include the following:</w:t>
      </w:r>
    </w:p>
    <w:p>
      <w:pPr>
        <w:spacing w:after="0" w:line="252" w:lineRule="exact"/>
        <w:rPr>
          <w:sz w:val="20"/>
          <w:szCs w:val="20"/>
          <w:color w:val="auto"/>
        </w:rPr>
      </w:pPr>
    </w:p>
    <w:p>
      <w:pPr>
        <w:ind w:left="980" w:hanging="324"/>
        <w:spacing w:after="0" w:line="274"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new product development efforts in high-growth HVAC OEM channel to grow our market penetration with existing customers and acquire new customers with the goal of achieving market share leadership in climate control channel within two years;</w:t>
      </w: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broaden our home control and home automation product solutions with the aim of acquiring new customers that represent market share leaders in their respective channels and regions;</w:t>
      </w: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our software and service platform, QuickSet, to deliver a complete smart entertainment and smart home managed service platform;</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 in creating sustainable technology solutions that offer product differentiation across our global product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explore and expand product offerings in our core subscription broadcasting channel beyond traditional entertainment remote controls;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acquisitions or strategic partners that complement and strengthen our existing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seek opportunities to expand the sales and licensing of our products and technologies to new customers, markets and industries; and</w:t>
      </w:r>
    </w:p>
    <w:p>
      <w:pPr>
        <w:spacing w:after="0" w:line="20" w:lineRule="exact"/>
        <w:rPr>
          <w:rFonts w:ascii="Arial" w:cs="Arial" w:eastAsia="Arial" w:hAnsi="Arial"/>
          <w:sz w:val="17"/>
          <w:szCs w:val="17"/>
          <w:color w:val="auto"/>
        </w:rPr>
      </w:pPr>
    </w:p>
    <w:p>
      <w:pPr>
        <w:ind w:left="980" w:hanging="324"/>
        <w:spacing w:after="0" w:line="26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expedite our long-term factory planning strategy to optimize our manufacturing footprint and reduce our manufacturing concentration in the PRC.</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negatively impacted and we expect to continue to be negatively impacted by adverse macroeconomic conditions, in particular reduced consumer spending. Inflation has increased our component and logistics costs. While we have been able to increase sales prices on certain products, there may be a delay in our ability to increase prices and we may not be able to fully offset the impact of increased material costs which would negatively impact our gross profit. Our cost of labor, materials and borrowing may continue to increase, which would negatively impact our financial results. In addition, we expect recessionary pressures in the global economy will ultimately negatively impact our sales demand.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also been negatively impacted by supply chain difficulties including obtaining ICs and other long-lead time components. While we have seen improvement in this area during the first half of 2023, this may continue to affect us in the future. We continue to take production and inventory control steps as required to mitigate the effects caused by these shortages including advanced purchasing of long-lead time components; however, we cannot guarantee that these steps will continue to allow us to meet our short-term IC and other component parts needs. As such, these supply constraints may continue to cause difficulty and delays in our ability to fulfill customer orders and may at times result in increased logistics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Long-Lived Assets Impairment Trigger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2023, a decline in our financial performance, the overall negative trend in the video service provider channel and an uncertain economic environment, contributed to a significant decline in our market capitalization. We considered this to be an impairment trigger. We, therefore, performed a quantitative valuation analysis indicating a significant implied control premium over our market capitalization. As a result of the substantial implied control premium, we recorded an impairment charge of $49.1 million during the six months ended June 30,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Long-Lived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 months ended June 30, 2023, market conditions deteriorated and our stock price declined significantly, which we considered to be a trigger of potential impairment for our long-lived asset group. As such, we performed a recoverability test using non-discounted forecasted cash flows, which resulted in total cash flows in excess of the carrying value of the asset group by approximately 11% to 57%. This test indicated no current recoverability issues.</w:t>
      </w:r>
    </w:p>
    <w:p>
      <w:pPr>
        <w:spacing w:after="0" w:line="2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certain future events and circumstances, including adverse changes in general business and economic conditions in the United States and worldwide and changes in consumer behavior could result in changes to our assumptions and judgments used in the impairment tests. A downward revision of these assumptions could cause the total undiscounted cash flows of the long-lived asset group to fall below its respective carrying values and a non-cash impairment charge would be required. Such a charge may have a material effect on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Footprint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commenced manufacturing operations in our new Vietnam factory in June 2023 after incurring startup costs in the first half of 2023. We are currently evaluating our global manufacturing footprint with the expectation that if our Vietnam factory is successful and operating efficiently, we will subsequently reduce our manufacturing capacity by shutting down our southwestern China factory beginning by the fourth quarter 2023. If this were to occur, we would record an impairment charge and severance expense in amounts that we believe would be material. We are analyzing additional scenarios, including downsizing our factory in Monterrey, Mexico in the first half of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With the exception of the following policies, we do not believe that there have been any significant changes during the six months ended June 30, 2023 to the items that we disclosed as our critical accounting policies and estimates in Item 7, "Management's Discussion and Analysis of Financial Condition and Results of Operations" contained in our 2022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ind w:firstLine="8"/>
        <w:spacing w:after="0" w:line="260"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 our annual impairment test, and any required interim tests, using the optional qualitative assessment, weighing the relative impact of factors that are specific to our single reporting unit including our market capitalization compared to control premiums,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qualitative assessment, we perform a quantitative impairment test, using cash flow projections, discounted by our weighted-average cost of capital.</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and risk-adjusted discount rates. In addition, we make certain judgments and assumptions in determining our reporting unit. We base our fair value estimates on assumptions we believe to be reasonable but that are unpredictable and inherently uncertain. Actual future results may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or strategy for the overall business; (3) significant negative industry or economic trends; or (4) a significant decline in our stock price for a sustained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Determining the recoverability of long-lived or intangible assets is judgmental in nature and involves the use of significant estimates and assumptions. These estimates and assumptions include revenue growth rates and operating margins used to calculate projected future cash flows and the future market value of our asset group. In addition, we make certain judgments and assumptions in determining our asset group. We base our recoverability estimates on assumptions we believe to be reasonable but that are unpredictable and inherently uncertain. Actual future results may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0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2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1"/>
        </w:trPr>
        <w:tc>
          <w:tcPr>
            <w:tcW w:w="5080" w:type="dxa"/>
            <w:vAlign w:val="bottom"/>
          </w:tcPr>
          <w:p>
            <w:pPr>
              <w:spacing w:after="0"/>
              <w:rPr>
                <w:sz w:val="15"/>
                <w:szCs w:val="15"/>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3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77.1</w:t>
            </w:r>
          </w:p>
        </w:tc>
        <w:tc>
          <w:tcPr>
            <w:tcW w:w="1580" w:type="dxa"/>
            <w:vAlign w:val="bottom"/>
            <w:gridSpan w:val="2"/>
          </w:tcPr>
          <w:p>
            <w:pPr>
              <w:jc w:val="right"/>
              <w:ind w:right="134"/>
              <w:spacing w:after="0"/>
              <w:rPr>
                <w:sz w:val="20"/>
                <w:szCs w:val="20"/>
                <w:color w:val="auto"/>
              </w:rPr>
            </w:pPr>
            <w:r>
              <w:rPr>
                <w:rFonts w:ascii="Arial" w:cs="Arial" w:eastAsia="Arial" w:hAnsi="Arial"/>
                <w:sz w:val="18"/>
                <w:szCs w:val="18"/>
                <w:color w:val="auto"/>
              </w:rPr>
              <w:t>71.7</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77.1</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72.1</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27.9</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7.9</w:t>
            </w:r>
          </w:p>
        </w:tc>
        <w:tc>
          <w:tcPr>
            <w:tcW w:w="1580" w:type="dxa"/>
            <w:vAlign w:val="bottom"/>
            <w:gridSpan w:val="2"/>
          </w:tcPr>
          <w:p>
            <w:pPr>
              <w:jc w:val="right"/>
              <w:ind w:right="134"/>
              <w:spacing w:after="0"/>
              <w:rPr>
                <w:sz w:val="20"/>
                <w:szCs w:val="20"/>
                <w:color w:val="auto"/>
              </w:rPr>
            </w:pPr>
            <w:r>
              <w:rPr>
                <w:rFonts w:ascii="Arial" w:cs="Arial" w:eastAsia="Arial" w:hAnsi="Arial"/>
                <w:sz w:val="18"/>
                <w:szCs w:val="18"/>
                <w:color w:val="auto"/>
              </w:rPr>
              <w:t>6.2</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7.9</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6.1</w:t>
            </w:r>
          </w:p>
        </w:tc>
      </w:tr>
      <w:tr>
        <w:trPr>
          <w:trHeight w:val="23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23.5</w:t>
            </w:r>
          </w:p>
        </w:tc>
        <w:tc>
          <w:tcPr>
            <w:tcW w:w="15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18.1</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24.1</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c>
          <w:tcPr>
            <w:tcW w:w="15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(31.8)</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94"/>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96"/>
              <w:spacing w:after="0"/>
              <w:rPr>
                <w:sz w:val="20"/>
                <w:szCs w:val="20"/>
                <w:color w:val="auto"/>
              </w:rPr>
            </w:pPr>
            <w:r>
              <w:rPr>
                <w:rFonts w:ascii="Arial" w:cs="Arial" w:eastAsia="Arial" w:hAnsi="Arial"/>
                <w:sz w:val="18"/>
                <w:szCs w:val="18"/>
                <w:color w:val="auto"/>
              </w:rPr>
              <w:t>(1.0)</w:t>
            </w:r>
          </w:p>
        </w:tc>
        <w:tc>
          <w:tcPr>
            <w:tcW w:w="1560" w:type="dxa"/>
            <w:vAlign w:val="bottom"/>
            <w:gridSpan w:val="2"/>
          </w:tcPr>
          <w:p>
            <w:pPr>
              <w:jc w:val="right"/>
              <w:ind w:right="74"/>
              <w:spacing w:after="0"/>
              <w:rPr>
                <w:sz w:val="20"/>
                <w:szCs w:val="20"/>
                <w:color w:val="auto"/>
              </w:rPr>
            </w:pPr>
            <w:r>
              <w:rPr>
                <w:rFonts w:ascii="Arial" w:cs="Arial" w:eastAsia="Arial" w:hAnsi="Arial"/>
                <w:sz w:val="18"/>
                <w:szCs w:val="18"/>
                <w:color w:val="auto"/>
              </w:rPr>
              <w:t>(0.2)</w:t>
            </w:r>
          </w:p>
        </w:tc>
      </w:tr>
      <w:tr>
        <w:trPr>
          <w:trHeight w:val="22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(10.2)</w:t>
            </w:r>
          </w:p>
        </w:tc>
        <w:tc>
          <w:tcPr>
            <w:tcW w:w="1580" w:type="dxa"/>
            <w:vAlign w:val="bottom"/>
            <w:gridSpan w:val="2"/>
          </w:tcPr>
          <w:p>
            <w:pPr>
              <w:jc w:val="right"/>
              <w:ind w:right="134"/>
              <w:spacing w:after="0"/>
              <w:rPr>
                <w:sz w:val="20"/>
                <w:szCs w:val="20"/>
                <w:color w:val="auto"/>
              </w:rPr>
            </w:pPr>
            <w:r>
              <w:rPr>
                <w:rFonts w:ascii="Arial" w:cs="Arial" w:eastAsia="Arial" w:hAnsi="Arial"/>
                <w:sz w:val="18"/>
                <w:szCs w:val="18"/>
                <w:color w:val="auto"/>
              </w:rPr>
              <w:t>3.3</w:t>
            </w:r>
          </w:p>
        </w:tc>
        <w:tc>
          <w:tcPr>
            <w:tcW w:w="1560" w:type="dxa"/>
            <w:vAlign w:val="bottom"/>
            <w:gridSpan w:val="2"/>
          </w:tcPr>
          <w:p>
            <w:pPr>
              <w:jc w:val="right"/>
              <w:ind w:right="96"/>
              <w:spacing w:after="0"/>
              <w:rPr>
                <w:sz w:val="20"/>
                <w:szCs w:val="20"/>
                <w:color w:val="auto"/>
              </w:rPr>
            </w:pPr>
            <w:r>
              <w:rPr>
                <w:rFonts w:ascii="Arial" w:cs="Arial" w:eastAsia="Arial" w:hAnsi="Arial"/>
                <w:sz w:val="18"/>
                <w:szCs w:val="18"/>
                <w:color w:val="auto"/>
              </w:rPr>
              <w:t>(33.2)</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1.5</w:t>
            </w:r>
          </w:p>
        </w:tc>
      </w:tr>
      <w:tr>
        <w:trPr>
          <w:trHeight w:val="23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0.1</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1.5</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versus Three Months Ended June 30, 2022</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June 30, 2023 were $107.4 million compared to $139.1 million for the three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our video service provider, consumer electronics and climate control channels were lower than in the prior year period primarily due to lower customer demand.</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June 30, 2023 was $24.6 million compared to $39.4 million for the three months ended June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as a percentage of sales decreased to 22.9% for the three months ended June 30, 2023 from 28.3% for the three months ended June 30, 2022. Gross profit as a percentage of sales was impacted by lower demand, resulting in fewer production units and, in turn, manufacturing inefficiencies including a significant amount of unabsorbed overhead. We also incurred start-up costs associated with our Vietnam factory, which commenced manufacturing operations in the latter part of June 2023. A decrease in royalty income also affected our gross margin rate as television sales were down versus the comparable period in the prior year. Partially offsetting these items was a stronger U.S dollar versus the Chinese Yuan Renminbi.</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decreased slightly to $8.5 million for the three months ended June 30, 2023 from $8.6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2022. The decrease in R&amp;D expenses is due to a decrease in incentive compensation.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remained consistent at $25.3 million for the three months ended June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$25.2 million for the three months ended June 30, 2022, due to a decrease in outside legal expenses related to a specific legal matter and variable expenses associated with lower sales volume offset primarily by severance expense in our southern China and Mexico factories.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increased to $1.1 million for the three months ended June 30, 2023 from $0.2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as a result of a higher interest rate, partially offset by a lower average loan balance.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$0.7 million for the three months ended June 30, 2023, due to net foreign currency losses,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other expense, net of $0.7 million for the three months ended June 30, 2022, due to a one-time expense that we partially recovered in the fourth quarter 2022.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Income tax benefit was $0.5 million for the three months ended June 30, 2023, relative to a pre-tax loss of $10.9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income tax expense of $1.6 million for the three months ended June 30, 2022, relative to a pre-tax income of $4.6 million. Consistent with 2022, we expect the U.S. to be in a pre-tax loss position without benefit for the full year 2023 resulting in an elevated effective tax rate. In the second quarter of 2023, we received multiple tax incentives at two of our manufacturing entities in China approximating $1.6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versus Six Months Ended June 30, 2022</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six months ended June 30, 2023 were $215.8 million compared to $271.5 million for the six months ended June 30, 2022.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our video service provider, consumer electronics and climate control channels were lower than in the prior year period primarily due to lower customer demand.</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2023 was $49.3 million compared to $75.6 million for the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percentage of sales decreased to 22.9% for the six months ended June 30, 2023 from 27.9% for the six months ended June 30, 2022. Gross profit as a percentage of sales was impacted by lower demand, resulting in fewer production units and, in turn, manufacturing inefficiencies including a significant amount of unabsorbed overhead. We also incurred start-up costs associated with our Vietnam factory, which commenced manufacturing operations in the latter part of June 2023. A decrease in royalty income also affected our gross margin rate as television sales were down versus the comparable period in the prior year.</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R&amp;D expenses remained relatively consistent at $16.8 million for the six months ended June 30, 2023 compared to $16.4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SG&amp;A expenses. </w:t>
      </w:r>
      <w:r>
        <w:rPr>
          <w:rFonts w:ascii="Arial" w:cs="Arial" w:eastAsia="Arial" w:hAnsi="Arial"/>
          <w:sz w:val="18"/>
          <w:szCs w:val="18"/>
          <w:color w:val="auto"/>
        </w:rPr>
        <w:t>SG&amp;A expenses decreased to $52.0 million for the six months ended June 30, 2023 from $54.3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due to a decrease in outside legal expenses related to a specific legal matter and variable expenses associated with lower sales volume offset partially by severance expense in our southern China and Mexico factories.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During the six months ended June 30, 2023, we recorded a non-cash goodwill impairment charge of $49.1 million due to our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 being significantly less than the carrying value of our equity.</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Interest income (expense), net. </w:t>
      </w:r>
      <w:r>
        <w:rPr>
          <w:rFonts w:ascii="Arial" w:cs="Arial" w:eastAsia="Arial" w:hAnsi="Arial"/>
          <w:sz w:val="17"/>
          <w:szCs w:val="17"/>
          <w:color w:val="auto"/>
        </w:rPr>
        <w:t>Interest expense, net increased to $2.1 million for the six months ended June 30, 2023 from $0.5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2022, as a result of a higher interest rate, partially offset by a lower average loan balance and increased interest income.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$0.9 million for the six months ended June 30, 2023, due to net foreign currency losses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fixed asset sales, compared to other expense, net of $0.3 million for the six months ended June 30, 2022, due to a one-time expense which we recovered in the fourth quarter 2022.</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was $0.1 million for the six months ended June 30, 2023, relative to a pre-tax loss of $71.6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income tax expense of $4.0 million for the six months ended June 30, 2022, relative to a pre-tax income of $4.1 million. Consistent with 2022, we expect the U.S. to be in a pre-tax loss position without benefit for the full year 2023 resulting in an elevated effective tax rate. In the first quarter 2023, we received the high technology exemption approval at our Yangzhou entity in China resulting in a lower tax rate. Consequently, the deferred tax assets at our Yangzhou entity were remeasured resulting in an expense. Further, in the first quarter 2023, we also received a discrete benefit related to our goodwill impairment. In the second quarter of 2023, we received multiple tax incentives at two of our manufacturing entities in China approximating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past share repurchases and acquisitions. We anticipate that we will continue to utilize both cash flows from operations and our revolving line of credit to support ongoing business operations, capital expenditures and expenses associated with our long-term factory planning strategy.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6940" w:type="dxa"/>
            <w:vAlign w:val="bottom"/>
            <w:gridSpan w:val="2"/>
          </w:tcPr>
          <w:p>
            <w:pPr>
              <w:spacing w:after="0"/>
              <w:rPr>
                <w:sz w:val="20"/>
                <w:szCs w:val="20"/>
                <w:color w:val="auto"/>
              </w:rPr>
            </w:pPr>
            <w:r>
              <w:rPr>
                <w:rFonts w:ascii="Arial" w:cs="Arial" w:eastAsia="Arial" w:hAnsi="Arial"/>
                <w:sz w:val="14"/>
                <w:szCs w:val="14"/>
                <w:b w:val="1"/>
                <w:bCs w:val="1"/>
                <w:color w:val="0000FF"/>
              </w:rPr>
              <w:t>Table of Contents</w:t>
            </w: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838"/>
        </w:trPr>
        <w:tc>
          <w:tcPr>
            <w:tcW w:w="1080" w:type="dxa"/>
            <w:vAlign w:val="bottom"/>
            <w:tcBorders>
              <w:top w:val="single" w:sz="8" w:color="0000FF"/>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86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December 31, 2022</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55,823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Available borrowing resources</w:t>
            </w:r>
          </w:p>
        </w:tc>
        <w:tc>
          <w:tcPr>
            <w:tcW w:w="1480" w:type="dxa"/>
            <w:vAlign w:val="bottom"/>
          </w:tcPr>
          <w:p>
            <w:pPr>
              <w:jc w:val="right"/>
              <w:ind w:right="12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50,000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37,000</w:t>
            </w:r>
          </w:p>
        </w:tc>
      </w:tr>
    </w:tbl>
    <w:p>
      <w:pPr>
        <w:spacing w:after="0" w:line="3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On June 30, 2023, we had $11.6 million, $3.7 million, $14.6 million, $14.2 million and $11.7 million of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Available Borrowing Resources </w:t>
      </w:r>
      <w:r>
        <w:rPr>
          <w:rFonts w:ascii="Arial" w:cs="Arial" w:eastAsia="Arial" w:hAnsi="Arial"/>
          <w:sz w:val="17"/>
          <w:szCs w:val="17"/>
          <w:color w:val="auto"/>
        </w:rPr>
        <w:t>– Our Second Amended and Restated Credit Agreement ("Second Amended Credit Agreement") with U.S. Bank</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Association ("U.S. Bank") provides for a $125.0 million revolving line of credit ("Credit Line") that expires on April 30, 2024.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June 30, 2023. At June 30, 2023, we had an outstanding balance of $75.0 million on our Credit Line and $50.0 million of availability.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8 contained in the "Notes to Consolidated Financial Statements" for further information regarding our Credit Line.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2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Effect of foreign currency exchange rates on cash and cash equivalents</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92"/>
              </w:rPr>
              <w:t>June 30, 2023</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1"/>
              </w:rPr>
              <w:t>December 31, 2022</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55,823</w:t>
            </w:r>
          </w:p>
        </w:tc>
        <w:tc>
          <w:tcPr>
            <w:tcW w:w="2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106,558</w:t>
            </w:r>
          </w:p>
        </w:tc>
        <w:tc>
          <w:tcPr>
            <w:tcW w:w="20" w:type="dxa"/>
            <w:vAlign w:val="bottom"/>
          </w:tcPr>
          <w:p>
            <w:pPr>
              <w:spacing w:after="0"/>
              <w:rPr>
                <w:sz w:val="20"/>
                <w:szCs w:val="20"/>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(15,009)</w:t>
            </w:r>
          </w:p>
        </w:tc>
        <w:tc>
          <w:tcPr>
            <w:tcW w:w="20" w:type="dxa"/>
            <w:vAlign w:val="bottom"/>
          </w:tcPr>
          <w:p>
            <w:pPr>
              <w:spacing w:after="0"/>
              <w:rPr>
                <w:sz w:val="20"/>
                <w:szCs w:val="20"/>
                <w:color w:val="auto"/>
              </w:rPr>
            </w:pPr>
          </w:p>
        </w:tc>
        <w:tc>
          <w:tcPr>
            <w:tcW w:w="32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121,567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was $13.3 million during the six months ended June 30, 2023 compared to net cash used for operating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of $17.1 million during the six months ended June 30, 2022. Net loss was $71.8 million for the six months ended June 30, 2023, which includes the impairment of goodwill of $49.1 million, compared to net income of $0.1 million for the six months ended June 30, 2022. Inventories decreased by $33.2 million during the six months ended June 30, 2023 compared to an increase of $16.3 million during the six months ended June 30, 2022. During the six months ended June 30, 2023, because of lower demand in the video service provider, consumer electronics and climate control channels, as well as ample supply of certain items with long lead times, we purchased fewer components and raw materials than in the six months ended June 30, 2022. Our inventory turns increased slightly to 3.0 turns at June 30, 2023 from 2.7 turns at June 30, 2022. A decrease in accounts receivable and contract assets from lower sales volume resulted in cash inflows of $10.6 million during the six months ended June 30, 2023. Changes in accounts receivable and contract assets resulted in cash outflows of $5.2 million during the six months ended June 30, 2022, largely as a result of an increase in days sales outstanding compared to the fourth quarter 2021, offset partially by a decrease in sales. Days sales outstanding were 83 days at June 30, 2023 compared to 82 days at June 30, 2022. Changes in accounts payable and accrued liabilities resulted in cash outflows of $26.5 million during the six months ended June 30, 2023 due primarily to a decrease in inventory purchases. Changes in accounts payable and accrued liabilities resulted in cash outflows of $15.0 million during the six months ended June 30, 2022 due to the timing of payments and a decrease in accrued compensation.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2023 was $9.1 million, of which $5.8 million and $3.3 million was used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the development of patents, respectively. Net cash used for investing activities during the six months ended June 30, 2022 was $16.9 million, of which $7.5 million, $0.9 million, $5.5 million and $3.0 million was used for our term deposit investment, acquisition of Qterics Inc., capital expenditures, and the development of patents,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flows used for investing activities are largely dependent on the timing and amount of capital expenditures. We estimate that we will incur expenditures of between $6.0 million and $9.0 million during the remainder of 2023, which includes amounts associated with our factory in Vietnam, which commenced operations during the second quarter of 2023.</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was $13.9 million during the six months ended June 30, 2023 compared to net cash provided by 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of $20.8 million during the six months ended June 30, 2022. The primary financing activities during the six months ended June 30, 2023 and 2022 were borrowings and repayments on our line of credit and repurchases of shares of our common stock. Net repayments on our line of credit were $13.0 million during the six months ended June 30, 2023 compared to net borrowings on our line of credit of $32.0 million during the six months ended June 30, 2022. During the six months ended June 30, 2023, we repurchased 57,973 shares of our common stock at a cost of $0.9 million compared to our repurchase of 354,558 shares at a cost of $11.2 million during the six months ended June 30, 2022.</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cash flows used for financing activities are affected by our financing needs which are largely dependent on the level of cash provided by or used in operations and the level of cash used in investing activities. Additionally, future repurchases of shares of our common stock related to employee stock compensation programs will impact our cash flows used for financing activities. See Note 13 contained in the "Notes to Consolidated Financial Statements" for further information regarding our share repurchase programs.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Cash Commitments </w:t>
      </w:r>
      <w:r>
        <w:rPr>
          <w:rFonts w:ascii="Arial" w:cs="Arial" w:eastAsia="Arial" w:hAnsi="Arial"/>
          <w:sz w:val="18"/>
          <w:szCs w:val="18"/>
          <w:color w:val="auto"/>
        </w:rPr>
        <w:t>– The following table summarizes our material cash commitments and the effect these commitments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75"/>
              <w:spacing w:after="0" w:line="129" w:lineRule="exact"/>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375"/>
              <w:spacing w:after="0" w:line="129"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29"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Line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Inventory purchases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Property, plant, and equipment purchases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Total material cash commitments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115,168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95,777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meeting our material cash commitments with our cash generated from operations and available borrowing resources, including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the Secured Overnight Financing Rate ("SOFR")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$0.6 million annual impact on net income based on our outstanding Credit Line balance at June 30,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make any assurances that we will not need to borrow additional amounts in the future or that funds from the existing Credit Line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June 30, 2023,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Korean Won and Vietnamese Dong.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Korean Won and Vietnamese Dong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2023,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June 30, 2023, net income in the third quarter of 2023 would fluctuate by approximately $6.0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2023, we implemented the third and final phase of a multi-year, company-wide program to transition to a new global enterprise resource planning ("ERP") software system. This final phase included our European operations and concluded our transition to the global ERP software system. In connection with this implementation, the design of our internal controls over financial reporting remained largely intact; however, we have updated our affected internal controls over financial reporting as necessary to accommodate modifications to our business and accounting processes. We do not believe that the ERP implementation has or will have an adverse effect on our internal control over financial reporting.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above, there have been no other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reader should carefully consider, in connection with the other information in this report, the risk factors discussed in "Part I, Item 1A: Risk Factors" of the Company's 2022 Form 10-K and in the periodic reports we have filed since then. These factors may cause our actual results to differ materially from those stated in forward-looking statements contained in this document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2023, our total stock repurchases, average price paid per share and the maximum number of shares that may yet be purchased on the open market under our plans or programs: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9"/>
              <w:spacing w:after="0" w:line="144"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6" w:lineRule="exact"/>
              <w:rPr>
                <w:sz w:val="20"/>
                <w:szCs w:val="20"/>
                <w:color w:val="auto"/>
              </w:rPr>
            </w:pPr>
            <w:r>
              <w:rPr>
                <w:rFonts w:ascii="Arial" w:cs="Arial" w:eastAsia="Arial" w:hAnsi="Arial"/>
                <w:sz w:val="14"/>
                <w:szCs w:val="14"/>
                <w:b w:val="1"/>
                <w:bCs w:val="1"/>
                <w:color w:val="auto"/>
                <w:w w:val="91"/>
              </w:rPr>
              <w:t>Price Paid</w:t>
            </w:r>
          </w:p>
        </w:tc>
        <w:tc>
          <w:tcPr>
            <w:tcW w:w="100" w:type="dxa"/>
            <w:vAlign w:val="bottom"/>
          </w:tcPr>
          <w:p>
            <w:pPr>
              <w:spacing w:after="0"/>
              <w:rPr>
                <w:sz w:val="11"/>
                <w:szCs w:val="11"/>
                <w:color w:val="auto"/>
              </w:rPr>
            </w:pPr>
          </w:p>
        </w:tc>
        <w:tc>
          <w:tcPr>
            <w:tcW w:w="18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Publicly Announced Plans or</w:t>
            </w:r>
          </w:p>
        </w:tc>
        <w:tc>
          <w:tcPr>
            <w:tcW w:w="100" w:type="dxa"/>
            <w:vAlign w:val="bottom"/>
          </w:tcPr>
          <w:p>
            <w:pPr>
              <w:spacing w:after="0"/>
              <w:rPr>
                <w:sz w:val="11"/>
                <w:szCs w:val="11"/>
                <w:color w:val="auto"/>
              </w:rPr>
            </w:pPr>
          </w:p>
        </w:tc>
        <w:tc>
          <w:tcPr>
            <w:tcW w:w="20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per Share</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27" w:lineRule="auto"/>
        <w:tabs>
          <w:tab w:leader="none" w:pos="66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Of the repurchases in April, May and June, 1,228, 3,347 and 212 shares, respectively, represent common shares of the Company that were owned and tendered by employees to satisfy tax withholding obligations in connection with the vesting of restricted shares.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quarter ended June 30, 2023, no director or officer (as defined in Rule 16a-1(f) promulgated under Exchange Act) of the Company adopted or terminated a "Rule 10b5-1 trading arrangement" or "non-Rule 10b5-1 trading arrangement" (as each term is defined in Item 408 of Regulation 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31.1</w:t>
            </w:r>
          </w:p>
        </w:tc>
        <w:tc>
          <w:tcPr>
            <w:tcW w:w="94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Rule 13a-14(a) Certifications of Paul D. Arling, Chief Executive Officer (principal executive officer) of Universal Electronics Inc.</w:t>
            </w:r>
          </w:p>
        </w:tc>
        <w:tc>
          <w:tcPr>
            <w:tcW w:w="240" w:type="dxa"/>
            <w:vAlign w:val="bottom"/>
          </w:tcPr>
          <w:p>
            <w:pPr>
              <w:spacing w:after="0"/>
              <w:rPr>
                <w:sz w:val="24"/>
                <w:szCs w:val="24"/>
                <w:color w:val="auto"/>
              </w:rPr>
            </w:pPr>
          </w:p>
        </w:tc>
      </w:tr>
      <w:tr>
        <w:trPr>
          <w:trHeight w:val="264"/>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31.2</w:t>
            </w:r>
          </w:p>
        </w:tc>
        <w:tc>
          <w:tcPr>
            <w:tcW w:w="9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Rule 13a-14(a) Certifications of Bryan M. Hackworth, Chief Financial Officer (principal financial officer and principal accounting</w:t>
            </w:r>
          </w:p>
        </w:tc>
      </w:tr>
      <w:tr>
        <w:trPr>
          <w:trHeight w:val="169"/>
        </w:trPr>
        <w:tc>
          <w:tcPr>
            <w:tcW w:w="1400" w:type="dxa"/>
            <w:vAlign w:val="bottom"/>
          </w:tcPr>
          <w:p>
            <w:pPr>
              <w:spacing w:after="0"/>
              <w:rPr>
                <w:sz w:val="14"/>
                <w:szCs w:val="14"/>
                <w:color w:val="auto"/>
              </w:rPr>
            </w:pPr>
          </w:p>
        </w:tc>
        <w:tc>
          <w:tcPr>
            <w:tcW w:w="266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officer) of Universal Electronics Inc.</w:t>
            </w:r>
          </w:p>
        </w:tc>
        <w:tc>
          <w:tcPr>
            <w:tcW w:w="6980" w:type="dxa"/>
            <w:vAlign w:val="bottom"/>
            <w:gridSpan w:val="2"/>
          </w:tcPr>
          <w:p>
            <w:pPr>
              <w:spacing w:after="0"/>
              <w:rPr>
                <w:sz w:val="14"/>
                <w:szCs w:val="14"/>
                <w:color w:val="auto"/>
              </w:rPr>
            </w:pPr>
          </w:p>
        </w:tc>
      </w:tr>
    </w:tbl>
    <w:p>
      <w:pPr>
        <w:spacing w:after="0" w:line="80" w:lineRule="exact"/>
        <w:rPr>
          <w:sz w:val="20"/>
          <w:szCs w:val="20"/>
          <w:color w:val="auto"/>
        </w:rPr>
      </w:pPr>
    </w:p>
    <w:p>
      <w:pPr>
        <w:jc w:val="both"/>
        <w:ind w:left="1560" w:right="40" w:hanging="1396"/>
        <w:spacing w:after="0" w:line="229"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FF"/>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5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tcPr>
          <w:p>
            <w:pPr>
              <w:ind w:left="360"/>
              <w:spacing w:after="0"/>
              <w:rPr>
                <w:sz w:val="20"/>
                <w:szCs w:val="20"/>
                <w:color w:val="auto"/>
              </w:rPr>
            </w:pPr>
            <w:r>
              <w:rPr>
                <w:rFonts w:ascii="Arial" w:cs="Arial" w:eastAsia="Arial" w:hAnsi="Arial"/>
                <w:sz w:val="18"/>
                <w:szCs w:val="18"/>
                <w:color w:val="auto"/>
              </w:rPr>
              <w:t>Inline XBRL Instance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tcPr>
          <w:p>
            <w:pPr>
              <w:ind w:left="360"/>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tcPr>
          <w:p>
            <w:pPr>
              <w:ind w:left="36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tcPr>
          <w:p>
            <w:pPr>
              <w:ind w:left="36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tcPr>
          <w:p>
            <w:pPr>
              <w:ind w:left="36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sz w:val="20"/>
          <w:szCs w:val="20"/>
          <w:color w:val="auto"/>
        </w:rPr>
      </w:pPr>
    </w:p>
    <w:p>
      <w:pPr>
        <w:ind w:left="1560" w:hanging="1396"/>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Dated:   August 3, 2023</w:t>
            </w:r>
          </w:p>
        </w:tc>
        <w:tc>
          <w:tcPr>
            <w:tcW w:w="7560" w:type="dxa"/>
            <w:vAlign w:val="bottom"/>
            <w:gridSpan w:val="2"/>
          </w:tcPr>
          <w:p>
            <w:pPr>
              <w:ind w:left="1800"/>
              <w:spacing w:after="0"/>
              <w:rPr>
                <w:sz w:val="20"/>
                <w:szCs w:val="20"/>
                <w:color w:val="auto"/>
              </w:rPr>
            </w:pPr>
            <w:r>
              <w:rPr>
                <w:rFonts w:ascii="Arial" w:cs="Arial" w:eastAsia="Arial" w:hAnsi="Arial"/>
                <w:sz w:val="18"/>
                <w:szCs w:val="18"/>
                <w:b w:val="1"/>
                <w:bCs w:val="1"/>
                <w:color w:val="auto"/>
              </w:rPr>
              <w:t>UNIVERSAL ELECTRONICS INC.</w:t>
            </w:r>
          </w:p>
        </w:tc>
      </w:tr>
      <w:tr>
        <w:trPr>
          <w:trHeight w:val="297"/>
        </w:trPr>
        <w:tc>
          <w:tcPr>
            <w:tcW w:w="3640" w:type="dxa"/>
            <w:vAlign w:val="bottom"/>
          </w:tcPr>
          <w:p>
            <w:pPr>
              <w:spacing w:after="0"/>
              <w:rPr>
                <w:sz w:val="24"/>
                <w:szCs w:val="24"/>
                <w:color w:val="auto"/>
              </w:rPr>
            </w:pPr>
          </w:p>
        </w:tc>
        <w:tc>
          <w:tcPr>
            <w:tcW w:w="2520" w:type="dxa"/>
            <w:vAlign w:val="bottom"/>
          </w:tcPr>
          <w:p>
            <w:pPr>
              <w:ind w:left="18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30"/>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43"/>
        </w:trPr>
        <w:tc>
          <w:tcPr>
            <w:tcW w:w="3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8"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56"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2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2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firstLine="154"/>
        <w:spacing w:after="0" w:line="277" w:lineRule="auto"/>
        <w:tabs>
          <w:tab w:leader="none" w:pos="7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35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235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2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2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firstLine="154"/>
        <w:spacing w:after="0" w:line="277" w:lineRule="auto"/>
        <w:tabs>
          <w:tab w:leader="none" w:pos="7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23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19"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2023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Dated:   August 3, 2023</w:t>
            </w:r>
          </w:p>
        </w:tc>
        <w:tc>
          <w:tcPr>
            <w:tcW w:w="6180" w:type="dxa"/>
            <w:vAlign w:val="bottom"/>
            <w:gridSpan w:val="2"/>
          </w:tcPr>
          <w:p>
            <w:pPr>
              <w:ind w:left="3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4"/>
        </w:trPr>
        <w:tc>
          <w:tcPr>
            <w:tcW w:w="4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41"/>
        </w:trPr>
        <w:tc>
          <w:tcPr>
            <w:tcW w:w="4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7"/>
        </w:trPr>
        <w:tc>
          <w:tcPr>
            <w:tcW w:w="4860" w:type="dxa"/>
            <w:vAlign w:val="bottom"/>
          </w:tcPr>
          <w:p>
            <w:pPr>
              <w:spacing w:after="0"/>
              <w:rPr>
                <w:sz w:val="24"/>
                <w:szCs w:val="24"/>
                <w:color w:val="auto"/>
              </w:rPr>
            </w:pPr>
          </w:p>
        </w:tc>
        <w:tc>
          <w:tcPr>
            <w:tcW w:w="6180" w:type="dxa"/>
            <w:vAlign w:val="bottom"/>
            <w:gridSpan w:val="2"/>
          </w:tcPr>
          <w:p>
            <w:pPr>
              <w:ind w:left="3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9"/>
        </w:trPr>
        <w:tc>
          <w:tcPr>
            <w:tcW w:w="4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30"/>
        </w:trPr>
        <w:tc>
          <w:tcPr>
            <w:tcW w:w="4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89"/>
        </w:trPr>
        <w:tc>
          <w:tcPr>
            <w:tcW w:w="48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760" w:type="dxa"/>
            <w:vAlign w:val="bottom"/>
          </w:tcPr>
          <w:p>
            <w:pPr>
              <w:ind w:left="20"/>
              <w:spacing w:after="0" w:line="189"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2"/>
    </w:lvl>
  </w:abstractNum>
  <w:abstractNum w:abstractNumId="19">
    <w:nsid w:val="628C895D"/>
    <w:multiLevelType w:val="hybridMultilevel"/>
    <w:lvl w:ilvl="0">
      <w:lvlJc w:val="left"/>
      <w:lvlText w:val="%1"/>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2023-08-04T05:23:16Z</dcterms:created>
  <dcterms:modified xsi:type="dcterms:W3CDTF">2023-08-04T05:23:16Z</dcterms:modified>
</cp:coreProperties>
</file>