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48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8"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8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33-0204817</w:t>
            </w:r>
          </w:p>
        </w:tc>
      </w:tr>
      <w:tr>
        <w:trPr>
          <w:trHeight w:val="180"/>
        </w:trPr>
        <w:tc>
          <w:tcPr>
            <w:tcW w:w="48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48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0"/>
              </w:rPr>
              <w:t>15147 N. Scottsdale Road, Suite H300</w:t>
            </w:r>
          </w:p>
        </w:tc>
        <w:tc>
          <w:tcPr>
            <w:tcW w:w="3060" w:type="dxa"/>
            <w:vAlign w:val="bottom"/>
          </w:tcPr>
          <w:p>
            <w:pPr>
              <w:spacing w:after="0"/>
              <w:rPr>
                <w:sz w:val="24"/>
                <w:szCs w:val="24"/>
                <w:color w:val="auto"/>
              </w:rPr>
            </w:pPr>
          </w:p>
        </w:tc>
      </w:tr>
      <w:tr>
        <w:trPr>
          <w:trHeight w:val="234"/>
        </w:trPr>
        <w:tc>
          <w:tcPr>
            <w:tcW w:w="48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Scottsdale, Arizona</w:t>
            </w:r>
          </w:p>
        </w:tc>
        <w:tc>
          <w:tcPr>
            <w:tcW w:w="306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85254-2494</w:t>
            </w:r>
          </w:p>
        </w:tc>
      </w:tr>
      <w:tr>
        <w:trPr>
          <w:trHeight w:val="218"/>
        </w:trPr>
        <w:tc>
          <w:tcPr>
            <w:tcW w:w="48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530-3000</w:t>
      </w: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500" w:type="dxa"/>
            <w:vAlign w:val="bottom"/>
            <w:tcBorders>
              <w:top w:val="single" w:sz="8" w:color="auto"/>
              <w:right w:val="single" w:sz="8" w:color="auto"/>
            </w:tcBorders>
          </w:tcPr>
          <w:p>
            <w:pPr>
              <w:spacing w:after="0"/>
              <w:rPr>
                <w:sz w:val="22"/>
                <w:szCs w:val="22"/>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8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0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gridSpan w:val="3"/>
          </w:tcPr>
          <w:p>
            <w:pPr>
              <w:spacing w:after="0"/>
              <w:rPr>
                <w:sz w:val="2"/>
                <w:szCs w:val="2"/>
                <w:color w:val="auto"/>
              </w:rPr>
            </w:pPr>
          </w:p>
        </w:tc>
      </w:tr>
      <w:tr>
        <w:trPr>
          <w:trHeight w:val="237"/>
        </w:trPr>
        <w:tc>
          <w:tcPr>
            <w:tcW w:w="380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UEIC</w:t>
            </w:r>
          </w:p>
        </w:tc>
        <w:tc>
          <w:tcPr>
            <w:tcW w:w="48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7"/>
        </w:trPr>
        <w:tc>
          <w:tcPr>
            <w:tcW w:w="430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488"/>
        </w:trPr>
        <w:tc>
          <w:tcPr>
            <w:tcW w:w="912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3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4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None</w:t>
            </w:r>
          </w:p>
        </w:tc>
        <w:tc>
          <w:tcPr>
            <w:tcW w:w="2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83"/>
        </w:trPr>
        <w:tc>
          <w:tcPr>
            <w:tcW w:w="3800" w:type="dxa"/>
            <w:vAlign w:val="bottom"/>
          </w:tcPr>
          <w:p>
            <w:pPr>
              <w:spacing w:after="0"/>
              <w:rPr>
                <w:sz w:val="24"/>
                <w:szCs w:val="24"/>
                <w:color w:val="auto"/>
              </w:rPr>
            </w:pPr>
          </w:p>
        </w:tc>
        <w:tc>
          <w:tcPr>
            <w:tcW w:w="5320" w:type="dxa"/>
            <w:vAlign w:val="bottom"/>
            <w:gridSpan w:val="3"/>
          </w:tcPr>
          <w:p>
            <w:pPr>
              <w:jc w:val="center"/>
              <w:ind w:right="1630"/>
              <w:spacing w:after="0"/>
              <w:rPr>
                <w:sz w:val="20"/>
                <w:szCs w:val="20"/>
                <w:color w:val="auto"/>
              </w:rPr>
            </w:pPr>
            <w:r>
              <w:rPr>
                <w:rFonts w:ascii="Arial" w:cs="Arial" w:eastAsia="Arial" w:hAnsi="Arial"/>
                <w:sz w:val="18"/>
                <w:szCs w:val="18"/>
                <w:color w:val="auto"/>
                <w:w w:val="90"/>
              </w:rPr>
              <w:t>_______________________________________</w:t>
            </w: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7"/>
        </w:trPr>
        <w:tc>
          <w:tcPr>
            <w:tcW w:w="91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whether the registrant is a well-known seasoned issuer, as defined in Rule 405 of the Securities Act.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4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91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6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286" w:lineRule="exact"/>
        <w:rPr>
          <w:sz w:val="24"/>
          <w:szCs w:val="24"/>
          <w:color w:val="auto"/>
        </w:rPr>
      </w:pPr>
    </w:p>
    <w:tbl>
      <w:tblPr>
        <w:tblLayout w:type="fixed"/>
        <w:tblInd w:w="270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60"/>
          </w:cols>
          <w:pgMar w:left="320" w:top="225" w:right="319" w:bottom="0" w:gutter="0" w:footer="0" w:header="0"/>
        </w:sectPr>
      </w:pPr>
    </w:p>
    <w:bookmarkStart w:id="1" w:name="page2"/>
    <w:bookmarkEnd w:id="1"/>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28, 2019, the last business day of the registrant's most recently completed second fiscal quarter, was $369,666,251 based upon the closing sale price of the Company's common stock as reported on the NASDAQ Stock Market for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11, 2020, 14,014,991 shares of Common Stock, par value $.01 per share, of the registrant were outstanding.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2019 are incorporated by reference into Part III of this Form 10-K. The Proxy Statement will be filed with the Securities and Exchange Commission no later than April 29,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stated, the information contained in this Form 10-K is as of December 31, 2019.</w:t>
      </w:r>
    </w:p>
    <w:p>
      <w:pPr>
        <w:sectPr>
          <w:pgSz w:w="11900" w:h="16838" w:orient="portrait"/>
          <w:cols w:equalWidth="0" w:num="1">
            <w:col w:w="11240"/>
          </w:cols>
          <w:pgMar w:left="320" w:top="255"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60" w:type="dxa"/>
            <w:vAlign w:val="bottom"/>
            <w:gridSpan w:val="8"/>
          </w:tcPr>
          <w:p>
            <w:pPr>
              <w:jc w:val="center"/>
              <w:ind w:right="1620"/>
              <w:spacing w:after="0"/>
              <w:rPr>
                <w:sz w:val="20"/>
                <w:szCs w:val="20"/>
                <w:color w:val="auto"/>
              </w:rPr>
            </w:pPr>
            <w:r>
              <w:rPr>
                <w:rFonts w:ascii="Arial" w:cs="Arial" w:eastAsia="Arial" w:hAnsi="Arial"/>
                <w:sz w:val="18"/>
                <w:szCs w:val="18"/>
                <w:b w:val="1"/>
                <w:bCs w:val="1"/>
                <w:color w:val="auto"/>
              </w:rPr>
              <w:t>UNIVERSAL ELECTRONICS INC.</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0" w:type="dxa"/>
            <w:vAlign w:val="bottom"/>
            <w:gridSpan w:val="7"/>
          </w:tcPr>
          <w:p>
            <w:pPr>
              <w:jc w:val="center"/>
              <w:ind w:right="2480"/>
              <w:spacing w:after="0"/>
              <w:rPr>
                <w:sz w:val="20"/>
                <w:szCs w:val="20"/>
                <w:color w:val="auto"/>
              </w:rPr>
            </w:pPr>
            <w:r>
              <w:rPr>
                <w:rFonts w:ascii="Arial" w:cs="Arial" w:eastAsia="Arial" w:hAnsi="Arial"/>
                <w:sz w:val="18"/>
                <w:szCs w:val="18"/>
                <w:b w:val="1"/>
                <w:bCs w:val="1"/>
                <w:color w:val="auto"/>
                <w:w w:val="93"/>
              </w:rPr>
              <w:t>Annual Report on Form 10-K</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8"/>
          </w:tcPr>
          <w:p>
            <w:pPr>
              <w:jc w:val="center"/>
              <w:ind w:right="1600"/>
              <w:spacing w:after="0"/>
              <w:rPr>
                <w:sz w:val="20"/>
                <w:szCs w:val="20"/>
                <w:color w:val="auto"/>
              </w:rPr>
            </w:pPr>
            <w:r>
              <w:rPr>
                <w:rFonts w:ascii="Arial" w:cs="Arial" w:eastAsia="Arial" w:hAnsi="Arial"/>
                <w:sz w:val="18"/>
                <w:szCs w:val="18"/>
                <w:b w:val="1"/>
                <w:bCs w:val="1"/>
                <w:color w:val="auto"/>
                <w:w w:val="90"/>
              </w:rPr>
              <w:t>For the Fiscal Year Ended December 31, 2019</w:t>
            </w: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w w:val="89"/>
              </w:rPr>
              <w:t>Table of Contents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32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120" w:type="dxa"/>
            <w:vAlign w:val="bottom"/>
          </w:tcPr>
          <w:p>
            <w:pPr>
              <w:spacing w:after="0"/>
              <w:rPr>
                <w:sz w:val="24"/>
                <w:szCs w:val="24"/>
                <w:color w:val="auto"/>
              </w:rPr>
            </w:pPr>
          </w:p>
        </w:tc>
        <w:tc>
          <w:tcPr>
            <w:tcW w:w="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r>
      <w:tr>
        <w:trPr>
          <w:trHeight w:val="158"/>
        </w:trPr>
        <w:tc>
          <w:tcPr>
            <w:tcW w:w="932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860" w:type="dxa"/>
            <w:vAlign w:val="bottom"/>
            <w:gridSpan w:val="5"/>
          </w:tcPr>
          <w:p>
            <w:pPr>
              <w:jc w:val="right"/>
              <w:ind w:right="22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0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4"/>
        </w:trPr>
        <w:tc>
          <w:tcPr>
            <w:tcW w:w="100" w:type="dxa"/>
            <w:vAlign w:val="bottom"/>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9220" w:type="dxa"/>
            <w:vAlign w:val="bottom"/>
            <w:gridSpan w:val="23"/>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60" w:type="dxa"/>
            <w:vAlign w:val="bottom"/>
            <w:gridSpan w:val="5"/>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9320" w:type="dxa"/>
            <w:vAlign w:val="bottom"/>
            <w:gridSpan w:val="2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1A Risk Factors</w:t>
              </w:r>
            </w:hyperlink>
          </w:p>
        </w:tc>
        <w:tc>
          <w:tcPr>
            <w:tcW w:w="1860" w:type="dxa"/>
            <w:vAlign w:val="bottom"/>
            <w:gridSpan w:val="5"/>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1B Unresolved Staff Comments</w:t>
              </w:r>
            </w:hyperlink>
          </w:p>
        </w:tc>
        <w:tc>
          <w:tcPr>
            <w:tcW w:w="7020" w:type="dxa"/>
            <w:vAlign w:val="bottom"/>
            <w:gridSpan w:val="12"/>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1440" w:type="dxa"/>
            <w:vAlign w:val="bottom"/>
            <w:gridSpan w:val="7"/>
          </w:tcPr>
          <w:p>
            <w:pPr>
              <w:spacing w:after="0"/>
              <w:rPr>
                <w:sz w:val="21"/>
                <w:szCs w:val="21"/>
                <w:color w:val="auto"/>
              </w:rPr>
            </w:pPr>
          </w:p>
        </w:tc>
        <w:tc>
          <w:tcPr>
            <w:tcW w:w="7020" w:type="dxa"/>
            <w:vAlign w:val="bottom"/>
            <w:gridSpan w:val="12"/>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3</w:t>
              </w:r>
            </w:hyperlink>
          </w:p>
        </w:tc>
        <w:tc>
          <w:tcPr>
            <w:tcW w:w="9220" w:type="dxa"/>
            <w:vAlign w:val="bottom"/>
            <w:gridSpan w:val="23"/>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8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4</w:t>
              </w:r>
            </w:hyperlink>
          </w:p>
        </w:tc>
        <w:tc>
          <w:tcPr>
            <w:tcW w:w="9220" w:type="dxa"/>
            <w:vAlign w:val="bottom"/>
            <w:gridSpan w:val="23"/>
          </w:tcPr>
          <w:p>
            <w:pPr>
              <w:ind w:left="40"/>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860" w:type="dxa"/>
            <w:vAlign w:val="bottom"/>
            <w:gridSpan w:val="5"/>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rPr>
              <w:t>PART II</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4"/>
        </w:trPr>
        <w:tc>
          <w:tcPr>
            <w:tcW w:w="100" w:type="dxa"/>
            <w:vAlign w:val="bottom"/>
          </w:tcPr>
          <w:p>
            <w:pPr>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5</w:t>
              </w:r>
            </w:hyperlink>
          </w:p>
        </w:tc>
        <w:tc>
          <w:tcPr>
            <w:tcW w:w="9220" w:type="dxa"/>
            <w:vAlign w:val="bottom"/>
            <w:gridSpan w:val="23"/>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1860" w:type="dxa"/>
            <w:vAlign w:val="bottom"/>
            <w:gridSpan w:val="5"/>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c>
          <w:tcPr>
            <w:tcW w:w="2740" w:type="dxa"/>
            <w:vAlign w:val="bottom"/>
            <w:gridSpan w:val="12"/>
          </w:tcPr>
          <w:p>
            <w:pPr>
              <w:ind w:left="4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140" w:type="dxa"/>
            <w:vAlign w:val="bottom"/>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7</w:t>
              </w:r>
            </w:hyperlink>
          </w:p>
        </w:tc>
        <w:tc>
          <w:tcPr>
            <w:tcW w:w="9220" w:type="dxa"/>
            <w:vAlign w:val="bottom"/>
            <w:gridSpan w:val="23"/>
          </w:tcPr>
          <w:p>
            <w:pPr>
              <w:ind w:left="40"/>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860" w:type="dxa"/>
            <w:vAlign w:val="bottom"/>
            <w:gridSpan w:val="5"/>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7A Quantitative and Qualitative Disclosures About Market Risk</w:t>
              </w:r>
            </w:hyperlink>
          </w:p>
        </w:tc>
        <w:tc>
          <w:tcPr>
            <w:tcW w:w="1940" w:type="dxa"/>
            <w:vAlign w:val="bottom"/>
            <w:gridSpan w:val="2"/>
          </w:tcPr>
          <w:p>
            <w:pPr>
              <w:spacing w:after="0"/>
              <w:rPr>
                <w:sz w:val="21"/>
                <w:szCs w:val="21"/>
                <w:color w:val="auto"/>
              </w:rPr>
            </w:pPr>
          </w:p>
        </w:tc>
        <w:tc>
          <w:tcPr>
            <w:tcW w:w="2760" w:type="dxa"/>
            <w:vAlign w:val="bottom"/>
            <w:gridSpan w:val="4"/>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8</w:t>
              </w:r>
            </w:hyperlink>
          </w:p>
        </w:tc>
        <w:tc>
          <w:tcPr>
            <w:tcW w:w="3360" w:type="dxa"/>
            <w:vAlign w:val="bottom"/>
            <w:gridSpan w:val="15"/>
          </w:tcPr>
          <w:p>
            <w:pPr>
              <w:ind w:left="40"/>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00" w:type="dxa"/>
            <w:vAlign w:val="bottom"/>
            <w:gridSpan w:val="6"/>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9</w:t>
              </w:r>
            </w:hyperlink>
          </w:p>
        </w:tc>
        <w:tc>
          <w:tcPr>
            <w:tcW w:w="9220" w:type="dxa"/>
            <w:vAlign w:val="bottom"/>
            <w:gridSpan w:val="23"/>
          </w:tcPr>
          <w:p>
            <w:pPr>
              <w:ind w:left="40"/>
              <w:spacing w:after="0"/>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18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720" w:type="dxa"/>
            <w:vAlign w:val="bottom"/>
            <w:gridSpan w:val="3"/>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9B Other Information</w:t>
              </w:r>
            </w:hyperlink>
          </w:p>
        </w:tc>
        <w:tc>
          <w:tcPr>
            <w:tcW w:w="7300" w:type="dxa"/>
            <w:vAlign w:val="bottom"/>
            <w:gridSpan w:val="13"/>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rPr>
              <w:t>PART III</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4"/>
        </w:trPr>
        <w:tc>
          <w:tcPr>
            <w:tcW w:w="4320" w:type="dxa"/>
            <w:vAlign w:val="bottom"/>
            <w:gridSpan w:val="17"/>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10 Directors, Executive Officers and Corporate Governance</w:t>
              </w:r>
            </w:hyperlink>
          </w:p>
        </w:tc>
        <w:tc>
          <w:tcPr>
            <w:tcW w:w="5000" w:type="dxa"/>
            <w:vAlign w:val="bottom"/>
            <w:gridSpan w:val="7"/>
          </w:tcPr>
          <w:p>
            <w:pPr>
              <w:spacing w:after="0"/>
              <w:rPr>
                <w:sz w:val="24"/>
                <w:szCs w:val="24"/>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00" w:type="dxa"/>
            <w:vAlign w:val="bottom"/>
            <w:gridSpan w:val="7"/>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320" w:type="dxa"/>
            <w:vAlign w:val="bottom"/>
            <w:gridSpan w:val="2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12 Security Ownership of Certain Beneficial Owners and Management and Related Stockholder Matters</w:t>
              </w:r>
            </w:hyperlink>
          </w:p>
        </w:tc>
        <w:tc>
          <w:tcPr>
            <w:tcW w:w="186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00" w:type="dxa"/>
            <w:vAlign w:val="bottom"/>
            <w:gridSpan w:val="2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13 Certain Relationships and Related Transactions, and Director Independence</w:t>
              </w:r>
            </w:hyperlink>
          </w:p>
        </w:tc>
        <w:tc>
          <w:tcPr>
            <w:tcW w:w="1820" w:type="dxa"/>
            <w:vAlign w:val="bottom"/>
            <w:gridSpan w:val="2"/>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14 Principal Accountant Fees and Services</w:t>
              </w:r>
            </w:hyperlink>
          </w:p>
        </w:tc>
        <w:tc>
          <w:tcPr>
            <w:tcW w:w="3660" w:type="dxa"/>
            <w:vAlign w:val="bottom"/>
            <w:gridSpan w:val="5"/>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695"/>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rPr>
              <w:t>PART IV</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4"/>
        </w:trPr>
        <w:tc>
          <w:tcPr>
            <w:tcW w:w="3380" w:type="dxa"/>
            <w:vAlign w:val="bottom"/>
            <w:gridSpan w:val="15"/>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15 Exhibits and Financial Statement Schedules</w:t>
              </w:r>
            </w:hyperlink>
          </w:p>
        </w:tc>
        <w:tc>
          <w:tcPr>
            <w:tcW w:w="5940" w:type="dxa"/>
            <w:vAlign w:val="bottom"/>
            <w:gridSpan w:val="9"/>
          </w:tcPr>
          <w:p>
            <w:pPr>
              <w:spacing w:after="0"/>
              <w:rPr>
                <w:sz w:val="24"/>
                <w:szCs w:val="24"/>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380" w:type="dxa"/>
            <w:vAlign w:val="bottom"/>
            <w:gridSpan w:val="1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16 Form 10-K Summary</w:t>
              </w:r>
            </w:hyperlink>
          </w:p>
        </w:tc>
        <w:tc>
          <w:tcPr>
            <w:tcW w:w="5940" w:type="dxa"/>
            <w:vAlign w:val="bottom"/>
            <w:gridSpan w:val="9"/>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7560" w:type="dxa"/>
            <w:vAlign w:val="bottom"/>
            <w:gridSpan w:val="15"/>
          </w:tcPr>
          <w:p>
            <w:pPr>
              <w:spacing w:after="0"/>
              <w:rPr>
                <w:sz w:val="21"/>
                <w:szCs w:val="21"/>
                <w:color w:val="auto"/>
              </w:rPr>
            </w:pPr>
          </w:p>
        </w:tc>
        <w:tc>
          <w:tcPr>
            <w:tcW w:w="1860" w:type="dxa"/>
            <w:vAlign w:val="bottom"/>
            <w:gridSpan w:val="5"/>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to the contrary.</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UEI designs, develops, manufactures and ships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broadcasting, home entertainment, automation, security, hospitality and climate control markets. Our offerings include:</w:t>
      </w:r>
    </w:p>
    <w:p>
      <w:pPr>
        <w:spacing w:after="0" w:line="1" w:lineRule="exact"/>
        <w:rPr>
          <w:sz w:val="20"/>
          <w:szCs w:val="20"/>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satellite and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principal markets are the subscription broadcast, consumer and mobile electronics, residential security, and hospitality markets where our customers include service providers, OEMs, international retailers, private label brands, pro-security dealers and companies in the computing industry.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subscription broadcasting providers, both domestically and internationally, with our universal remote control devices and integrated circuits, on which our software and device code libraries are embedded. We also sell integrated circuits, on which our software and device control code libraries are embedded, and license our device control solutions to OEMs that manufacture televisions, digital audio and video players, streamer boxes, cable converters, satellite receivers, set-top boxes, room and central heating, ventilation and air conditioning ("HVAC") equipment, game consoles, and wireless mobile phones and tablets.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We currently own and operate vertically integrated manufacturing and assembly factories in the People's Republic of China ("PRC"), Mexico and Brazil, which allow us the ability to produce in the regional markets and to scale our production to meet growing customer demand. We also use third-party manufacturing partners in other regions, such as The Philippines and Vietnam.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Leveraging our scale and expertise in low-power RF microcontrollers, we continue to pursue further penetration of the more traditional OEM consumer electronics markets as well as newer product categories in the smart home and Internet of Things ("IoT") markets such as lighting, window coverings, and bathroom controllers. Customers in these markets integrate our solutions and technology into their products to enhance their consumer lifestyle ecosystems. Growth in these markets has been driven by the increasing demand for more energy efficient homes, consumer convenience and the increasing proliferation of connected smart devices.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2015, we acquired Ecolink Intelligent Technology, Inc. ("Ecolink"), a leading developer of safety and security products. Ecolink provides a wide range of intelligent wireless security and automation components dedicated to redefining the home security experience. Ecolink has over 20 years of wireless engineering expertise in the home security and automation market and currently holds more than 50 related pending and issued patents. UEI’s current subscription broadcasting customers and customers in the hospitality channel are adding home security and automation to their list of service offerings. Our acquisition of Ecolink, a premise equipment supplier to this market, enables us to broaden our design expertise and product portfolio to add home security and automation sensors to our capabilities.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we acquired Residential Control Systems, Inc. ("RCS"), a U.S.-based designer and manufacturer of energy management and control products for the residential, small commercial and hospitality markets. The acquisition of RCS allows us to expand our product offering to include smart thermostat, sensing and monitoring products and enables us to broaden our technology and design expertise in these product categories. Smart and connected thermostats are critical components of the smart home that help deliver energy-efficiency and an enhanced consumer lifestyle.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2019, 2018, and 2017, our sales to Comcast Corporation ("Comcast") accounted for 15.9%, 17.6%, and 23.0% of our net sales, respectively. For the year ended December 31, 2017 our sales to AT&amp;T Inc. ("AT&amp;T", formerly DIRECTV) and its sub-contractors collectively accounted for 11.2% of our net sales.</w:t>
      </w:r>
    </w:p>
    <w:p>
      <w:pPr>
        <w:spacing w:after="0" w:line="13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 of remote controls and AV accessories sold within the international retail markets accounted for 6.2%, 7.4%, and 7.1% of our total net sales for the years ended December 31, 2019, 2018, and 2017,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hold a number of patents in the United States and abroad related to our products and technology, and have filed domestic and foreign applications for other patents that are pending. At the end of 2019, we had over 500 issued and pending United States patents related to remote control, home security, safety and automation as well as hundreds of foreign counterpart patents and applications in various territories around the world.</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one to 18 years. 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nearly 9,000 brands comprising over 800,000 device models across AV and smart home platforms, supported by many common smart home protocols, including IR, HDMI-CEC, Zigbee, and Home Network or Cloud Control.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700,000 unique device fingerprints across both AV and Smart Home devices.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IoT devices. These control codes are captured directly from original remote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("QuickSet") is a software application that is currently embedded or enabled via a cloud service, in over 550 million devices worldwide. QuickSet may be embedded in an AV device, set-top box, or other host device, or delivered as a cloud-based service to enable universal remote setup and control. QuickSet enables universal device control set-up using automated and guided on-screen instructions and a wireless two-way communication link between the remote and the QuickSet enabled device. The two-way connection allows device control code data and configuration settings to be sent to the remote control from the device and greatly simplifies the universal control set-up process and can enable other time-saving features. QuickSet utilizes data transmitted over HDMI or IP networks to automatically detect various attributes of the connected device and downloads the appropriate control codes and functions into the remote control without the need for the user to enter any additional information. The user does not need to know the brand or model number to set up the device in the remote. Any compatible new device that is connected is recognized. Consumers can quickly and easily set up their control interface to control multiple devices. Recently added QuickSet features address common consumer challenges in universal device control, such as mode confusion and input switching. With QuickSet, consumers switch easily between activities and reliably view their chosen content source with a single touch. QuickSet handles the device-specific control. A QuickSet user experience can be delivered via a tactile remote, touchscreen interface, on-screen graphical user interface or voice-enabled system. Licensees of QuickSet include service providers such as Comcast, AT&amp;T and Dish Network Corporation; smart TV manufacturers such as Sony Corporation ("Sony") and Samsung; and leading game console manufacturers such as Microsoft Corporation on its Xbox One game system.</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QuickSet Cloud is an end-to-end platform for discovery, control, and interaction with devices including rules and automation framework for a truly connected home experience. Leveraging the largest knowledge graph of devices, services are offered through QuickSet Cloud and QuickSet SDK delivery methods with edge intelligence built in and cloud scalability capabilities.</w:t>
      </w:r>
    </w:p>
    <w:p>
      <w:pPr>
        <w:spacing w:after="0" w:line="1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Smart devices are becoming a more prevalent part of the home entertainment experience, and UEI offers several solutions to enable entertainment device control via a smart phone, tablet, smart TV or smart speaker or digital assistant. In its smart device control solutions, UEI offers all of the elements needed for device control ranging from IR and RF controller chips to device control libraries to graphical and voice user interfaces, as well as artificial intelligence systems that deliver context aware device interactions. Designed for Android, Nevo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("Nevo") Home is UEI's device and service discovery and control application, currently available for download at Google Play.</w:t>
      </w:r>
    </w:p>
    <w:p>
      <w:pPr>
        <w:spacing w:after="0" w:line="1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2018, UEI introduced nevo.ai, a digital assistant for the connected home with a natural language interface to allow interaction with devices within the home using QuickSet's underlying capabilities. Features are expandable through Enterprise Integration and Ecosystem of Partner Services.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we introduced Nevo Butler, a turnkey smart home hub with nevo.ai and QuickSet pre-integrated. Offered as managed hardware with security built in from manufacturing through the life-cycle, it is capable of natively running Nevo Assistant, as well as other digital assistants.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UEI continues to evolve its hardware and software solutions by adding new features and capabilities to ensure added value. Through its cloud service platforms, QuickSet Cloud and nevo.ai, UEI began offering Interoperability As a Service with the intent of developing a recurring monthly revenue stream associated with these new offerings to its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Distribution methods for our control solutions vary depending on the sales channel. We distribute remote control devices, sensors, connected thermostats and AV accessories directly to subscription broadcasters and OEMs, both domestically and internationally. We also distribute home security sensors and connected thermostats to pro-security installers and hospitality system integrators in the United States through a network of dealers. Additionally, we sell our wireless control devices and AV accessories under the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brand names to retailers through our international subsidiaries and direct to retailers in key markets, such as in the United Kingdom and Germany. We utilize third-party distributors for the retail channel in countries where we do not have subsidiaries.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developed a broad portfolio of patented technologies and the industry's leading database of device setup and control software. We ship integrated circuits, on which our software and control code libraries are embedded and that connect to our embedded software and cloud services,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1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provide international consumer support to our various retail distributors primarily for our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universal accessories through our live and automated call centers. We also make available a web-based support resource,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www.urcsupport.com, designed specifically for subscription broadcasters. This solution offers videos and online tools to help users easily set up their universal remote controls, and as a result reduces call volume at customer support centers.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26 domestic and international subsidiaries are the following:</w:t>
      </w:r>
    </w:p>
    <w:p>
      <w:pPr>
        <w:spacing w:after="0" w:line="6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S.R.L. de C.V., established in Mexico;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Ecolink Intelligent Technology, Inc.; established under the laws of Delaware;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RCS Technology, LLC; established under the laws of Delaware;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do Brasil Controles Remotos Ltda., established in Brazil;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Yangzhou Universal Trading Co. Ltd., established in the PRC.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Mexico, Brazil and The Philippines to produce our control and sensor products. In 2017, Texas Instruments provided 10% of our total inventory purchases. In 2018 and 2019, no single supplier provided more than 10% of our total inventory purchases.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though we operate two factories in the PRC and manufacturing and assembly plants in Brazil and Mexico, we continue to evaluate additional contract manufacturers and sources of supply. During 2019, we utilized multiple contract manufacturers and maintained duplicate tooling for certain of our products. Where possible we utilize standard parts and components, which are available from multiple sources.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to avoid the U.S. government-imposed tariffs on products made in the PRC and imported into the United States, we began to move production of many of our products destined for the United States to Mexico and a third-party manufacturing partner outside of the PRC. As of December 31, 2019, this transition was substantially complete.</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 Our factories in the PRC are certified to the ISO 14001 International Standard for environmental management systems. In addition, the manufacturing facilities in Yangzhou, PRC have also achieved ISO 45001 International Standard for safety and health management systems. We are focused on reducing the impact of our operations on the environment; and our teams continue to examine practices and processes throughout our facilities to identify opportunities for greater efficiency.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requiring observance to strict quality standards by our suppliers, we maintain and require our suppliers to adhere to a robust Global Supplier Code of Conduct. As part of the initial qualification and ongoing audit process, we examine a supplier’s social and environmental responsiveness in areas such as labor practice, occupational health and safety, and environmental protection. Additionally, we are committed to a conflict-free mineral supply chain.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 based microcontrollers have shorter lead times than microcontrollers using other memory technologies and may be reprogrammed, if necessary.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UEI is also a large consumer of low-power, RF chips and modules that are used throughout our product portfolios, including many of our remotes, sensors and thermostats.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22"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principal competitors in the subscription broadcasting market are Remote Solutions, Omni Remotes (formerly Philips Home Control Singapore PTE, Ltd.), SMK, and Ruwido. In the international retail and private label markets for wireless controls we compete primarily with Logitech and Sony, as well as various manufacturers of wireless controls in Asia. Our primary competitors in the OEM market are the OEMs themselves and various wireless control manufacturers in Asia. In home security, safety and automation, we offer universal sub-gigahertz products that are compatible with the top security panel manufacturers, such as Honeywell, GE, Tyco/DSC and 2GIG. In the Do-It-Yourself ("DIY") residential security channel, we compete with many Chinese ODMs, such as Leedarson, while in the connected smart home market we compete with the OEMs themselves as well as wireless manufacturers in North America, such as Nortek, and other original design manufacturers in Asia. We compete in our markets on the basis of product quality, features, intellectual property, local design and development expertise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2019,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optimizing our cloud platform to deliver additional features and managed services to a large installed base of customer and end-users.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UEI was awarded a 2017 Technical &amp; Engineering Emmy® Award from The National Academy of Television Arts &amp; Sciences for its work relating to voice navigation technologies for discovering and interacting with TV content. UEI was selected for its excellence in engineering and creativity that has materially affected the television viewing experience.</w:t>
      </w:r>
    </w:p>
    <w:p>
      <w:pPr>
        <w:spacing w:after="0" w:line="130"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During 2019, our advanced engineering efforts focused on further developing our existing products, services and technologies. We released software updates to our embedded QuickSet application, and continued development initiatives around emerging RF technologies, such as RF4CE, Bluetooth, Bluetooth Smart and WiFi. We introduced Nevo Butler, as well as, enhancements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60"/>
        <w:spacing w:after="0" w:line="279" w:lineRule="auto"/>
        <w:rPr>
          <w:sz w:val="20"/>
          <w:szCs w:val="20"/>
          <w:color w:val="auto"/>
        </w:rPr>
      </w:pPr>
      <w:r>
        <w:rPr>
          <w:rFonts w:ascii="Arial" w:cs="Arial" w:eastAsia="Arial" w:hAnsi="Arial"/>
          <w:sz w:val="17"/>
          <w:szCs w:val="17"/>
          <w:color w:val="auto"/>
        </w:rPr>
        <w:t>UEI’s turnkey, voice-enabled smart home hub with built-in white label digital assistant with the aim of bringing voice first experiences to a large install base of devices in the home, blending entertainment control and home automation experiences, enabling interoperability across fragmented ecosystems. Additionally, we released many new advanced remote control products that incorporate voice search capabilities across a variety of our channels, as well as, several new connected thermostat platforms for OEM and security channel customers in Asia and North America.</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telephone and cable communications and networking in the home. Because of the nature of research and development ("R&amp;D") activities, there can be no assurance that any of our R&amp;D projects will be successfully completed or ultimately achieve commercial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11.0</w:t>
            </w:r>
          </w:p>
        </w:tc>
      </w:tr>
      <w:tr>
        <w:trPr>
          <w:trHeight w:val="268"/>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engineering, 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540" w:hanging="235"/>
        <w:spacing w:after="0"/>
        <w:tabs>
          <w:tab w:leader="none" w:pos="5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Engineering costs are included in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Directive ("WEEE")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the PRC and Japan.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2019, 2018 and 2017,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committed to reducing and eliminating substances of concern from our products and manufacturing process. Our products distributed in the European Unions are compliant with the RoHS (Restriction of Hazardous Substances Directive 2002/95/EC)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At our manufacturing facilities, we are also committed to protecting our workers from exposure to hazardous substances under an established health and safety management system; for example, we strive to have our facilities be free of lead and the substances banned by RoHS.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strive to extend the useful life of our products and reduce our products’ impact on the environment. For example, we deploy low energy IR-engine in some of our products which can extend battery life regardless of the protocols utilized by the product. We also offer a robust product refurbishment program to our customers where we will take back, refurbish and recycle used remote control units. Under such program, substantially all of the materials in a used remote control unit are reused or recycled; for example, used plastics and silicon are ground and reused in other products. We have also employed new master carton packing methods to increase shipping efficiency and reduce cardboard usage.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2019, we employed 4,347 employees, of which 1,035 worked in engineering and R&amp;D, 111 in sales and marketing, 63 in consumer service and support, 2,844 in operations and warehousing and 294 in executive and administrative functions. In addition, our factories in the PRC and our Asian operations engaged an additional 4,419 staff contracted through agency agreements.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46.9% of our 4,347 employees at December 31, 2019. Some unionized workers, employed in Manaus, Brazil, are represented under contract with the Sindicato dos Trabalhadores nas Industrias Metalugicas, Mecanicas e de Materiais Eletricos de Manaus. Other unionized workers, employed in Monterrey, Mexico, are represented under contract with the Sindicato Industrial de Trabajadores de Nuevo León adherido a la Federación Nacional de Sindicatos Independientes.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13, 2020:</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7620" w:type="dxa"/>
            <w:vAlign w:val="bottom"/>
            <w:tcBorders>
              <w:bottom w:val="single" w:sz="8" w:color="auto"/>
            </w:tcBorders>
          </w:tcPr>
          <w:p>
            <w:pPr>
              <w:ind w:left="356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Ramzi S. Ammari</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Corporate Planning and Strategy</w:t>
            </w: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Executive Vice President, Asia</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Menno V. Koopmans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1"/>
                <w:szCs w:val="21"/>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Senior Vice President, Global Sales</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20" w:type="dxa"/>
            <w:vAlign w:val="bottom"/>
          </w:tcPr>
          <w:p>
            <w:pPr>
              <w:spacing w:after="0"/>
              <w:rPr>
                <w:sz w:val="2"/>
                <w:szCs w:val="2"/>
                <w:color w:val="auto"/>
              </w:rPr>
            </w:pPr>
          </w:p>
        </w:tc>
      </w:tr>
      <w:tr>
        <w:trPr>
          <w:trHeight w:val="243"/>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E. Miketo</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21"/>
                <w:szCs w:val="21"/>
                <w:color w:val="auto"/>
              </w:rPr>
            </w:pP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27"/>
        </w:trPr>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2019 Annual Meeting of Stockholders, Mr. Arling was re-elected as our Chairman to serve until the 2020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various other financial management positions.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Ramzi S. Ammari </w:t>
      </w:r>
      <w:r>
        <w:rPr>
          <w:rFonts w:ascii="Arial" w:cs="Arial" w:eastAsia="Arial" w:hAnsi="Arial"/>
          <w:sz w:val="18"/>
          <w:szCs w:val="18"/>
          <w:color w:val="auto"/>
        </w:rPr>
        <w:t>is our Senior Vice President, Corporate Planning and Strategy. He joined us in June 1997 as a Project Manager and has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David Chong </w:t>
      </w:r>
      <w:r>
        <w:rPr>
          <w:rFonts w:ascii="Arial" w:cs="Arial" w:eastAsia="Arial" w:hAnsi="Arial"/>
          <w:sz w:val="18"/>
          <w:szCs w:val="18"/>
          <w:color w:val="auto"/>
        </w:rPr>
        <w:t>is our Executive Vice President, Asia. He is responsible for managing sales in our Asian markets. He was previously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management of our Asia region. Mr. Chong joined us in January 2009 as Senior Vice President of Global OEM Sales. Prior to joining us, Mr. Chong served as Senior Vice President at Philips Consumer Electronics Division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is our Senior Vice President, General Counsel and Secretary. He joined us in October 1993 as General Counsel. He</w:t>
      </w:r>
      <w:r>
        <w:rPr>
          <w:rFonts w:ascii="Arial" w:cs="Arial" w:eastAsia="Arial" w:hAnsi="Arial"/>
          <w:sz w:val="18"/>
          <w:szCs w:val="18"/>
          <w:i w:val="1"/>
          <w:iCs w:val="1"/>
          <w:color w:val="auto"/>
        </w:rPr>
        <w:t xml:space="preserve"> </w:t>
      </w:r>
      <w:r>
        <w:rPr>
          <w:rFonts w:ascii="Arial" w:cs="Arial" w:eastAsia="Arial" w:hAnsi="Arial"/>
          <w:sz w:val="18"/>
          <w:szCs w:val="18"/>
          <w:color w:val="auto"/>
        </w:rPr>
        <w:t>became our Secretary in February 1994. He was our Vice President from May 1997 until August 1998, and served as counsel to us from September 1998 until February 1999 at which time he was promoted to his current position.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 in the state of California.</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Senior Vice President, Global Sales. He served as Managing Director, EMEA from 2018 to August 2019 when he was promoted</w:t>
      </w:r>
      <w:r>
        <w:rPr>
          <w:rFonts w:ascii="Arial" w:cs="Arial" w:eastAsia="Arial" w:hAnsi="Arial"/>
          <w:sz w:val="17"/>
          <w:szCs w:val="17"/>
          <w:i w:val="1"/>
          <w:iCs w:val="1"/>
          <w:color w:val="auto"/>
        </w:rPr>
        <w:t xml:space="preserve"> </w:t>
      </w:r>
      <w:r>
        <w:rPr>
          <w:rFonts w:ascii="Arial" w:cs="Arial" w:eastAsia="Arial" w:hAnsi="Arial"/>
          <w:sz w:val="17"/>
          <w:szCs w:val="17"/>
          <w:color w:val="auto"/>
        </w:rPr>
        <w:t>to his current position. From 2014 to the end of 2017, he was our Senior Vice President for subscription broadcasting business in Europe and India where he led the customer transition into smart remote controls. From 2005 until 2013, he was the head of our worldwide consumer business and our One For All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Prior to joining us, Mr. Koopmans worked at Mars, Sony Europe and Royal Philips Electronics in different product, marketing and sales management roles in both fast-moving consumer goods and durable consumer goods categories. Mr. Koopmans received his Masters in Science of Business Administration from Erasmus University in Rotterdam, The Netherlands.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Joseph E. Miketo </w:t>
      </w:r>
      <w:r>
        <w:rPr>
          <w:rFonts w:ascii="Arial" w:cs="Arial" w:eastAsia="Arial" w:hAnsi="Arial"/>
          <w:sz w:val="18"/>
          <w:szCs w:val="18"/>
          <w:color w:val="auto"/>
        </w:rPr>
        <w:t>is our Senior Vice President, Operations. Mr. Miketo rejoined us in January 2019 to lead our global manufacturing and operations. 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originally joined us in 2008 holding various positions, ultimately advancing to Senior Vice President of Operations by 2013. Before rejoining us in 2019, he was President/COO at Cast Nylons, a privately held manufacturer and distributor of cast nylon stock shapes and custom cast parts. From 2014 to 2017, Mr. Miketo served as CEO/President at Air Enterprises, a privately held manufacturer of specialty air handling equipment. Prior to joining us in 2008, Mr. Miketo managed all product development, manufacturing and materials planning for Ranpak, a manufacturer and distributor of machines and paper packaging materials in North America and Europe. Mr. Miketo holds a Bachelor of Science in Chemical Engineering from Rose-Hulman Institute of Technology of Terre Haute, Indiana.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risks that could materially and adversely affect our business, results of operations, cash flow, liquidity, or financial condition. You should understand that these risks could cause results to differ materially from those we express in forward-looking statements contained in this report or in other Company communications, including those we file from time to time with the SEC. Because there is no way to determine in advance whether, or to what extent, any present uncertainty will ultimately impact our business, you should give equal weight to each of the following: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Adverse Changes in General Business and Economic Conditions in the United States and Worldwide May Adversely Affect Our Results of Operations, Cash Flow, Liquidity or Financial Condition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sensitive to global and regional business and economic conditions. Adverse changes in such conditions in the United States and worldwide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 Weakening or Reversal of the General Economic Recovery in the United States and Other Countries and Regions in Which We Do Business, or the Continuation or Worsening of Economic Downturns in Other Countries and Regions, May Adversely Affect Our Results of Operations, Cash Flow, Liquidity or Financial Condition</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Global economic uncertainty continues to exist. A weakening or reversal of the general economic recovery in the United States and other countries and regions in which we do business, or the continuation or worsening of economic downturns in other countries and regions,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such inability could adversely impact our cash flow, liquidity or financial condition, including our ability to obtain funding for working capital needs and other general corporate purposes.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currently have available credit facilities to fund our current operating needs, we cannot be certain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could have an adverse effect on our access to these facilities which, in turn, could have a material adverse effect on our results of operations, cash flow, liquidity or financial condition.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goodwill and intangible assets recorded on our balance sheet. We periodically evaluate the recoverability of the carrying value of our goodwill and intangible assets whenever events or changes in circumstances indicate such value may not be recoverable. An impairment assessment involves judgment as to assumptions regarding future sales and cash flow and the impact of market conditions on those assumptions. Future events and changing market conditions may impact our assumptions and change our estimates of future sales and cash flow, resulting in us incurring substantial impairment charges, which would adversely affect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Increases in the Cost of Raw Materials and Energy May Adversely Affect Our Earnings or Cash Flow</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raw materials and energy for use in the manufacturing, distribution and sale of our products. Factors such as political instability, higher tariffs and adverse weather conditions, including hurricanes, and other natural disasters can disrupt raw material and fuel supplies and increase our costs. 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Presently, we manufacture a majority of our products in our factories in the PRC. Additionally, many of our contract manufacturers are located in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 the PRC carries a number of risks including the following: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increased volatility in the exchange rate the Chinese Yuan Renminbi against the U.S. Dollar.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 which could lead to higher manufacturing costs for our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external sales of our consolidated foreign subsidiaries totaled approximately 40.9%, 48.2% and 44.3% of our total consolidated net sales in 2019, 2018 and 2017, respectively. We expect that the international share of our total revenues will continue to make up a significant part of our current business and future strategic plans. Additionally, we operate factories in the PRC, Brazil and Mexico, as well as an engineering center in India.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particularly in light of the current U.S. presidential administration. For example, the passage of the Tax Cuts and Jobs Act (the "Tax Act") on December 22, 2017, significantly changed U.S. income tax law. In 2019, federal and state tax authorities issued additional guidance related to transition tax, GILTI, deduction for foreign-derived intangible income and GILTI, tax treatment of qualified transportation fringe benefits, timing of income recognition, cost recovery and bonus depreciation, and business interest expense limitation. This guidance generally provided additional information related to the calculation of such items that became effective in 2017 and 2018. We reviewed and applied the guidance in the period such information was published. The application of the issued guidance in 2019 did not materially change our tax expense estimated in prior years. In addition, the current U.S. presidential administration has introduced greater uncertainty with respect to future trade regulations and trade agreements. Changes in tax policy, trade regulations or trade agreements could have a material adverse effect on our business and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Anti-corruption laws and regulations generally prohibit companies and their intermediaries from making improper payments to government officials or other persons in order to receive or retain business. The compliance programs, internal controls and policies we maintain and enforce to promote compliance with applicable anti-bribery and anti-corruption laws may not prevent our associates, contractors or agents from acting in ways prohibited by these laws and regulations. We are also subject to trade sanctions administered by the Office of Foreign Assets Control and the U.S. Department of Commerce. Our compliance programs and internal control policies and procedures may not prevent conduct that is prohibited under these rules. The United States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our business or damage our reputation. In addition, an imposition of further restrictions in these areas could increase our cost of operations, reduce our profits or cause us to forgo development opportunities that would otherwise support growth.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Changes Affecting International Trade Could Adversely Impact the Demand for Our Products and Our Competitive Position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benefits from free trade agreements, such as the North American Free Trade Agreement and successor agreements, which may include the United States-Mexico-Canada Agreement,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United Kingdom’s anticipated exit from the European Union has caused and may continue to cause significant volatility in global stock markets, currency exchange rate fluctuations and global economic uncertainty. Although it is unknown what the terms of the United Kingdom’s future relationship with the European Union will be, it is possible there will be greater restrictions on imports and exports between the United Kingdom and the European Union and increased regulatory complexities. Any of these factors could adversely impact customer demand, our relationships with customers and suppliers and our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Fluctuations in Foreign Currency Exchange Rates or Interest Rates May Adversely Affect Our Results of Operations, Cash Flow, Liquidity or Financial Condition</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exchange rate exposure is in the Argentinian Peso, Brazilian Real, British Pound, Chinese Yuan Renminbi, Euro, Hong Kong Dollar, Indian Rupee, Japanese Yen, Korean Won, Mexican Peso and Philippine Peso.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under the Second Amended and Restated Credit Agreement ("Second Amended Credit Agreement") with U.S. Bank National Association ("U.S. Bank"), we may elect to pay interest on the revolving line of credit ("Credit Line") based on LIBOR or a base rate as specified in the Second Amended Credit Agreement. On July 27, 2017, the Financial Conduct Authority (the authority that regulates LIBOR) announced that it intends to stop compelling banks to submit rates for the calculation of LIBOR after 2021 and it is unclear whether new methods of calculating LIBOR will be established. If LIBOR ceases to exist after 2021, a comparable or successor reference rate as approved by the parties under the Second Amended Credit Agreement will apply. The U.S. Federal Reserve, in conjunction with the Alternative Reference Rates Committee, is considering replacing U.S. Dollar LIBOR with a newly created index, calculated based on repurchase agreements backed by treasury securities. It is not possible to predict the effect of these changes, other reforms or the establishment of alternative reference rates in the United States or elsewhere. To the extent these interest rates increase, our interest expense will increase, which could adversely affect our financial condition, operating results and cash flows.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Relating to Adverse Weather Conditions and Natural or Man-made Disasters, Contagious Diseases, Terrorist Activity, and War May Adversely Affect Our Business, Financial Condition and Results of Operations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From time to time, adverse weather conditions and natural disasters, as well as the potential spread of contagious diseases in locations where we or they own or operate significant operations, could cause a disruption in our third-party manufacturers' or our suppliers' production and distribution capabilities or a decline in demand for our products and services. In addition, actual or threatened war, terrorist activity, political unrest, or civil strife, such as recent events in Ukraine and Russia, the Middle East, North Korea and other geopolitical uncertainty could have a similar effect. Any one or more of these events may reduce our ability to produce or sell our products which may adversely affect our business, financial condition and results of operations, as well as require additional resources to restore our supply chain.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factories in the PRC, Brazil and Mexico, third-party manufacturers located in Asia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our business is not materially dependent upon any single patent, trade secret, trademark, trade name, copyright, and know-how. Despite our efforts to protect such intellectual property and other proprietary information from unauthorized use or disclosure, third parties may attempt to disclose, obtain or use our intellectual property and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 and Sensing</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derive substantial revenue from the sale of wireless remote controls, sensors and home automation products based on IR and RF and other technologies. Other control technologies exist or may be developed that may compete with this technology. In addition, we develop and maintain our own database of IR and RF codes. There are other IR and RF libraries offered by companies that we compete with in the marketplace. The advantage that we may have compared to our competitors is difficult to measure. In addition, if competing wireless control and sensing technology and products gain acceptance and start to be integrated into home electronics devices and home security and automation products that are currently utilizing our remote controllers and sensors, demand for our products may decrease, resulting in decreased operating results, financial condition,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 having our own factories,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increased tariffs, and other economic factors may adversely affect our results of operations, cash flow, liquidity or financial condition. Any such changes may impact our business in a number of ways, including: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days sales outstanding. Continuation of these conditions may limit our ability to collect our accounts receivable, which may result in greater expense associated with collection efforts and increased bad debt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R&amp;D,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to which we are currently leveraged could have important consequences for shareholders. For example, it could:</w:t>
      </w:r>
    </w:p>
    <w:p>
      <w:pPr>
        <w:spacing w:after="0" w:line="23" w:lineRule="exact"/>
        <w:rPr>
          <w:sz w:val="20"/>
          <w:szCs w:val="20"/>
          <w:color w:val="auto"/>
        </w:rPr>
      </w:pPr>
    </w:p>
    <w:p>
      <w:pPr>
        <w:ind w:left="1300" w:right="2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to enable us to react to changes in our business;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significant portion of our operations are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may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had large fluctuations in the price of our common stock, and such fluctuations may continue. The market price for our common stock is volatile and may fluctuate significantly in response to a number of factors, most of which we cannot control, including:</w:t>
      </w:r>
    </w:p>
    <w:p>
      <w:pPr>
        <w:spacing w:after="0" w:line="8" w:lineRule="exact"/>
        <w:rPr>
          <w:sz w:val="20"/>
          <w:szCs w:val="20"/>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technology or content providing companies generally; and</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or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If Securities or Industry Analysts Fail to Continue Publishing Research About Our Business, Our Stock Price and Trading Volume May Decline</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has historically been at low volumes and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 Additionally, in March 2016, we issued common stock purchase warrants to Comcast to purchase up to 725,000 shares of our common stock at a price of $54.55 per share. The right to exercise the warrants is subject to vesting over three successive two-year periods (the third two-year period commenced on January 1, 2020 and ends on December 31, 2021) based on the level of purchases of goods and services from us by Comcast and its affiliates, as defined in the warrants. To the extent that the warrants vest and Comcast exercises the warrants and sells any of the shares of common stock issuable upon exercise, or the perception that such sales may occur, could adversely affect the market price and/or trading volume of our common stock. Based upon the volume of goods and services purchased by Comcast during the first and second two-year period which ended on December 31, 2017 and December 31, 2019, Comcast vested in 175,000 and 100,000 of the warrants,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Periodically, our Board approves programs to repurchase our common stock based upon an assessment of then current value as compared to then trading ranges and investor analyst reports. Also considered in this decision is the effect any such repurchases may have on our cash balances and needs, cash flow, and short- and long-term borrowing. Our stock price has experienced substantial price volatility in the past and may continue to do so in the future.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remain competitive in the wireless control, AV accessory, home security and home automation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introduction of new products may require significant expenditures for R&amp;D, tooling, manufacturing processes, inventory and marketing. In order to achieve high volume production of any new product, we may have to make substantial investments in inventory and expand our production capabilities.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AV accessory products, and proprietary technologies to subscription broadcasters, OEMs, retailers and private label customers. We also supply our products to our wholly owned, non-U.S. subsidiaries and to independent foreign distributors, who in turn distribute our products worldwide.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generally have a broad and varied customer base, during the years ended December 31, 2019, and 2018, Comcast accounted for sales totaling more than 10% of our net sales. In addition to this customer, we have some customers that, individually,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approximately 2,000 of our Brazil and Mexico employees are represented by labor unions. Disputes with the current labor unions or new union organizing activities could lead to production slowdowns or stoppages and make it difficult or impossible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R&amp;D of these products as quickly as we expect, if at all.</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resources which could have a material adverse effect on our ability to drive awareness and demand for our products and services. In addition, cable and telecommunications companies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Exposed to Greater Risks of Liability for Omissions or System Failures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Developments From the Recent and Potential Changes in U.S. Trade Policies Could Have a Material Adverse Effect On Us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government has indicated its intent to alter its approach to international trade policy and in some cases to renegotiate, or potentially terminate, certain existing bilateral or multi-lateral trade agreements and treaties with foreign countries. On various dates in July, August and September of 2018, the U.S. government implemented additional tariffs of 25% and 10% (increasing to 25% on January 1, 2019), on certain goods imported from the PRC. We manufacture a substantial amount of our products in the PRC and are presently subjected to these additional tariffs and will remain so until the tariff lists remains unaltered.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tariffs and other governmental action, we began moving production of many of our products destined for U.S. to Mexico and a third-party manufacturing partner outside of the PRC. As of December 31, 2019, this transition was substantially complete.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regarding future events and the financial performance of the Company, including those involving:</w:t>
      </w:r>
    </w:p>
    <w:p>
      <w:pPr>
        <w:spacing w:after="0" w:line="157" w:lineRule="exact"/>
        <w:rPr>
          <w:sz w:val="20"/>
          <w:szCs w:val="20"/>
          <w:color w:val="auto"/>
        </w:rPr>
      </w:pPr>
    </w:p>
    <w:p>
      <w:pPr>
        <w:ind w:left="1960" w:hanging="1304"/>
        <w:spacing w:after="0" w:line="277" w:lineRule="auto"/>
        <w:tabs>
          <w:tab w:leader="none" w:pos="9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8" w:lineRule="exact"/>
        <w:rPr>
          <w:rFonts w:ascii="Arial" w:cs="Arial" w:eastAsia="Arial" w:hAnsi="Arial"/>
          <w:sz w:val="18"/>
          <w:szCs w:val="18"/>
          <w:color w:val="auto"/>
        </w:rPr>
      </w:pPr>
    </w:p>
    <w:p>
      <w:pPr>
        <w:ind w:left="1960" w:hanging="1304"/>
        <w:spacing w:after="0" w:line="277" w:lineRule="auto"/>
        <w:tabs>
          <w:tab w:leader="none" w:pos="9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63" w:lineRule="exact"/>
        <w:rPr>
          <w:rFonts w:ascii="Arial" w:cs="Arial" w:eastAsia="Arial" w:hAnsi="Arial"/>
          <w:sz w:val="18"/>
          <w:szCs w:val="18"/>
          <w:color w:val="auto"/>
        </w:rPr>
      </w:pPr>
    </w:p>
    <w:p>
      <w:pPr>
        <w:ind w:left="1960" w:hanging="1304"/>
        <w:spacing w:after="0" w:line="277" w:lineRule="auto"/>
        <w:tabs>
          <w:tab w:leader="none" w:pos="9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have goodwill and intangible assets recorded on our consolidated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Cybersecurity Issues: Security Breaches, Failure to Maintain the Integrity of and Protect Internal or Customer Data May Result in Faulty Business Decisions, Operational Inefficiencies, Damage to our Reputation and/or Subject Us to Costs, Fines, or Lawsuits</w:t>
      </w:r>
    </w:p>
    <w:p>
      <w:pPr>
        <w:spacing w:after="0" w:line="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requires collection, processing, and retention of large volumes of internal and sensitive and confidential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 incomplete, we may make faulty decisions. Our customers and employees also have a high expectation that we and our service providers will adequately protect their personal information. Despite the security measures we have in place, our facilities and systems, and those of the retailers, dealers, licensees and other third-party suppliers and vendors with which we do business, may be vulnerable to security breaches, cyber attacks, acts of vandalism or misconduct, computer viruses, misplaced or lost data, programming and/or human errors or other similar events. Any security breach involving the misappropriation, loss or other unauthorized disclosure of confidential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 security threats evolve in sophistication and become more prevalent in numerous industries worldwide, we continue to increase our sensitivity and attention to these threats, seek additional investments and resources to address these threats and enhance the security of our facilities and systems and strengthen our controls and procedures implemented to monitor and mitigate these threats. The domestic and international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and other domestic and international regulations, could result in additional costs and changes to our business practices.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we rely heavily on computer systems to manage and operate our business, record and process transactions, and manage, support and communicate with our employees, customers, suppliers and other vendors. Computer systems are important to production planning, finance, company operations and customer service, among other business-critical processes. Despite efforts to prevent disruptions to our computer systems, our systems may be affected by damage or interruption from, among other causes, power outages, system failures, computer viruses and other intrusions, including cyber attacks. Computer hardware and storage equipment that is integral to efficient operations, such as email, telephone and other functionality, is concentrated in certain physical locations in the various continents in which we operate. Additionally, we rely on software applications, enterprise cloud storage systems and cloud computing services provided by third-party vendors, and our business may be adversely affected by service disruptions in or security breaches to such third-party systems.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Section 404 of the Sarbanes-Oxley Act of 2002, we are required to include our assessment of the effectiveness of our internal control over financial reporting in our Annual Report on Form 10-K.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reporting will be effective. If we cannot adequately maintain the effectiveness of our internal control over financial reporting, we may be subject to sanctions or investigation by regulatory authorities, such as the SEC.</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Governing Corporate Documents Contain, and Our Board of Directors May Implement, Antitakeover Provisions that May Deter Takeover Attempts</w:t>
      </w:r>
    </w:p>
    <w:p>
      <w:pPr>
        <w:spacing w:after="0" w:line="11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5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tax laws and regulations in the United States and multiple foreign jurisdictions. We are affected by changes in tax laws and regulations, as well as changes in related interpretations and other tax guidance. In the ordinary course of our business, we are subject to examinations and investigations by various tax authorities and other regulators. In addition to existing examinations and investigations, there could be additional examinations and investigations in the future, and existing examinations and investigations could be expanded.</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the Tax Act was signed into law. The Tax Act made substantial changes to then-current U.S. tax law, including a reduction in the corporate tax rate, a limitation on deductibility of interest expense, a limitation on the use of net operating losses to offset future taxable income, the allowance of immediate expensing of capital expenditures, deemed repatriation of foreign earnings and significant changes to the taxation of foreign earnings going forward. The Tax Act contains numerous, complex provisions impacting U.S. multinational companies, and we continue to review and assess the legislative language and guidance promulgated by regulators to determine the Tax Act's full impact on us. Further, we can provide no assurance our current interpretations of, and assumptions regarding, the Tax Act and any related regulations or guidance will not be reviewed or investigated by regulators in the future. As a result, the Tax Act, including any regulations or other guidance promulgated by the U.S. Internal Revenue Service or other regulators, and other tax laws could have significant effects on us, some of which could materially and adversely impact our financial condition, results of operations and cash flow.</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non-income tax risks, we estimate material loss contingencies and accrue for such loss contingencies as required by U.S. GAAP based on our assessment of contingencies where liability is deemed probable and reasonably estimable in light of the facts and circumstances known to us at a particular point in time. Subsequent developments may affect our assessment and estimates of the loss contingency. In the event the loss contingency is ultimately determined to be significantly higher than currently accrued,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recording of the additional liability may result in a material adverse effect on our results of operations or financial condition for the annual or interim period during which such additional liability is accrued. In those cases where no accrual is recorded because it is not probable a liability has been incurred and cannot be reasonably estimated, any potential liability ultimately determined to be attributable to us may result in a material adverse effect on our results of operations, cash flow or financial condition for the annual or interim period during which such liability is accrued or paid.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determine there is not a greater than 50% likelihood such tax benefits will be sustained, we do not recognize a tax benefit in our financial statements. Subsequent events may cause us to change our assessment of the likelihood of sustaining a previously-recognized benefit which could result in a material adverse effect on our results of operations, cash flow or financial position for the annual or interim period during which such liability is accrued or paid.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time to time, the Financial Accounting Standards Board (the "FASB") and the SEC change their guidance governing the form and content of our external financial statements. In addition, accounting standard setters and those who interpret U.S.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Accounting Standards Update ("ASU") 2014-09, "Revenue from Contracts with Customers," which impacted the timing of revenue recognition for certain new and existing contracts with customers beginning January 1, 2018. Additionally, in February 2016, the FASB issued ASU 2016-02, "Leases," which changed the accounting for leases beginning January 1, 2019. These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Scottsdale, Arizona. We utilize the following facilities: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82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Purpose or Use</w:t>
            </w:r>
          </w:p>
        </w:tc>
        <w:tc>
          <w:tcPr>
            <w:tcW w:w="120" w:type="dxa"/>
            <w:vAlign w:val="bottom"/>
            <w:vMerge w:val="restart"/>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Square</w:t>
            </w:r>
          </w:p>
        </w:tc>
        <w:tc>
          <w:tcPr>
            <w:tcW w:w="3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Scottsdale, Arizona</w:t>
            </w:r>
          </w:p>
        </w:tc>
        <w:tc>
          <w:tcPr>
            <w:tcW w:w="3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Corporate headquarters, engineering, research and</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25,106</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27, 2027</w:t>
            </w: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Carlsbad, California</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November 30, 2022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Poway, California</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November 30, 2021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San Mateo, California</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January 31, 2023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36,184</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November 30, 2020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Suzhou, PRC</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December 31, 2020</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Hong Kong, PRC</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Asian headquarters</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July 31, 2022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February 29, 2024</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Guangzhou, PRC</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Service center</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April 14, 2020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Manaus, Brazil</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56,120</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August 19, 2022</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Monterrey, Mexico</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101,571</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September 30, 2023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Monterrey, Mexico</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145,185</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August 31, 2025</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Qinzhou, PRC</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321,313</w:t>
            </w:r>
          </w:p>
        </w:tc>
        <w:tc>
          <w:tcPr>
            <w:tcW w:w="10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May 31, 2023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Qinzhou, PRC</w:t>
            </w:r>
          </w:p>
        </w:tc>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345,662</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Leased, expires February 28, 2022</w:t>
            </w:r>
          </w:p>
        </w:tc>
        <w:tc>
          <w:tcPr>
            <w:tcW w:w="0" w:type="dxa"/>
            <w:vAlign w:val="bottom"/>
          </w:tcPr>
          <w:p>
            <w:pPr>
              <w:spacing w:after="0"/>
              <w:rPr>
                <w:sz w:val="1"/>
                <w:szCs w:val="1"/>
                <w:color w:val="auto"/>
              </w:rPr>
            </w:pPr>
          </w:p>
        </w:tc>
      </w:tr>
      <w:tr>
        <w:trPr>
          <w:trHeight w:val="270"/>
        </w:trPr>
        <w:tc>
          <w:tcPr>
            <w:tcW w:w="23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394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1,204,697</w:t>
            </w: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Yangzhou, PRC</w:t>
            </w:r>
          </w:p>
        </w:tc>
        <w:tc>
          <w:tcPr>
            <w:tcW w:w="3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77,888</w:t>
            </w: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trades on the NASDAQ Global Select Market under the symbol UEIC. Our stockholders of record on March 11, 2020 numbered 141.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Total Dollar Value of</w:t>
            </w:r>
          </w:p>
        </w:tc>
        <w:tc>
          <w:tcPr>
            <w:tcW w:w="100" w:type="dxa"/>
            <w:vAlign w:val="bottom"/>
          </w:tcPr>
          <w:p>
            <w:pPr>
              <w:spacing w:after="0"/>
              <w:rPr>
                <w:sz w:val="14"/>
                <w:szCs w:val="14"/>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Maximum Dollar Value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6"/>
                <w:szCs w:val="16"/>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8"/>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0" w:type="dxa"/>
            <w:vAlign w:val="bottom"/>
          </w:tcPr>
          <w:p>
            <w:pPr>
              <w:spacing w:after="0"/>
              <w:rPr>
                <w:sz w:val="12"/>
                <w:szCs w:val="12"/>
                <w:color w:val="auto"/>
              </w:rPr>
            </w:pPr>
          </w:p>
        </w:tc>
        <w:tc>
          <w:tcPr>
            <w:tcW w:w="14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 Purchased Under the</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Plans or Programs</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8"/>
                <w:szCs w:val="8"/>
                <w:b w:val="1"/>
                <w:bCs w:val="1"/>
                <w:color w:val="auto"/>
                <w:w w:val="92"/>
              </w:rPr>
              <w:t>(3)</w:t>
            </w: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 October 31, 2019</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November 1, 2019 - November 30, 2019</w:t>
            </w:r>
          </w:p>
        </w:tc>
        <w:tc>
          <w:tcPr>
            <w:tcW w:w="1200" w:type="dxa"/>
            <w:vAlign w:val="bottom"/>
          </w:tcPr>
          <w:p>
            <w:pPr>
              <w:jc w:val="right"/>
              <w:ind w:right="22"/>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 December 31, 2019</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52.21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3,934,261</w:t>
            </w:r>
          </w:p>
        </w:tc>
        <w:tc>
          <w:tcPr>
            <w:tcW w:w="0" w:type="dxa"/>
            <w:vAlign w:val="bottom"/>
          </w:tcPr>
          <w:p>
            <w:pPr>
              <w:spacing w:after="0"/>
              <w:rPr>
                <w:sz w:val="1"/>
                <w:szCs w:val="1"/>
                <w:color w:val="auto"/>
              </w:rPr>
            </w:pPr>
          </w:p>
        </w:tc>
      </w:tr>
      <w:tr>
        <w:trPr>
          <w:trHeight w:val="257"/>
        </w:trPr>
        <w:tc>
          <w:tcPr>
            <w:tcW w:w="37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3,337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repurchases in November and December represent common shares of the Company that were owned and tendered by employees to satisfy tax withholding obligations in connection with the vesting of restricted shares.</w:t>
      </w:r>
    </w:p>
    <w:p>
      <w:pPr>
        <w:spacing w:after="0" w:line="94"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Amounts in this column reflect the weighted average price paid for shares purchased under our share repurchase authorizations, inclusive of commissions paid to brokers.</w:t>
      </w:r>
    </w:p>
    <w:p>
      <w:pPr>
        <w:spacing w:after="0" w:line="94" w:lineRule="exact"/>
        <w:rPr>
          <w:rFonts w:ascii="Arial" w:cs="Arial" w:eastAsia="Arial" w:hAnsi="Arial"/>
          <w:sz w:val="25"/>
          <w:szCs w:val="25"/>
          <w:color w:val="auto"/>
          <w:vertAlign w:val="superscript"/>
        </w:rPr>
      </w:pPr>
    </w:p>
    <w:p>
      <w:pPr>
        <w:jc w:val="both"/>
        <w:ind w:left="340" w:hanging="332"/>
        <w:spacing w:after="0" w:line="273"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On October 30, 2018, our Board of Directors approved a repurchase plan authorizing the repurchase of up to $5.0 million of our common stock ("2018 Plan"). On December 31, 2019, we had $3.9 million of authorized repurchases remaining under the 2018 Plan. On March 10, 2020, our Board of Directors replaced the 2018 Plan with a new repurchase plan authorizing the repurchase of up to 300,000 shares.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regarding our equity compensation plans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five-year period ended December 31, 2019. The comparison assumes that $100 was invested on December 31, 2014 in each of our common stock, S&amp;P Small Cap 600, the NASDAQ Composite Index, and the Peer Group Index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837555" cy="3300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755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12/31/2019</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147</w:t>
            </w:r>
          </w:p>
        </w:tc>
      </w:tr>
      <w:tr>
        <w:trPr>
          <w:trHeight w:val="27"/>
        </w:trPr>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r>
      <w:tr>
        <w:trPr>
          <w:trHeight w:val="341"/>
        </w:trPr>
        <w:tc>
          <w:tcPr>
            <w:tcW w:w="394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153</w:t>
            </w:r>
          </w:p>
        </w:tc>
      </w:tr>
    </w:tbl>
    <w:p>
      <w:pPr>
        <w:spacing w:after="0" w:line="22" w:lineRule="exact"/>
        <w:rPr>
          <w:sz w:val="20"/>
          <w:szCs w:val="20"/>
          <w:color w:val="auto"/>
        </w:rPr>
      </w:pPr>
    </w:p>
    <w:p>
      <w:pPr>
        <w:ind w:left="820" w:hanging="326"/>
        <w:spacing w:after="0" w:line="216" w:lineRule="auto"/>
        <w:tabs>
          <w:tab w:leader="none" w:pos="82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Companies in the Peer Group Index are as follows: TiVo Corporation (formerly Rovi Corporation), Logitech International, Dolby Laboratories, Inc., and VOXX International Corp.</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presented above is as of December 31, 2014 through December 31, 2019.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753,477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680,241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695,790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651,371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602,833</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15,315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(1,665)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25,397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35,919</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(loss) attributable to Universal Electronics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11,924</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29,174</w:t>
            </w:r>
          </w:p>
        </w:tc>
      </w:tr>
      <w:tr>
        <w:trPr>
          <w:trHeight w:val="229"/>
        </w:trPr>
        <w:tc>
          <w:tcPr>
            <w:tcW w:w="42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Universal</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Electronics Inc.:</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0.85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w:t>
            </w: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0.85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1.88</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13,879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13,948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15,248</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15,542</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2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expenses as a % of net sales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 (deficit)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 (loss) as a % of net sales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520"/>
        </w:trPr>
        <w:tc>
          <w:tcPr>
            <w:tcW w:w="4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3"/>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112,296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100,597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74,362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108,291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100,200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564,159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555,596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608,430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521,036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495,220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74,302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53,207</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62,438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50,611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52,966</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101,500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138,000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50,000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274,399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262,960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253,549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280,510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257,908</w:t>
            </w:r>
          </w:p>
        </w:tc>
      </w:tr>
      <w:tr>
        <w:trPr>
          <w:trHeight w:val="27"/>
        </w:trPr>
        <w:tc>
          <w:tcPr>
            <w:tcW w:w="4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19.03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w w:val="99"/>
              </w:rPr>
              <w:t>Ratio of liabilities to liabilities and stockholders’ equity</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52.7 %</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bl>
    <w:p>
      <w:pPr>
        <w:spacing w:after="0" w:line="17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comparability of information for 2019, 2018, 2017 and 2016 compared to previous years is affected by the acquisitions of the net assets of Ecolink during the third quarter of 2015 and RCS during the second quarter of 2017. See "ITEM 8. FINANCIAL STATEMENTS AND SUPPLEMENTARY DATA</w:t>
      </w:r>
    </w:p>
    <w:p>
      <w:pPr>
        <w:ind w:left="5540" w:right="5460" w:hanging="5532"/>
        <w:spacing w:after="0" w:line="605" w:lineRule="auto"/>
        <w:tabs>
          <w:tab w:leader="none" w:pos="1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Notes to Consolidated Financial Statements - Note 21" for further information. 28</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discuss 2019 and 2018 items and year-to-year comparisons between 2019 and 2018 in the section that follows. Discussions of 2017 items and year-to-year comparisons between 2018 and 2017 that are not included in this Annual Report on Form 10-K may be found in "Management's Discussion and Analysis of Financial Condition and Results of Operations" in Part II, Item 7 of our Annual Report on Form 10-K for the year ended December 31, 2018, filed with the SEC on March 15, 2019.</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design, develop, manufacture and ship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broadcasting, home entertainment, automation, security, hospitality and climate control markets. Our offerings include:</w:t>
      </w:r>
    </w:p>
    <w:p>
      <w:pPr>
        <w:spacing w:after="0" w:line="1" w:lineRule="exact"/>
        <w:rPr>
          <w:sz w:val="20"/>
          <w:szCs w:val="20"/>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broadcasting providers (cable, satellite and Internet Protocol television ("IPTV") and Over the Top services), original equipment manufacturers ("OEMs"), retailers, and private label customers;</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beginning in 1986, we have compiled an extensive device control knowledge library that includes nearly 9,000 brands comprising over 800,000 device models across AV and smart home platforms, supported by many common smart home protocols, including IR, HDMI-CEC, Zigbee, and Home Network or Cloud Control.</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700,000 unique device fingerprints across both AV and smart home devices.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Internet of Things ("IOT") devices. These control codes are captured directly from original remote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2 domestic subsidiaries and 24 international subsidiaries located in Argentina, Brazil, British Virgin Islands, Cayman Islands, France, Germany, Hong Kong (3), India, Italy, Japan, Korea, Mexico, the Netherlands, People's Republic of China (the "PRC") (6), Singapore, Spain and the United Kingdom.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2019:</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increased 10.8% to $753.5 million in 2019 from $680.2 million in 2018.</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profit percentage increased to 22.6% in 2019 from 20.8% in 2018.</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to 20.6% in 2019 from 21.1% in 2018.</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increased to $15.3 million in 2019 from an operating loss of $1.7 million in 2018, and our operating margin percentage increased to 2.0% in 2019, compared to an operating deficit of 0.2%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effective tax rate increased to 65.1% in 2019 from 54.4%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2020 include the following:</w:t>
      </w:r>
    </w:p>
    <w:p>
      <w:pPr>
        <w:spacing w:after="0" w:line="63"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doubtful accounts, inventory valuation,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w:t>
      </w:r>
    </w:p>
    <w:p>
      <w:pPr>
        <w:spacing w:after="0" w:line="3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 Product revenue is generated through manufacturing and delivering universal control, sensing and automation products and AV</w:t>
      </w:r>
      <w:r>
        <w:rPr>
          <w:rFonts w:ascii="Arial" w:cs="Arial" w:eastAsia="Arial" w:hAnsi="Arial"/>
          <w:sz w:val="16"/>
          <w:szCs w:val="16"/>
          <w:i w:val="1"/>
          <w:iCs w:val="1"/>
          <w:color w:val="auto"/>
        </w:rPr>
        <w:t xml:space="preserve"> </w:t>
      </w:r>
      <w:r>
        <w:rPr>
          <w:rFonts w:ascii="Arial" w:cs="Arial" w:eastAsia="Arial" w:hAnsi="Arial"/>
          <w:sz w:val="16"/>
          <w:szCs w:val="16"/>
          <w:color w:val="auto"/>
        </w:rPr>
        <w:t>accessories,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license our intellectual property including our patented technologies and database of control codes. We record license revenue for per-unit based licenses when our customers manufacture or ship a product incorporating our intellectual property and we have a present right to payment. We record revenue upon delivery of intellectual property for fixed up-front fee licenses or if the contract contains a minimum guarantee. Tiered royalties are recorded on a straight-line basis according to the forecasted per-unit fees taking into account the pricing tiers.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represent the value of revenue recognized over time for which we have not yet invoiced the customer.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we invoice the customer within 90 days of revenue recognition.</w:t>
      </w:r>
    </w:p>
    <w:p>
      <w:pPr>
        <w:spacing w:after="0" w:line="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Contract liabilities </w:t>
      </w:r>
      <w:r>
        <w:rPr>
          <w:rFonts w:ascii="Arial" w:cs="Arial" w:eastAsia="Arial" w:hAnsi="Arial"/>
          <w:sz w:val="17"/>
          <w:szCs w:val="17"/>
          <w:color w:val="auto"/>
        </w:rPr>
        <w:t>- A contract liability is recorded when consideration is received from a customer prior to fully satisfying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in a contract. Our contract liabilities primarily consist of cash received in advance for non-recurring engineering and tooling services. These contract liabilities will be recognized as revenues when control of the related product or service is transferred to the customer.</w:t>
      </w:r>
    </w:p>
    <w:p>
      <w:pPr>
        <w:spacing w:after="0" w:line="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Other performance obligations - </w:t>
      </w:r>
      <w:r>
        <w:rPr>
          <w:rFonts w:ascii="Arial" w:cs="Arial" w:eastAsia="Arial" w:hAnsi="Arial"/>
          <w:sz w:val="18"/>
          <w:szCs w:val="18"/>
          <w:color w:val="auto"/>
        </w:rPr>
        <w:t>Payment terms are typically on open credit terms consistent with industry practice and do not have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components. We accrue for discounts and rebates based on historical experience and our expectations regarding future sales to our customers. Accruals for discounts and rebates are recorded as a reduction to sales in the same period as the related revenue. Changes in such accruals may be required if future rebates and incentives differ from our estimates.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Adoption of revenue recognition standard - </w:t>
      </w:r>
      <w:r>
        <w:rPr>
          <w:rFonts w:ascii="Arial" w:cs="Arial" w:eastAsia="Arial" w:hAnsi="Arial"/>
          <w:sz w:val="17"/>
          <w:szCs w:val="17"/>
          <w:color w:val="auto"/>
        </w:rPr>
        <w:t>On January 1, 2018, we adopted Accounting Standards Update ("ASU") 2014-09, "Revenue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with Customers," and all related amendments. The guidance provides a single, comprehensive revenue recognition model for all contracts with customers and supersedes most existing revenue recognition guidance. The primary impact to our revenue recognition policies resulting from this standard relates to the timing of revenue recognition for products which are customized for a specific customer. Results for reporting periods beginning after January 1, 2018 are presented under the new standard while prior periods have not been adjusted.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$1.6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spacing w:after="0"/>
        <w:rPr>
          <w:sz w:val="20"/>
          <w:szCs w:val="20"/>
          <w:color w:val="auto"/>
        </w:rPr>
      </w:pPr>
      <w:r>
        <w:rPr>
          <w:rFonts w:ascii="Arial" w:cs="Arial" w:eastAsia="Arial" w:hAnsi="Arial"/>
          <w:sz w:val="16"/>
          <w:szCs w:val="16"/>
          <w:color w:val="auto"/>
        </w:rPr>
        <w:t>(1) a significant adverse change in legal factors or in business climate, (2) unanticipated competition or (3) an adverse action or assessment by a regulator.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 the year ended December 31, 2019, 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future events and circumstances, including adverse changes in general business and economic conditions in the United States and worldwide and changes in consumer behavior could result in changes to our assumptions and judgments used in the goodwill impairment tests. A downward revision of these assumptions could cause the fair value of the reporting unit to fall below its respective carrying values and a noncash impairment charge would be required. Such a charge may have a material effect on the Consolidated Statements of Operations and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4"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and foreign withholding tax liabilities on these amounts for financial statement purposes.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common shares on the date they were granted.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performance-based common stock warrants is determined utilizing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23495</wp:posOffset>
            </wp:positionV>
            <wp:extent cx="2194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gridSpan w:val="2"/>
          </w:tcPr>
          <w:p>
            <w:pPr>
              <w:ind w:left="8480"/>
              <w:spacing w:after="0"/>
              <w:rPr>
                <w:sz w:val="20"/>
                <w:szCs w:val="20"/>
                <w:color w:val="auto"/>
              </w:rPr>
            </w:pPr>
            <w:r>
              <w:rPr>
                <w:rFonts w:ascii="Arial" w:cs="Arial" w:eastAsia="Arial" w:hAnsi="Arial"/>
                <w:sz w:val="14"/>
                <w:szCs w:val="14"/>
                <w:b w:val="1"/>
                <w:bCs w:val="1"/>
                <w:color w:val="auto"/>
                <w:w w:val="96"/>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79.2</w:t>
            </w:r>
          </w:p>
        </w:tc>
      </w:tr>
      <w:tr>
        <w:trPr>
          <w:trHeight w:val="27"/>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3.5</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Gain on sale of Guangzhou factory</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5.4</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("2019") Compared to Year Ended December 31, 2018 ("2018")</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2019 were $753.5 million, an increase of 10.8% compared to $680.2 million in 2018. The increase in net sales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recent launches of higher end platforms by existing customers in the subscription broadcasting channel, a newly acquired customer and continued strength in home automation.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 2019 was $170.2 million compared to $141.8 million in 2018. Gross profit as a percent of sales increased to 22.6%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from 20.8% in 2018. The gross profit percentage was favorably impacted by product mix as small- to medium-sized subscription broadcasters launched advanced platforms; an increase in royalty revenue as certain consumer electronic companies are embedding our technology in their devices; lower raw material costs during 2019; and foreign currency as the U.S. Dollar strengthened by approximately 400 basis points versus the Chinese Yuan Renminbi. The gross profit percentage was unfavorably impacted by higher U.S. tariffs on many of our products that are manufactured in the PRC and imported into the U.S. In an effort to mitigate the effect of the increased tariffs, we transitioned the production of many of our goods destined for the U.S. market from our PRC factories to our factory in Mexico. In connection with this transition, which began in the fourth quarter of 2018, we incurred costs related to the movement of materials, duplicative labor efforts and indirect costs including unabsorbed duplicative overhead.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Research and development ("R&amp;D") expenses. </w:t>
      </w:r>
      <w:r>
        <w:rPr>
          <w:rFonts w:ascii="Arial" w:cs="Arial" w:eastAsia="Arial" w:hAnsi="Arial"/>
          <w:sz w:val="17"/>
          <w:szCs w:val="17"/>
          <w:color w:val="auto"/>
        </w:rPr>
        <w:t>R&amp;D expenses increased 23.5% to $29.4 million in 2019 from $23.8 million in 2018 primarily due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investment in the development of new products that enhance the user experience in home entertainment and home automation.</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4.9% to $125.5 million in 2019 from $119.7 million in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increases in incentive compensation expense and an increase in contingent consideration recorded in connection with our acquisition of the net assets of Ecolink Intelligent Technology, Inc. ("Ecolink"). Partially offsetting these increases was payroll expense, which decreased as a result of our ongoing corporate restructuring initiatives.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$3.9 million in 2019 compared to $4.7 million in 2018. This decrease was a result of a lower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quarterly loan balance.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sale of Guangzhou factory. </w:t>
      </w:r>
      <w:r>
        <w:rPr>
          <w:rFonts w:ascii="Arial" w:cs="Arial" w:eastAsia="Arial" w:hAnsi="Arial"/>
          <w:sz w:val="18"/>
          <w:szCs w:val="18"/>
          <w:color w:val="auto"/>
        </w:rPr>
        <w:t>In June 2018, we completed the sale of our Guangzhou manufacturing facility in exchange for cash proceeds of $51.3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resulting in a pre-tax gain of $37.0 million.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$1.0 million in 2019 compared to $4.5 million in 2018. This change was driven primarily by both a</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foreign currency losses associated with fluctuations in the Chinese Yuan Renminbi versus the U.S. Dollar and foreign currency gains associated with fluctuations in the Brazilian Real versus the U.S. Dollar in 2019.</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$6.8 million in 2019 compared to $14.2 million in 2018. Our effective tax rate was 65.1% in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54.4% in 2018. Our effective tax rate was higher than normal in 2018 as a result of the recording of an $8.1 million valuation allowance against U.S. federal and state deferred tax assets. In 2019, the U.S. incurred a loss and, because of the valuation allowance, was not able to benefit the loss resulting in an elevated tax 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23,575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24"/>
                <w:szCs w:val="24"/>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53,207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112,296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100,597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increased $72.4 million in 2019 compared to 2018, primarily due to the net impact of the gain on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Guangzhou factory and changes in working capital associated with accounts receivable and accounts payable. Accounts receivable and contract assets produced cash inflows of $17.2 million in 2019 compared to $5.5 million in 2018 largely due to a decrease in days sales outstanding from 71 days at December 31, 2018 to 64 days at December 31, 2019. Accounts payable and accrued liabilities produced net cash inflows of $14.2 million during 2019 compared to cash outflows of $7.4 million in 2018, largely as a result of timing of payments. Our inventory turns remained relatively consistent with 3.3 turns at December 31, 2018 compared to 3.2 turns at December 31, 2019.</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2019 was $24.0 million compared to net cash provided by investing activities of $23.6 million during 2018.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acquisitions of property, plant and equipment were $21.3 million which reflects a normalized level of spending. In 2018, we received net cash proceeds of $46.2 million for the sale of our Guangzhou factory, which was completed in June 2018, which was partially offset by acquisitions of property, plant and equipment of $20.1 million.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$39.2 million during 2019 compared to net cash used for financing activities of $53.3 million during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drivers of our cash flows from financing activities in 2019 and 2018 were borrowings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repayments on our line of credit and repurchases of shares of our common stock on the open market. Net payments on our line of credit were $33.5 million and $36.5 million in 2019 and 2018, respectively.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we purchased 57,740 shares of our common stock at a cost of $1.9 million compared to 413,585 shares at a cost of $13.8 million during 2018. We hold repurchased shares as treasury stock and they are available for reissue. Presently, we have no plans to distribute these shares, although we may change these plans if necessary to fulfill our ongoing business objectives. See "ITEM 8. FINANCIAL STATEMENTS AND SUPPLEMENTARY DATA - Notes to Consolidated Financial Statements - Note 14" for further information regarding our share repurchase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4,349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37,837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14,865</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16,290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55" w:lineRule="exact"/>
        <w:rPr>
          <w:rFonts w:ascii="Arial" w:cs="Arial" w:eastAsia="Arial" w:hAnsi="Arial"/>
          <w:sz w:val="25"/>
          <w:szCs w:val="25"/>
          <w:color w:val="auto"/>
          <w:vertAlign w:val="superscript"/>
        </w:rPr>
      </w:pPr>
    </w:p>
    <w:p>
      <w:pPr>
        <w:ind w:left="660" w:hanging="328"/>
        <w:spacing w:after="0" w:line="208"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Residential Control Systems, Inc.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74,302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53,207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54,300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28,500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taxes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we had $16.8 million, $13.7 million, $21.7 million, $9.1 million and $13.0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 2019, we extended the term of our Second Amended and Restated Credit Agreement ("Second Amended Credit Agreement") with U.S. Bank National Association ("U.S. Bank") to November 1, 2021. The Second Amended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for a $130.0 million Credit Line through June 30, 2019 and a $125.0 million Credit Line thereafter and through its expiration date.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2019.</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2019 was 3.03%.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2019,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an outstanding balance of $68.0 million on our Credit Line and $54.3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$0.5 million annual impact on net income based on our outstanding Credit Line balance at December 31, 2019.</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2019,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Philippine Peso and Japanese Yen. Our most significant foreign currency exposure is to the Chinese Yuan Renminbi as this is the functional currency of our PRC-based factories where the majority of our products are manufactured. If the Chinese Yuan Renminbi were to strengthen against the U.S. Dollar, our manufacturing costs would increase. We are generally a net payor of the Euro, Mexican Peso, Indian Rupee, Philippine Peso and Japanese Yen and therefore benefit from a stronger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2019, we believe that movements in foreign currency rates may have a material effect on our financial position and results of operations. We estimate that if the exchange rates for the Chinese Yuan Renminbi, Euro, British Pound, Argentinian Peso, Mexican Peso, Brazilian Real, Indian Rupee, Philippine Peso and Japanese Yen relative to the U.S. Dollar fluctuate 10% from December 31, 2019, net income in the first quarter of 2020 would fluctuate by approximately $10.1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Report of Independent Registered Public Accounting Firm</w:t>
              </w:r>
            </w:hyperlink>
          </w:p>
        </w:tc>
        <w:tc>
          <w:tcPr>
            <w:tcW w:w="5300" w:type="dxa"/>
            <w:vAlign w:val="bottom"/>
            <w:gridSpan w:val="6"/>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52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2019 and 2018</w:t>
              </w:r>
            </w:hyperlink>
          </w:p>
        </w:tc>
        <w:tc>
          <w:tcPr>
            <w:tcW w:w="166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5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for the Years Ended December 31, 2019, 2018, and 2017</w:t>
              </w:r>
            </w:hyperlink>
          </w:p>
        </w:tc>
        <w:tc>
          <w:tcPr>
            <w:tcW w:w="166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180" w:type="dxa"/>
            <w:vAlign w:val="bottom"/>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Comprehensive Income (Loss) Statements for the Years Ended December 31, 2019, 2018, and 2017</w:t>
              </w:r>
            </w:hyperlink>
          </w:p>
        </w:tc>
        <w:tc>
          <w:tcPr>
            <w:tcW w:w="1340" w:type="dxa"/>
            <w:vAlign w:val="bottom"/>
          </w:tcPr>
          <w:p>
            <w:pPr>
              <w:spacing w:after="0"/>
              <w:rPr>
                <w:sz w:val="21"/>
                <w:szCs w:val="21"/>
                <w:color w:val="auto"/>
              </w:rPr>
            </w:pPr>
          </w:p>
        </w:tc>
        <w:tc>
          <w:tcPr>
            <w:tcW w:w="166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700" w:type="dxa"/>
            <w:vAlign w:val="bottom"/>
            <w:gridSpan w:val="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Consolidated Statements of Stockholders' Equity for the Years Ended December 31, 2019, 2018, and 2017</w:t>
              </w:r>
            </w:hyperlink>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6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the Years Ended December 31, 2019, 2018, and 2017</w:t>
              </w:r>
            </w:hyperlink>
          </w:p>
        </w:tc>
        <w:tc>
          <w:tcPr>
            <w:tcW w:w="700" w:type="dxa"/>
            <w:vAlign w:val="bottom"/>
          </w:tcPr>
          <w:p>
            <w:pPr>
              <w:spacing w:after="0"/>
              <w:rPr>
                <w:sz w:val="21"/>
                <w:szCs w:val="21"/>
                <w:color w:val="auto"/>
              </w:rPr>
            </w:pPr>
          </w:p>
        </w:tc>
        <w:tc>
          <w:tcPr>
            <w:tcW w:w="1820" w:type="dxa"/>
            <w:vAlign w:val="bottom"/>
            <w:gridSpan w:val="2"/>
          </w:tcPr>
          <w:p>
            <w:pPr>
              <w:spacing w:after="0"/>
              <w:rPr>
                <w:sz w:val="21"/>
                <w:szCs w:val="21"/>
                <w:color w:val="auto"/>
              </w:rPr>
            </w:pPr>
          </w:p>
        </w:tc>
        <w:tc>
          <w:tcPr>
            <w:tcW w:w="166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2520" w:type="dxa"/>
            <w:vAlign w:val="bottom"/>
            <w:gridSpan w:val="3"/>
          </w:tcPr>
          <w:p>
            <w:pPr>
              <w:spacing w:after="0"/>
              <w:rPr>
                <w:sz w:val="21"/>
                <w:szCs w:val="21"/>
                <w:color w:val="auto"/>
              </w:rPr>
            </w:pPr>
          </w:p>
        </w:tc>
        <w:tc>
          <w:tcPr>
            <w:tcW w:w="166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2019 and 2018, the related consolidated statements of operations, comprehensive income (loss), changes in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13, 2020 expressed an unqualified opinion.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in 2019 due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except share-related data)</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53,207</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139,198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144,689</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25,572</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145,135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144,350</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11,638</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997</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380,453</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90,732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95,840</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48,485</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24,370</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1,833</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w:t>
            </w:r>
          </w:p>
        </w:tc>
      </w:tr>
      <w:tr>
        <w:trPr>
          <w:trHeight w:val="217"/>
        </w:trPr>
        <w:tc>
          <w:tcPr>
            <w:tcW w:w="728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r>
        <w:trPr>
          <w:trHeight w:val="73"/>
        </w:trPr>
        <w:tc>
          <w:tcPr>
            <w:tcW w:w="72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r>
        <w:trPr>
          <w:trHeight w:val="177"/>
        </w:trPr>
        <w:tc>
          <w:tcPr>
            <w:tcW w:w="7280" w:type="dxa"/>
            <w:vAlign w:val="bottom"/>
            <w:shd w:val="clear" w:color="auto" w:fill="CCEEFF"/>
          </w:tcPr>
          <w:p>
            <w:pPr>
              <w:ind w:left="188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73"/>
        </w:trPr>
        <w:tc>
          <w:tcPr>
            <w:tcW w:w="7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107,282</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68,000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101,500</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33,965</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9,574</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3,524</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24,011</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266,456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279,856</w:t>
            </w:r>
          </w:p>
        </w:tc>
      </w:tr>
      <w:tr>
        <w:trPr>
          <w:trHeight w:val="223"/>
        </w:trPr>
        <w:tc>
          <w:tcPr>
            <w:tcW w:w="728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4,349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8,435</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1,647</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w:t>
            </w:r>
          </w:p>
        </w:tc>
      </w:tr>
      <w:tr>
        <w:trPr>
          <w:trHeight w:val="217"/>
        </w:trPr>
        <w:tc>
          <w:tcPr>
            <w:tcW w:w="728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289,760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292,636</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280" w:type="dxa"/>
            <w:vAlign w:val="bottom"/>
          </w:tcPr>
          <w:p>
            <w:pPr>
              <w:ind w:left="380"/>
              <w:spacing w:after="0"/>
              <w:rPr>
                <w:sz w:val="20"/>
                <w:szCs w:val="20"/>
                <w:color w:val="auto"/>
              </w:rPr>
            </w:pPr>
            <w:r>
              <w:rPr>
                <w:rFonts w:ascii="Arial" w:cs="Arial" w:eastAsia="Arial" w:hAnsi="Arial"/>
                <w:sz w:val="16"/>
                <w:szCs w:val="16"/>
                <w:color w:val="auto"/>
                <w:w w:val="91"/>
              </w:rPr>
              <w:t>Common stock, $0.01 par value, 50,000,000 shares authorized; 24,118,088 and 23,932,703 shares issued</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6"/>
        </w:trPr>
        <w:tc>
          <w:tcPr>
            <w:tcW w:w="7280" w:type="dxa"/>
            <w:vAlign w:val="bottom"/>
          </w:tcPr>
          <w:p>
            <w:pPr>
              <w:ind w:left="380"/>
              <w:spacing w:after="0"/>
              <w:rPr>
                <w:sz w:val="20"/>
                <w:szCs w:val="20"/>
                <w:color w:val="auto"/>
              </w:rPr>
            </w:pPr>
            <w:r>
              <w:rPr>
                <w:rFonts w:ascii="Arial" w:cs="Arial" w:eastAsia="Arial" w:hAnsi="Arial"/>
                <w:sz w:val="16"/>
                <w:szCs w:val="16"/>
                <w:color w:val="auto"/>
              </w:rPr>
              <w:t>on December 31, 2019 and 2018, respectively</w:t>
            </w:r>
          </w:p>
        </w:tc>
        <w:tc>
          <w:tcPr>
            <w:tcW w:w="1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276,103</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w w:val="91"/>
              </w:rPr>
              <w:t>Treasury stock, at cost, 10,174,199 and 10,116,459 shares on December 31, 2019 and 2018, respectively</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(277,817)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(275,889)</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(20,281)</w:t>
            </w: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286,418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282,788</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262,960</w:t>
            </w:r>
          </w:p>
        </w:tc>
      </w:tr>
      <w:tr>
        <w:trPr>
          <w:trHeight w:val="217"/>
        </w:trPr>
        <w:tc>
          <w:tcPr>
            <w:tcW w:w="728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555,596</w:t>
            </w:r>
          </w:p>
        </w:tc>
      </w:tr>
      <w:tr>
        <w:trPr>
          <w:trHeight w:val="33"/>
        </w:trPr>
        <w:tc>
          <w:tcPr>
            <w:tcW w:w="7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86"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120"/>
          </w:cols>
          <w:pgMar w:left="320" w:top="118" w:right="459" w:bottom="1440" w:gutter="0" w:footer="0" w:header="0"/>
        </w:sect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118" w:right="45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753,477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695,790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583,274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538,437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530,083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29,412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Factory transition 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125,476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127,476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Guangzhou factory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67"/>
        </w:trPr>
        <w:tc>
          <w:tcPr>
            <w:tcW w:w="6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14,351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6,222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w:t>
            </w:r>
          </w:p>
        </w:tc>
      </w:tr>
      <w:tr>
        <w:trPr>
          <w:trHeight w:val="27"/>
        </w:trPr>
        <w:tc>
          <w:tcPr>
            <w:tcW w:w="6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related party vendors.</w:t>
      </w:r>
    </w:p>
    <w:p>
      <w:pPr>
        <w:spacing w:after="0" w:line="17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500" w:type="dxa"/>
            <w:vAlign w:val="bottom"/>
            <w:gridSpan w:val="4"/>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3"/>
          </w:tcPr>
          <w:p>
            <w:pPr>
              <w:jc w:val="right"/>
              <w:ind w:right="277"/>
              <w:spacing w:after="0" w:line="144" w:lineRule="exact"/>
              <w:rPr>
                <w:sz w:val="20"/>
                <w:szCs w:val="20"/>
                <w:color w:val="auto"/>
              </w:rPr>
            </w:pPr>
            <w:r>
              <w:rPr>
                <w:rFonts w:ascii="Arial" w:cs="Arial" w:eastAsia="Arial" w:hAnsi="Arial"/>
                <w:sz w:val="13"/>
                <w:szCs w:val="13"/>
                <w:b w:val="1"/>
                <w:bCs w:val="1"/>
                <w:color w:val="auto"/>
                <w:w w:val="82"/>
              </w:rPr>
              <w:t>Issued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in Treasury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2"/>
                <w:szCs w:val="2"/>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w w:val="99"/>
              </w:rPr>
              <w:t>Totals</w:t>
            </w: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2017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23,575</w:t>
            </w:r>
          </w:p>
        </w:tc>
        <w:tc>
          <w:tcPr>
            <w:tcW w:w="700" w:type="dxa"/>
            <w:vAlign w:val="bottom"/>
            <w:gridSpan w:val="3"/>
            <w:vMerge w:val="restart"/>
            <w:shd w:val="clear" w:color="auto" w:fill="CCEEFF"/>
          </w:tcPr>
          <w:p>
            <w:pPr>
              <w:jc w:val="right"/>
              <w:ind w:right="297"/>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(9,023)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(222,980)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250,481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277,103</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282,019</w:t>
            </w:r>
          </w:p>
        </w:tc>
        <w:tc>
          <w:tcPr>
            <w:tcW w:w="0" w:type="dxa"/>
            <w:vAlign w:val="bottom"/>
          </w:tcPr>
          <w:p>
            <w:pPr>
              <w:spacing w:after="0"/>
              <w:rPr>
                <w:sz w:val="1"/>
                <w:szCs w:val="1"/>
                <w:color w:val="auto"/>
              </w:rPr>
            </w:pPr>
          </w:p>
        </w:tc>
      </w:tr>
      <w:tr>
        <w:trPr>
          <w:trHeight w:val="80"/>
        </w:trPr>
        <w:tc>
          <w:tcPr>
            <w:tcW w:w="32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700" w:type="dxa"/>
            <w:vAlign w:val="bottom"/>
            <w:gridSpan w:val="3"/>
            <w:vMerge w:val="continue"/>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40"/>
              <w:spacing w:after="0"/>
              <w:rPr>
                <w:sz w:val="20"/>
                <w:szCs w:val="20"/>
                <w:color w:val="auto"/>
              </w:rPr>
            </w:pPr>
            <w:r>
              <w:rPr>
                <w:rFonts w:ascii="Arial" w:cs="Arial" w:eastAsia="Arial" w:hAnsi="Arial"/>
                <w:sz w:val="14"/>
                <w:szCs w:val="14"/>
                <w:color w:val="auto"/>
              </w:rPr>
              <w:t>Net loss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(10,323)</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 plan and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(39,085)</w:t>
            </w:r>
          </w:p>
        </w:tc>
        <w:tc>
          <w:tcPr>
            <w:tcW w:w="0" w:type="dxa"/>
            <w:vAlign w:val="bottom"/>
          </w:tcPr>
          <w:p>
            <w:pPr>
              <w:spacing w:after="0"/>
              <w:rPr>
                <w:sz w:val="1"/>
                <w:szCs w:val="1"/>
                <w:color w:val="auto"/>
              </w:rPr>
            </w:pPr>
          </w:p>
        </w:tc>
      </w:tr>
      <w:tr>
        <w:trPr>
          <w:trHeight w:val="80"/>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74"/>
        </w:trPr>
        <w:tc>
          <w:tcPr>
            <w:tcW w:w="3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40"/>
              <w:spacing w:after="0"/>
              <w:rPr>
                <w:sz w:val="20"/>
                <w:szCs w:val="20"/>
                <w:color w:val="auto"/>
              </w:rPr>
            </w:pPr>
            <w:r>
              <w:rPr>
                <w:rFonts w:ascii="Arial" w:cs="Arial" w:eastAsia="Arial" w:hAnsi="Arial"/>
                <w:sz w:val="14"/>
                <w:szCs w:val="14"/>
                <w:color w:val="auto"/>
              </w:rPr>
              <w:t>Employee and director stock-based compensation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11,943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74"/>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 warrants</w:t>
            </w: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70"/>
        </w:trPr>
        <w:tc>
          <w:tcPr>
            <w:tcW w:w="328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23,760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(9,703)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(262,065)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265,195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266,780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253,549</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Impact to retained earnings from adoption of ASU</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2016-09</w:t>
            </w: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4,084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4,084</w:t>
            </w:r>
          </w:p>
        </w:tc>
        <w:tc>
          <w:tcPr>
            <w:tcW w:w="0" w:type="dxa"/>
            <w:vAlign w:val="bottom"/>
          </w:tcPr>
          <w:p>
            <w:pPr>
              <w:spacing w:after="0"/>
              <w:rPr>
                <w:sz w:val="1"/>
                <w:szCs w:val="1"/>
                <w:color w:val="auto"/>
              </w:rPr>
            </w:pPr>
          </w:p>
        </w:tc>
      </w:tr>
      <w:tr>
        <w:trPr>
          <w:trHeight w:val="170"/>
        </w:trPr>
        <w:tc>
          <w:tcPr>
            <w:tcW w:w="3280" w:type="dxa"/>
            <w:vAlign w:val="bottom"/>
          </w:tcPr>
          <w:p>
            <w:pPr>
              <w:ind w:left="40"/>
              <w:spacing w:after="0"/>
              <w:rPr>
                <w:sz w:val="20"/>
                <w:szCs w:val="20"/>
                <w:color w:val="auto"/>
              </w:rPr>
            </w:pPr>
            <w:r>
              <w:rPr>
                <w:rFonts w:ascii="Arial" w:cs="Arial" w:eastAsia="Arial" w:hAnsi="Arial"/>
                <w:sz w:val="14"/>
                <w:szCs w:val="14"/>
                <w:color w:val="auto"/>
              </w:rPr>
              <w:t>Balance at January 1, 2018</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23,760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(9,703)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(262,065)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265,195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270,864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257,633</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11,924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11,924</w:t>
            </w:r>
          </w:p>
        </w:tc>
        <w:tc>
          <w:tcPr>
            <w:tcW w:w="0" w:type="dxa"/>
            <w:vAlign w:val="bottom"/>
          </w:tcPr>
          <w:p>
            <w:pPr>
              <w:spacing w:after="0"/>
              <w:rPr>
                <w:sz w:val="1"/>
                <w:szCs w:val="1"/>
                <w:color w:val="auto"/>
              </w:rPr>
            </w:pPr>
          </w:p>
        </w:tc>
      </w:tr>
      <w:tr>
        <w:trPr>
          <w:trHeight w:val="80"/>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280" w:type="dxa"/>
            <w:vAlign w:val="bottom"/>
          </w:tcPr>
          <w:p>
            <w:pPr>
              <w:ind w:left="4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for employee benefit plan and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90"/>
        </w:trPr>
        <w:tc>
          <w:tcPr>
            <w:tcW w:w="3280" w:type="dxa"/>
            <w:vAlign w:val="bottom"/>
          </w:tcPr>
          <w:p>
            <w:pPr>
              <w:ind w:left="40"/>
              <w:spacing w:after="0"/>
              <w:rPr>
                <w:sz w:val="20"/>
                <w:szCs w:val="20"/>
                <w:color w:val="auto"/>
              </w:rPr>
            </w:pPr>
            <w:r>
              <w:rPr>
                <w:rFonts w:ascii="Arial" w:cs="Arial" w:eastAsia="Arial" w:hAnsi="Arial"/>
                <w:sz w:val="14"/>
                <w:szCs w:val="14"/>
                <w:color w:val="auto"/>
              </w:rPr>
              <w:t>Purchase of treasury shares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74"/>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exercised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
              <w:spacing w:after="0"/>
              <w:rPr>
                <w:sz w:val="20"/>
                <w:szCs w:val="20"/>
                <w:color w:val="auto"/>
              </w:rPr>
            </w:pPr>
            <w:r>
              <w:rPr>
                <w:rFonts w:ascii="Arial" w:cs="Arial" w:eastAsia="Arial" w:hAnsi="Arial"/>
                <w:sz w:val="14"/>
                <w:szCs w:val="14"/>
                <w:color w:val="auto"/>
              </w:rPr>
              <w:t>Shares issued to directors</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and director stock-based compensation</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8,820</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
              <w:spacing w:after="0"/>
              <w:rPr>
                <w:sz w:val="20"/>
                <w:szCs w:val="20"/>
                <w:color w:val="auto"/>
              </w:rPr>
            </w:pPr>
            <w:r>
              <w:rPr>
                <w:rFonts w:ascii="Arial" w:cs="Arial" w:eastAsia="Arial" w:hAnsi="Arial"/>
                <w:sz w:val="14"/>
                <w:szCs w:val="14"/>
                <w:color w:val="auto"/>
              </w:rPr>
              <w:t>Performance-based common stock warrants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73"/>
        </w:trPr>
        <w:tc>
          <w:tcPr>
            <w:tcW w:w="328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(10,116)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(275,889)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276,103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282,788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262,960</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80" w:type="dxa"/>
            <w:vAlign w:val="bottom"/>
          </w:tcPr>
          <w:p>
            <w:pPr>
              <w:ind w:left="40"/>
              <w:spacing w:after="0" w:line="157" w:lineRule="exact"/>
              <w:rPr>
                <w:sz w:val="20"/>
                <w:szCs w:val="20"/>
                <w:color w:val="auto"/>
              </w:rPr>
            </w:pPr>
            <w:r>
              <w:rPr>
                <w:rFonts w:ascii="Arial" w:cs="Arial" w:eastAsia="Arial" w:hAnsi="Arial"/>
                <w:sz w:val="14"/>
                <w:szCs w:val="14"/>
                <w:color w:val="auto"/>
              </w:rPr>
              <w:t>Shares issued for employee benefit plan and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treasury shares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
              <w:spacing w:after="0"/>
              <w:rPr>
                <w:sz w:val="20"/>
                <w:szCs w:val="20"/>
                <w:color w:val="auto"/>
              </w:rPr>
            </w:pPr>
            <w:r>
              <w:rPr>
                <w:rFonts w:ascii="Arial" w:cs="Arial" w:eastAsia="Arial" w:hAnsi="Arial"/>
                <w:sz w:val="14"/>
                <w:szCs w:val="14"/>
                <w:color w:val="auto"/>
              </w:rPr>
              <w:t>Stock options exercised</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to directors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40"/>
              <w:spacing w:after="0"/>
              <w:rPr>
                <w:sz w:val="20"/>
                <w:szCs w:val="20"/>
                <w:color w:val="auto"/>
              </w:rPr>
            </w:pPr>
            <w:r>
              <w:rPr>
                <w:rFonts w:ascii="Arial" w:cs="Arial" w:eastAsia="Arial" w:hAnsi="Arial"/>
                <w:sz w:val="14"/>
                <w:szCs w:val="14"/>
                <w:color w:val="auto"/>
              </w:rPr>
              <w:t>Employee and director stock-based compensation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8,845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Performance-based common stock warrants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79"/>
        </w:trPr>
        <w:tc>
          <w:tcPr>
            <w:tcW w:w="3280" w:type="dxa"/>
            <w:vAlign w:val="bottom"/>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40"/>
              <w:spacing w:after="0"/>
              <w:rPr>
                <w:sz w:val="20"/>
                <w:szCs w:val="20"/>
                <w:color w:val="auto"/>
              </w:rPr>
            </w:pPr>
            <w:r>
              <w:rPr>
                <w:rFonts w:ascii="Arial" w:cs="Arial" w:eastAsia="Arial" w:hAnsi="Arial"/>
                <w:sz w:val="14"/>
                <w:szCs w:val="14"/>
                <w:color w:val="auto"/>
              </w:rPr>
              <w:t>Balance at December 31, 2019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24,118</w:t>
            </w:r>
          </w:p>
        </w:tc>
        <w:tc>
          <w:tcPr>
            <w:tcW w:w="700" w:type="dxa"/>
            <w:vAlign w:val="bottom"/>
            <w:gridSpan w:val="3"/>
            <w:vMerge w:val="restart"/>
          </w:tcPr>
          <w:p>
            <w:pPr>
              <w:jc w:val="right"/>
              <w:ind w:right="297"/>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4"/>
                <w:szCs w:val="1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(10,174)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(277,817)</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288,338</w:t>
            </w:r>
          </w:p>
        </w:tc>
        <w:tc>
          <w:tcPr>
            <w:tcW w:w="120" w:type="dxa"/>
            <w:vAlign w:val="bottom"/>
          </w:tcPr>
          <w:p>
            <w:pPr>
              <w:spacing w:after="0"/>
              <w:rPr>
                <w:sz w:val="14"/>
                <w:szCs w:val="14"/>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(22,781)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286,418</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274,399</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related party vendors.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p>
      <w:pPr>
        <w:jc w:val="right"/>
        <w:ind w:right="1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23495</wp:posOffset>
            </wp:positionV>
            <wp:extent cx="2914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580" w:type="dxa"/>
            <w:vAlign w:val="bottom"/>
          </w:tcPr>
          <w:p>
            <w:pPr>
              <w:spacing w:after="0"/>
              <w:rPr>
                <w:sz w:val="20"/>
                <w:szCs w:val="20"/>
                <w:color w:val="auto"/>
              </w:rPr>
            </w:pPr>
            <w:r>
              <w:rPr>
                <w:rFonts w:ascii="Arial" w:cs="Arial" w:eastAsia="Arial" w:hAnsi="Arial"/>
                <w:sz w:val="14"/>
                <w:szCs w:val="14"/>
                <w:color w:val="auto"/>
              </w:rPr>
              <w:t>Cash provided by operating activities: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58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3,630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3"/>
                <w:szCs w:val="23"/>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31,926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Provision for doubtful accounts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441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Gain on sale of Guangzhou factory</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(1,779)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Shares issued for employee benefit plan</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947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Employee and director stock-based compensation</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8,845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Performance-based common stock warrants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1,997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Impairment of long-term assets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1,506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1100"/>
              <w:spacing w:after="0"/>
              <w:rPr>
                <w:sz w:val="20"/>
                <w:szCs w:val="20"/>
                <w:color w:val="auto"/>
              </w:rPr>
            </w:pPr>
            <w:r>
              <w:rPr>
                <w:rFonts w:ascii="Arial" w:cs="Arial" w:eastAsia="Arial" w:hAnsi="Arial"/>
                <w:sz w:val="14"/>
                <w:szCs w:val="14"/>
                <w:color w:val="auto"/>
              </w:rPr>
              <w:t>Accounts receivable and contract assets</w:t>
            </w:r>
          </w:p>
        </w:tc>
        <w:tc>
          <w:tcPr>
            <w:tcW w:w="360" w:type="dxa"/>
            <w:vAlign w:val="bottom"/>
          </w:tcPr>
          <w:p>
            <w:pPr>
              <w:spacing w:after="0"/>
              <w:rPr>
                <w:sz w:val="23"/>
                <w:szCs w:val="23"/>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17,203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10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10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4,648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100"/>
              <w:spacing w:after="0"/>
              <w:rPr>
                <w:sz w:val="20"/>
                <w:szCs w:val="20"/>
                <w:color w:val="auto"/>
              </w:rPr>
            </w:pPr>
            <w:r>
              <w:rPr>
                <w:rFonts w:ascii="Arial" w:cs="Arial" w:eastAsia="Arial" w:hAnsi="Arial"/>
                <w:sz w:val="14"/>
                <w:szCs w:val="14"/>
                <w:color w:val="auto"/>
              </w:rPr>
              <w:t>Accounts payable and accrued liabilities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14,233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100"/>
              <w:spacing w:after="0"/>
              <w:rPr>
                <w:sz w:val="20"/>
                <w:szCs w:val="20"/>
                <w:color w:val="auto"/>
              </w:rPr>
            </w:pPr>
            <w:r>
              <w:rPr>
                <w:rFonts w:ascii="Arial" w:cs="Arial" w:eastAsia="Arial" w:hAnsi="Arial"/>
                <w:sz w:val="14"/>
                <w:szCs w:val="14"/>
                <w:color w:val="auto"/>
              </w:rPr>
              <w:t>Accrued income taxes</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3,574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5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80" w:type="dxa"/>
            <w:vAlign w:val="bottom"/>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85,257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4"/>
                <w:szCs w:val="14"/>
                <w:color w:val="auto"/>
              </w:rPr>
              <w:t>Cash provided by (used for) investing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340"/>
              <w:spacing w:after="0"/>
              <w:rPr>
                <w:sz w:val="20"/>
                <w:szCs w:val="20"/>
                <w:color w:val="auto"/>
              </w:rPr>
            </w:pPr>
            <w:r>
              <w:rPr>
                <w:rFonts w:ascii="Arial" w:cs="Arial" w:eastAsia="Arial" w:hAnsi="Arial"/>
                <w:sz w:val="14"/>
                <w:szCs w:val="14"/>
                <w:color w:val="auto"/>
              </w:rPr>
              <w:t>Proceeds from sale of Guangzhou factory</w:t>
            </w:r>
          </w:p>
        </w:tc>
        <w:tc>
          <w:tcPr>
            <w:tcW w:w="360" w:type="dxa"/>
            <w:vAlign w:val="bottom"/>
          </w:tcPr>
          <w:p>
            <w:pPr>
              <w:spacing w:after="0"/>
              <w:rPr>
                <w:sz w:val="23"/>
                <w:szCs w:val="23"/>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(21,313)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Refund of deposit received toward sale of Guangzhou factory</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Acquisitions of intangible assets</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Acquisition of net assets of Residential Control Systems, Inc.</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5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80" w:type="dxa"/>
            <w:vAlign w:val="bottom"/>
          </w:tcPr>
          <w:p>
            <w:pPr>
              <w:ind w:left="680"/>
              <w:spacing w:after="0"/>
              <w:rPr>
                <w:sz w:val="20"/>
                <w:szCs w:val="20"/>
                <w:color w:val="auto"/>
              </w:rPr>
            </w:pPr>
            <w:r>
              <w:rPr>
                <w:rFonts w:ascii="Arial" w:cs="Arial" w:eastAsia="Arial" w:hAnsi="Arial"/>
                <w:sz w:val="14"/>
                <w:szCs w:val="14"/>
                <w:color w:val="auto"/>
              </w:rPr>
              <w:t>Net cash provided by (used for) investing activities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(23,968)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4"/>
                <w:szCs w:val="14"/>
                <w:color w:val="auto"/>
              </w:rPr>
              <w:t>Cash provided by (used for) financing activities: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340"/>
              <w:spacing w:after="0"/>
              <w:rPr>
                <w:sz w:val="20"/>
                <w:szCs w:val="20"/>
                <w:color w:val="auto"/>
              </w:rPr>
            </w:pPr>
            <w:r>
              <w:rPr>
                <w:rFonts w:ascii="Arial" w:cs="Arial" w:eastAsia="Arial" w:hAnsi="Arial"/>
                <w:sz w:val="14"/>
                <w:szCs w:val="14"/>
                <w:color w:val="auto"/>
              </w:rPr>
              <w:t>Borrowings under line of credit</w:t>
            </w:r>
          </w:p>
        </w:tc>
        <w:tc>
          <w:tcPr>
            <w:tcW w:w="360" w:type="dxa"/>
            <w:vAlign w:val="bottom"/>
          </w:tcPr>
          <w:p>
            <w:pPr>
              <w:spacing w:after="0"/>
              <w:rPr>
                <w:sz w:val="23"/>
                <w:szCs w:val="23"/>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72,500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Repayments on line of credit</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(106,000)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Proceeds from stock options exercised</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Treasury stock purchased</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rPr>
                <w:sz w:val="20"/>
                <w:szCs w:val="20"/>
                <w:color w:val="auto"/>
              </w:rPr>
            </w:pPr>
            <w:r>
              <w:rPr>
                <w:rFonts w:ascii="Arial" w:cs="Arial" w:eastAsia="Arial" w:hAnsi="Arial"/>
                <w:sz w:val="14"/>
                <w:szCs w:val="14"/>
                <w:color w:val="auto"/>
              </w:rPr>
              <w:t>Contingent consideration payments in connection with business combinations</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(4,251)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5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80" w:type="dxa"/>
            <w:vAlign w:val="bottom"/>
          </w:tcPr>
          <w:p>
            <w:pPr>
              <w:ind w:left="680"/>
              <w:spacing w:after="0"/>
              <w:rPr>
                <w:sz w:val="20"/>
                <w:szCs w:val="20"/>
                <w:color w:val="auto"/>
              </w:rPr>
            </w:pPr>
            <w:r>
              <w:rPr>
                <w:rFonts w:ascii="Arial" w:cs="Arial" w:eastAsia="Arial" w:hAnsi="Arial"/>
                <w:sz w:val="14"/>
                <w:szCs w:val="14"/>
                <w:color w:val="auto"/>
              </w:rPr>
              <w:t>Net cash provided by (used for) financing activities</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(39,231)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(963)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5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8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6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21,095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6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year</w:t>
            </w:r>
          </w:p>
        </w:tc>
        <w:tc>
          <w:tcPr>
            <w:tcW w:w="3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53,207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65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80" w:type="dxa"/>
            <w:vAlign w:val="bottom"/>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74,302</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4"/>
                <w:szCs w:val="14"/>
                <w:color w:val="auto"/>
              </w:rPr>
              <w:t>Supplemental cash flow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6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0"/>
                <w:szCs w:val="20"/>
                <w:color w:val="auto"/>
              </w:rPr>
            </w:pPr>
            <w:r>
              <w:rPr>
                <w:rFonts w:ascii="Arial" w:cs="Arial" w:eastAsia="Arial" w:hAnsi="Arial"/>
                <w:sz w:val="14"/>
                <w:szCs w:val="14"/>
                <w:color w:val="auto"/>
              </w:rPr>
              <w:t>Income taxes paid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7,275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4"/>
                <w:szCs w:val="14"/>
                <w:color w:val="auto"/>
              </w:rPr>
              <w:t>Interest paid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4,403</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-6515100</wp:posOffset>
            </wp:positionV>
            <wp:extent cx="71151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-6172200</wp:posOffset>
            </wp:positionV>
            <wp:extent cx="7115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-5829300</wp:posOffset>
            </wp:positionV>
            <wp:extent cx="7115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-5143500</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-1397635</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-1054735</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11517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-6866890</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See Note 5 for further information concerning our purchases from related party vendors.</w:t>
      </w:r>
    </w:p>
    <w:p>
      <w:pPr>
        <w:spacing w:after="0" w:line="136" w:lineRule="exact"/>
        <w:rPr>
          <w:sz w:val="20"/>
          <w:szCs w:val="20"/>
          <w:color w:val="auto"/>
        </w:rPr>
      </w:pPr>
    </w:p>
    <w:p>
      <w:pPr>
        <w:ind w:left="31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jc w:val="right"/>
              <w:ind w:right="608"/>
              <w:spacing w:after="0"/>
              <w:rPr>
                <w:sz w:val="20"/>
                <w:szCs w:val="20"/>
                <w:color w:val="auto"/>
              </w:rPr>
            </w:pPr>
            <w:r>
              <w:rPr>
                <w:rFonts w:ascii="Arial" w:cs="Arial" w:eastAsia="Arial" w:hAnsi="Arial"/>
                <w:sz w:val="14"/>
                <w:szCs w:val="14"/>
                <w:b w:val="1"/>
                <w:bCs w:val="1"/>
                <w:color w:val="auto"/>
                <w:w w:val="83"/>
              </w:rPr>
              <w:t>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528"/>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11,924</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(10,323)</w:t>
            </w:r>
          </w:p>
        </w:tc>
      </w:tr>
      <w:tr>
        <w:trPr>
          <w:trHeight w:val="54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33,602</w:t>
            </w: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31,312</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166</w:t>
            </w:r>
          </w:p>
        </w:tc>
      </w:tr>
      <w:tr>
        <w:trPr>
          <w:trHeight w:val="270"/>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(36,978)</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3,967</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7,597</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1,062</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648</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8,820</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11,943</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163</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683</w:t>
            </w:r>
          </w:p>
        </w:tc>
      </w:tr>
      <w:tr>
        <w:trPr>
          <w:trHeight w:val="27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4,907</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4,100</w:t>
            </w:r>
          </w:p>
        </w:tc>
      </w:tr>
      <w:tr>
        <w:trPr>
          <w:trHeight w:val="54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5,455</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(22,192)</w:t>
            </w:r>
          </w:p>
        </w:tc>
      </w:tr>
      <w:tr>
        <w:trPr>
          <w:trHeight w:val="270"/>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(11,215)</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(25,797)</w:t>
            </w:r>
          </w:p>
        </w:tc>
      </w:tr>
    </w:tbl>
    <w:p>
      <w:pPr>
        <w:spacing w:after="0" w:line="88" w:lineRule="exact"/>
        <w:rPr>
          <w:sz w:val="20"/>
          <w:szCs w:val="20"/>
          <w:color w:val="auto"/>
        </w:rPr>
      </w:pPr>
    </w:p>
    <w:p>
      <w:pPr>
        <w:ind w:left="1940" w:hanging="1451"/>
        <w:spacing w:after="0"/>
        <w:tabs>
          <w:tab w:leader="none" w:pos="1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(4,477)</w:t>
      </w:r>
    </w:p>
    <w:p>
      <w:pPr>
        <w:spacing w:after="0" w:line="109"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600" w:type="dxa"/>
            <w:vAlign w:val="bottom"/>
          </w:tcPr>
          <w:p>
            <w:pPr>
              <w:jc w:val="right"/>
              <w:ind w:right="88"/>
              <w:spacing w:after="0"/>
              <w:rPr>
                <w:sz w:val="20"/>
                <w:szCs w:val="20"/>
                <w:color w:val="auto"/>
              </w:rPr>
            </w:pPr>
            <w:r>
              <w:rPr>
                <w:rFonts w:ascii="Arial" w:cs="Arial" w:eastAsia="Arial" w:hAnsi="Arial"/>
                <w:sz w:val="14"/>
                <w:szCs w:val="14"/>
                <w:color w:val="auto"/>
                <w:w w:val="94"/>
              </w:rPr>
              <w:t>(7,386)</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10,970</w:t>
            </w:r>
          </w:p>
        </w:tc>
      </w:tr>
      <w:tr>
        <w:trPr>
          <w:trHeight w:val="276"/>
        </w:trPr>
        <w:tc>
          <w:tcPr>
            <w:tcW w:w="600" w:type="dxa"/>
            <w:vAlign w:val="bottom"/>
          </w:tcPr>
          <w:p>
            <w:pPr>
              <w:jc w:val="right"/>
              <w:ind w:right="88"/>
              <w:spacing w:after="0"/>
              <w:rPr>
                <w:sz w:val="20"/>
                <w:szCs w:val="20"/>
                <w:color w:val="auto"/>
              </w:rPr>
            </w:pPr>
            <w:r>
              <w:rPr>
                <w:rFonts w:ascii="Arial" w:cs="Arial" w:eastAsia="Arial" w:hAnsi="Arial"/>
                <w:sz w:val="14"/>
                <w:szCs w:val="14"/>
                <w:color w:val="auto"/>
                <w:w w:val="94"/>
              </w:rPr>
              <w:t>(1,184)</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4,535</w:t>
            </w:r>
          </w:p>
        </w:tc>
      </w:tr>
      <w:tr>
        <w:trPr>
          <w:trHeight w:val="244"/>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12,855</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9,165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-163195</wp:posOffset>
            </wp:positionV>
            <wp:extent cx="916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38"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4"/>
          <w:szCs w:val="14"/>
          <w:color w:val="auto"/>
        </w:rPr>
        <w:t>51,291</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00"/>
        <w:spacing w:after="0"/>
        <w:tabs>
          <w:tab w:leader="none" w:pos="1840" w:val="left"/>
        </w:tabs>
        <w:rPr>
          <w:sz w:val="20"/>
          <w:szCs w:val="20"/>
          <w:color w:val="auto"/>
        </w:rPr>
      </w:pPr>
      <w:r>
        <w:rPr>
          <w:rFonts w:ascii="Arial" w:cs="Arial" w:eastAsia="Arial" w:hAnsi="Arial"/>
          <w:sz w:val="14"/>
          <w:szCs w:val="14"/>
          <w:color w:val="auto"/>
        </w:rPr>
        <w:t>(20,142)</w:t>
      </w:r>
      <w:r>
        <w:rPr>
          <w:sz w:val="20"/>
          <w:szCs w:val="20"/>
          <w:color w:val="auto"/>
        </w:rPr>
        <w:tab/>
      </w:r>
      <w:r>
        <w:rPr>
          <w:rFonts w:ascii="Arial" w:cs="Arial" w:eastAsia="Arial" w:hAnsi="Arial"/>
          <w:sz w:val="14"/>
          <w:szCs w:val="14"/>
          <w:color w:val="auto"/>
        </w:rPr>
        <w:t>(40,384)</w:t>
      </w:r>
    </w:p>
    <w:p>
      <w:pPr>
        <w:spacing w:after="0" w:line="109" w:lineRule="exact"/>
        <w:rPr>
          <w:sz w:val="20"/>
          <w:szCs w:val="20"/>
          <w:color w:val="auto"/>
        </w:rPr>
      </w:pPr>
    </w:p>
    <w:p>
      <w:pPr>
        <w:ind w:left="380"/>
        <w:spacing w:after="0"/>
        <w:tabs>
          <w:tab w:leader="none" w:pos="2140" w:val="left"/>
        </w:tabs>
        <w:rPr>
          <w:sz w:val="20"/>
          <w:szCs w:val="20"/>
          <w:color w:val="auto"/>
        </w:rPr>
      </w:pPr>
      <w:r>
        <w:rPr>
          <w:rFonts w:ascii="Arial" w:cs="Arial" w:eastAsia="Arial" w:hAnsi="Arial"/>
          <w:sz w:val="14"/>
          <w:szCs w:val="14"/>
          <w:color w:val="auto"/>
        </w:rPr>
        <w:t>(5,053)</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80"/>
        <w:spacing w:after="0"/>
        <w:tabs>
          <w:tab w:leader="none" w:pos="1920" w:val="left"/>
        </w:tabs>
        <w:rPr>
          <w:sz w:val="20"/>
          <w:szCs w:val="20"/>
          <w:color w:val="auto"/>
        </w:rPr>
      </w:pPr>
      <w:r>
        <w:rPr>
          <w:rFonts w:ascii="Arial" w:cs="Arial" w:eastAsia="Arial" w:hAnsi="Arial"/>
          <w:sz w:val="14"/>
          <w:szCs w:val="14"/>
          <w:color w:val="auto"/>
        </w:rPr>
        <w:t>(2,521)</w:t>
      </w:r>
      <w:r>
        <w:rPr>
          <w:sz w:val="20"/>
          <w:szCs w:val="20"/>
          <w:color w:val="auto"/>
        </w:rPr>
        <w:tab/>
      </w:r>
      <w:r>
        <w:rPr>
          <w:rFonts w:ascii="Arial" w:cs="Arial" w:eastAsia="Arial" w:hAnsi="Arial"/>
          <w:sz w:val="14"/>
          <w:szCs w:val="14"/>
          <w:color w:val="auto"/>
        </w:rPr>
        <w:t>(1,949)</w:t>
      </w:r>
    </w:p>
    <w:p>
      <w:pPr>
        <w:spacing w:after="0" w:line="10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(8,894)</w:t>
      </w:r>
    </w:p>
    <w:p>
      <w:pPr>
        <w:spacing w:after="0" w:line="6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4"/>
          <w:szCs w:val="14"/>
          <w:color w:val="auto"/>
        </w:rPr>
        <w:t>23,575</w:t>
      </w:r>
      <w:r>
        <w:rPr>
          <w:sz w:val="20"/>
          <w:szCs w:val="20"/>
          <w:color w:val="auto"/>
        </w:rPr>
        <w:tab/>
      </w:r>
      <w:r>
        <w:rPr>
          <w:rFonts w:ascii="Arial" w:cs="Arial" w:eastAsia="Arial" w:hAnsi="Arial"/>
          <w:sz w:val="14"/>
          <w:szCs w:val="14"/>
          <w:color w:val="auto"/>
        </w:rPr>
        <w:t>(51,227)</w:t>
      </w:r>
    </w:p>
    <w:p>
      <w:pPr>
        <w:spacing w:after="0" w:line="379"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68,000</w:t>
            </w:r>
          </w:p>
        </w:tc>
        <w:tc>
          <w:tcPr>
            <w:tcW w:w="50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157,000</w:t>
            </w:r>
          </w:p>
        </w:tc>
      </w:tr>
      <w:tr>
        <w:trPr>
          <w:trHeight w:val="270"/>
        </w:trPr>
        <w:tc>
          <w:tcPr>
            <w:tcW w:w="720" w:type="dxa"/>
            <w:vAlign w:val="bottom"/>
          </w:tcPr>
          <w:p>
            <w:pPr>
              <w:jc w:val="right"/>
              <w:ind w:right="88"/>
              <w:spacing w:after="0"/>
              <w:rPr>
                <w:sz w:val="20"/>
                <w:szCs w:val="20"/>
                <w:color w:val="auto"/>
              </w:rPr>
            </w:pPr>
            <w:r>
              <w:rPr>
                <w:rFonts w:ascii="Arial" w:cs="Arial" w:eastAsia="Arial" w:hAnsi="Arial"/>
                <w:sz w:val="14"/>
                <w:szCs w:val="14"/>
                <w:color w:val="auto"/>
                <w:w w:val="90"/>
              </w:rPr>
              <w:t>(104,500)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(68,987)</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864</w:t>
            </w:r>
          </w:p>
        </w:tc>
        <w:tc>
          <w:tcPr>
            <w:tcW w:w="5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1,442</w:t>
            </w:r>
          </w:p>
        </w:tc>
      </w:tr>
      <w:tr>
        <w:trPr>
          <w:trHeight w:val="270"/>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(13,824)</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(39,085)</w:t>
            </w:r>
          </w:p>
        </w:tc>
      </w:tr>
      <w:tr>
        <w:trPr>
          <w:trHeight w:val="276"/>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(3,858)</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44"/>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(53,318)</w:t>
            </w:r>
          </w:p>
        </w:tc>
        <w:tc>
          <w:tcPr>
            <w:tcW w:w="5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50,370</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2,756</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r>
      <w:tr>
        <w:trPr>
          <w:trHeight w:val="244"/>
        </w:trPr>
        <w:tc>
          <w:tcPr>
            <w:tcW w:w="720" w:type="dxa"/>
            <w:vAlign w:val="bottom"/>
          </w:tcPr>
          <w:p>
            <w:pPr>
              <w:jc w:val="right"/>
              <w:ind w:right="88"/>
              <w:spacing w:after="0"/>
              <w:rPr>
                <w:sz w:val="20"/>
                <w:szCs w:val="20"/>
                <w:color w:val="auto"/>
              </w:rPr>
            </w:pPr>
            <w:r>
              <w:rPr>
                <w:rFonts w:ascii="Arial" w:cs="Arial" w:eastAsia="Arial" w:hAnsi="Arial"/>
                <w:sz w:val="14"/>
                <w:szCs w:val="14"/>
                <w:color w:val="auto"/>
              </w:rPr>
              <w:t>(14,132)</w:t>
            </w:r>
          </w:p>
        </w:tc>
        <w:tc>
          <w:tcPr>
            <w:tcW w:w="50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7,505</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67,339</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59,834</w:t>
            </w:r>
          </w:p>
        </w:tc>
      </w:tr>
      <w:tr>
        <w:trPr>
          <w:trHeight w:val="237"/>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53,207</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67,339</w:t>
            </w:r>
          </w:p>
        </w:tc>
      </w:tr>
      <w:tr>
        <w:trPr>
          <w:trHeight w:val="20"/>
        </w:trPr>
        <w:tc>
          <w:tcPr>
            <w:tcW w:w="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12"/>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7,658</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8,280</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4,981</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-720090</wp:posOffset>
            </wp:positionV>
            <wp:extent cx="9169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-883285</wp:posOffset>
            </wp:positionV>
            <wp:extent cx="916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-1226185</wp:posOffset>
            </wp:positionV>
            <wp:extent cx="916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-1569085</wp:posOffset>
            </wp:positionV>
            <wp:extent cx="9169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8320" w:space="480"/>
            <w:col w:w="2420"/>
          </w:cols>
          <w:pgMar w:left="320" w:top="118" w:right="359" w:bottom="1440" w:gutter="0" w:footer="0" w:header="0"/>
          <w:type w:val="continuous"/>
        </w:sectPr>
      </w:pP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20"/>
          </w:cols>
          <w:pgMar w:left="320" w:top="118" w:right="35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Universal Electronics Inc. ("UEI"), based in Scottsdale, Arizona, designs, develops, manufactures and ships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broadcasting, home entertainment, automation, security, hospitality and climate control markets. In addition, over the past 34 years, we have developed a broad portfolio of patented technologies and a database of home connectivity software that we license to our customers, including many leading Fortune 500 companies.</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principal markets are the subscription broadcast, consumer and mobile electronics, residential security and hospitality markets where our customers include service providers, original equipment manufacturers ("OEMs"), international retailers, private label brands, pro-security dealers and companies in the computing industry. We sell directly to our customers and, for retail, we also sell through distributors throughout the world under the 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subscription broadcasting providers, both domestically and internationally, with our universal remote control devices and integrated circuits, on which our software and device code libraries are embedded. We also sell integrated circuits, on which our software and device control code libraries are embedded, and license our device control solutions to OEMs that manufacture televisions, digital audio and video players, streamer boxes, cable converters, satellite receivers, set-top boxes, room and central heating, ventilation and air conditioning equipment, game consoles, and wireless mobile phones and tablets.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in the accompanying consolidated financial statements have been reclassified to conform to the current year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reclassifications did not have a material effect on our previously reported consolidated balance sheets, net income or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doubtful accounts, inventory valuation, impairment of long-lived assets, intangible assets and goodwill, business combinations, income taxes, stock-based compensation expense and performance-based common stock warrants. Actual results may differ from these assumptions and estimates, and they may be adjusted as more information becomes available. Any adjustment may be material.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w:t>
      </w:r>
    </w:p>
    <w:p>
      <w:pPr>
        <w:spacing w:after="0" w:line="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 Product revenue is generated through manufacturing and delivering universal control, sensing and automation products and AV</w:t>
      </w:r>
      <w:r>
        <w:rPr>
          <w:rFonts w:ascii="Arial" w:cs="Arial" w:eastAsia="Arial" w:hAnsi="Arial"/>
          <w:sz w:val="16"/>
          <w:szCs w:val="16"/>
          <w:i w:val="1"/>
          <w:iCs w:val="1"/>
          <w:color w:val="auto"/>
        </w:rPr>
        <w:t xml:space="preserve"> </w:t>
      </w:r>
      <w:r>
        <w:rPr>
          <w:rFonts w:ascii="Arial" w:cs="Arial" w:eastAsia="Arial" w:hAnsi="Arial"/>
          <w:sz w:val="16"/>
          <w:szCs w:val="16"/>
          <w:color w:val="auto"/>
        </w:rPr>
        <w:t>accessories,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 in the period in which we make such a determination.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license our intellectual property including our patented technologies and database of control codes. We record license revenue for per-unit based licenses when our customers manufacture or ship a product incorporating our intellectual property and we have a present right to payment. We record revenue upon delivery of intellectual property for fixed up-front fee licenses or if the contract contains a minimum guarantee. Tiered royalties are recorded on a straight-line basis according to the forecasted per-unit fees taking into account the pricing tiers.</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represent the value of revenue recognized over time for which we have not yet invoiced the customer.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we invoice the customer within 90 days of revenue recognition.</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A contract liability is recorded when consideration is received from a customer prior to fully satisfying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in a contract. Our contract liabilities primarily consist of cash received in advance for non-recurring engineering and tooling services. These contract liabilities will be recognized as revenues when control of the related product or service is transferred to the customer. See Note 11 for further information concerning contract liabilities.</w:t>
      </w:r>
    </w:p>
    <w:p>
      <w:pPr>
        <w:spacing w:after="0" w:line="1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Other performance obligations - </w:t>
      </w:r>
      <w:r>
        <w:rPr>
          <w:rFonts w:ascii="Arial" w:cs="Arial" w:eastAsia="Arial" w:hAnsi="Arial"/>
          <w:sz w:val="18"/>
          <w:szCs w:val="18"/>
          <w:color w:val="auto"/>
        </w:rPr>
        <w:t>Payment terms are typically on open credit terms consistent with industry practice and do not have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components. We accrue for discounts and rebates based on historical experience and our expectations regarding future sales to our customers. Accruals for discounts and rebates are recorded as a reduction to sales in the same period as the related revenue. Such discounts were $15.9 million and $14.6 million at December 31, 2019 and 2018, respectively. Changes in such accruals may be required if future rebates and incentives differ from our estimates.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Adoption of revenue recognition standard - </w:t>
      </w:r>
      <w:r>
        <w:rPr>
          <w:rFonts w:ascii="Arial" w:cs="Arial" w:eastAsia="Arial" w:hAnsi="Arial"/>
          <w:sz w:val="18"/>
          <w:szCs w:val="18"/>
          <w:color w:val="auto"/>
        </w:rPr>
        <w:t>On January 1, 2018, we adopted Accounting Standards Update ("ASU") 2014-09,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and all related amendments. The guidance provides a single, comprehensive revenue recognition model for all contracts with customers and supersedes most existing revenue recognition guidance. The primary impact to our revenue recognition policies resulting from this standard relates to the timing of revenue recognition for products which are customized for a specific customer. Results for reporting periods beginning after January 1, 2018 are presented under the new standard while prior periods have not been adjusted. We applied the modified retrospective method of adoption with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cumulative effect of the initial adoption of $4.1 million reflected as an adjustment to the opening balance of retained earnings as of January 1,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positions taken or expected to be taken in a tax return. For those benefits to be recognized, a tax position must be more likely than not to be sustained upon examination by taxing authorities, or else a full reserve is established against the tax asset or a liability is recorded. A "more likely than not" tax position is measured as the largest amount of benefit that is greater than fifty percent likely of being realized upon ultimate settlement.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totaled $0.9 million, $1.3 million, and $1.1 million for the years ended December 31,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Shipping and handling fees and costs totaled $13.2 million, $12.2 million and $12.2 million for the years ended December 31, 2019, 2018 and 2017,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four years. Forfeitures of stock-based awards are accounted for as they occur.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common shares on the date they were granted.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then-current fair value of the related unvested warrants. If we do not have a reliable forecast of future purchases to be made by the customer by which to estimate the number of warrants that will vest, then the maximum number of potential warrants is assumed until such time that a reliable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 of future purchases is available. To the extent that our projections change in the future as to the number of warrants that will vest, a cumulative catch-up adjustment will be recorded in the period in which our estimates change.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performance-based common stock warrants is determined utilizing the Black-Scholes option pricing model. The assumptions utilized in the Black-Scholes model include the price of our common stock, the risk-free interest rate, expected volatility, expected life in years and dividend yield. The price of our common stock is equal to the average of the high and low trade prices of our common stock on the measurement date. The risk-free interest rate over the expected life is equal to the prevailing U.S. Treasury note rate over the same period. Expected volatility is determined utilizing historical volatility over a period of time equal to the expected life of the warrant. Expected life is equal to the remaining contractual term of the warrant. The dividend yield is assumed to be zero since we have not historically declared dividends and do not have any plans to declare dividends in the future. See Note 16 for further information regarding performance-based common stock warrants.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consist primarily of cash and cash equivalents, accounts receivable, accounts payable, accrued liabilities and debt. The carrying value of our financial instruments approximates fair value as a result of their short maturities. See Notes 3, 4, 8, 10, and 11 for further information concerning our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Domestically we generally maintain balances in excess of federally insured limits.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allowance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25-33 Years</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560" w:type="dxa"/>
            <w:vAlign w:val="bottom"/>
          </w:tcPr>
          <w:p>
            <w:pPr>
              <w:ind w:left="320"/>
              <w:spacing w:after="0"/>
              <w:rPr>
                <w:sz w:val="20"/>
                <w:szCs w:val="20"/>
                <w:color w:val="auto"/>
              </w:rPr>
            </w:pPr>
            <w:r>
              <w:rPr>
                <w:rFonts w:ascii="Arial" w:cs="Arial" w:eastAsia="Arial" w:hAnsi="Arial"/>
                <w:sz w:val="18"/>
                <w:szCs w:val="18"/>
                <w:color w:val="auto"/>
              </w:rPr>
              <w:t>2-7 Years</w:t>
            </w:r>
          </w:p>
        </w:tc>
      </w:tr>
      <w:tr>
        <w:trPr>
          <w:trHeight w:val="27"/>
        </w:trPr>
        <w:tc>
          <w:tcPr>
            <w:tcW w:w="6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3-5 Years</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560" w:type="dxa"/>
            <w:vAlign w:val="bottom"/>
          </w:tcPr>
          <w:p>
            <w:pPr>
              <w:ind w:left="320"/>
              <w:spacing w:after="0"/>
              <w:rPr>
                <w:sz w:val="20"/>
                <w:szCs w:val="20"/>
                <w:color w:val="auto"/>
              </w:rPr>
            </w:pPr>
            <w:r>
              <w:rPr>
                <w:rFonts w:ascii="Arial" w:cs="Arial" w:eastAsia="Arial" w:hAnsi="Arial"/>
                <w:sz w:val="18"/>
                <w:szCs w:val="18"/>
                <w:color w:val="auto"/>
              </w:rPr>
              <w:t>3-7 Years</w:t>
            </w:r>
          </w:p>
        </w:tc>
      </w:tr>
      <w:tr>
        <w:trPr>
          <w:trHeight w:val="27"/>
        </w:trPr>
        <w:tc>
          <w:tcPr>
            <w:tcW w:w="66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5-8 Years</w:t>
            </w:r>
          </w:p>
        </w:tc>
      </w:tr>
      <w:tr>
        <w:trPr>
          <w:trHeight w:val="229"/>
        </w:trPr>
        <w:tc>
          <w:tcPr>
            <w:tcW w:w="666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560" w:type="dxa"/>
            <w:vAlign w:val="bottom"/>
          </w:tcPr>
          <w:p>
            <w:pPr>
              <w:ind w:left="32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660" w:type="dxa"/>
            <w:vAlign w:val="bottom"/>
          </w:tcPr>
          <w:p>
            <w:pPr>
              <w:spacing w:after="0"/>
              <w:rPr>
                <w:sz w:val="20"/>
                <w:szCs w:val="20"/>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66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560" w:type="dxa"/>
            <w:vAlign w:val="bottom"/>
          </w:tcPr>
          <w:p>
            <w:pPr>
              <w:spacing w:after="0"/>
              <w:rPr>
                <w:sz w:val="24"/>
                <w:szCs w:val="24"/>
                <w:color w:val="auto"/>
              </w:rPr>
            </w:pPr>
          </w:p>
        </w:tc>
      </w:tr>
      <w:tr>
        <w:trPr>
          <w:trHeight w:val="432"/>
        </w:trPr>
        <w:tc>
          <w:tcPr>
            <w:tcW w:w="666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4560" w:type="dxa"/>
            <w:vAlign w:val="bottom"/>
          </w:tcPr>
          <w:p>
            <w:pPr>
              <w:spacing w:after="0"/>
              <w:rPr>
                <w:sz w:val="24"/>
                <w:szCs w:val="24"/>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w w:val="94"/>
              </w:rPr>
              <w:t>We adopted ASU 2016-02, "Leases," and all related amendments as of January 1, 2019.</w:t>
            </w:r>
          </w:p>
        </w:tc>
        <w:tc>
          <w:tcPr>
            <w:tcW w:w="4560" w:type="dxa"/>
            <w:vAlign w:val="bottom"/>
          </w:tcPr>
          <w:p>
            <w:pPr>
              <w:spacing w:after="0"/>
              <w:rPr>
                <w:sz w:val="23"/>
                <w:szCs w:val="23"/>
                <w:color w:val="auto"/>
              </w:rPr>
            </w:pPr>
          </w:p>
        </w:tc>
      </w:tr>
    </w:tbl>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to five years with up</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to two extensions at the then current market rate. Lease expense for lease payments is recognized on a straight-line basis over the lease term.</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further information concerning our leases.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 the year ended December 31, 2019, 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Intangible assets consist of distribution rights, patents, trademarks and trade names, developed and core technologies, capitalized software development costs and customer relationships. Capitalized amounts related to patents represent external legal costs for the application, maintenance and extension of the useful life of patents. Intangible assets are amortized using the straight-line method over their estimated period of benefit, ranging from two to 15 years.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6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4"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27"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21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Indian Rupee, Japanese Yen, Mexican Peso and Philippine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3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40" w:right="60" w:hanging="1011"/>
        <w:spacing w:after="0" w:line="263" w:lineRule="auto"/>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2016-02 (with amendments issued in 2018), which changes the accounting for leases and requires expanded disclosures about leasing activities. This new guidance also requires lessees to recognize a ROU asset and a lease liability at the commencement date for all leases with terms greater than twelve months. Accounting by lessors is largely unchanged. ASU 2016-02 is effective for fiscal periods beginning after December 15, 2018. We adopted ASU 2016-02 on January 1, 2019 using the modified retrospective optional transition method. Thus, the standard was applied starting January 1, 2019 and prior periods were not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applied the package of practical expedients permitted under the transition guidance. As a result, we did not reassess the identification, classification and initial direct costs of leases commencing before the effective date. We also applied the practical expedient to not separate lease and non-lease components to all new leases as well as leases commencing before the effective date.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adoption, ASU 2016-02 resulted in the recognition of lease ROU assets, accrued liabilities and long-term liabilities related to operating leases of $20.7 million, $3.3 million and $17.0 million, respectively. In addition, assets and liabilities totaling $2.5 million and $2.3 million, respectively, were reclassified into the opening ROU asset balance. The adoption of ASU 2016-02 did not result in any cumulative-effect adjustment to the opening balance of retained earnings and did not have any impact on our results of operations, cash flows or debt covenants. See Note 12 for additional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2018, the FASB issued ASU 2018-07, "Improvements to Non-employee Share-Based Payment Accounting." This guidance expands the scope of Topic 718 "Compensation - Stock Compensation" to include share-based payment transactions for acquiring goods and services from non-employees, but excludes awards granted in conjunction with selling goods or services to a customer as part of a contract accounted for under ASC 606, "Revenue from Contracts with Customers." The adoption of ASU 2018-07 did not have a material impact on our consolidated financial statements.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which amends ASC 350-40, "Intangibles - Goodwill and Other - Internal-Use Software." The ASU aligns the requirements for capitalizing implementation costs incurred in a hosting arrangement that is a service contract with the requirements for capitalizing implementation costs incurred to develop or obtain internal-use software and requires the capitalized implementation costs to be expensed over the term of the hosting arrangement. The accounting for the service element of a hosting arrangement that is a service contract is not affected. ASU 2018-15 is effective for fiscal periods beginning after December 15, 2019, and interim periods within those fiscal years. The adoption of ASU 2018-15, effective January 1, 2019, did not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the FASB issued ASU 2019-12, "Simplifying the Accounting for Income Taxes." This guidance,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ASU 2019-12 is effective for interim and annual periods beginning after December 15, 2020, with early adoption permitted. We are currently evaluating the impact of this guidance.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updates existing guidance for measuring and recording credit losses on financial assets measured at amortized cost by replacing the "incurred loss" model with an "expected loss" model. Accordingly, these financial assets will be presented at the net amount expected to be collected. ASU 2016-13 is effective for fiscal years beginning after December 15, 2019. Early adoption is permitted. We do not expect the adoption of ASU 2016-13 will have a material impact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20,885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19,907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74,302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53,207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Note 4 — Revenue and Accounts Receivable, Net</w:t>
            </w: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6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Goods and services transferred at a point in time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558,361</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577,085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Goods and services transferred over time</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195,116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103,156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753,477</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680,241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Our net sales to external customers by geographic area were as follows:</w:t>
            </w:r>
          </w:p>
        </w:tc>
        <w:tc>
          <w:tcPr>
            <w:tcW w:w="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9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407,291</w:t>
            </w:r>
          </w:p>
        </w:tc>
        <w:tc>
          <w:tcPr>
            <w:tcW w:w="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315,214</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345,838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104,324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124,657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104,668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91,446</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83,036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94,491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85,228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79,183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30,954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33,688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32,742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28,952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753,477</w:t>
            </w:r>
          </w:p>
        </w:tc>
        <w:tc>
          <w:tcPr>
            <w:tcW w:w="4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680,241</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695,790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0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3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 of Net</w:t>
            </w:r>
          </w:p>
        </w:tc>
        <w:tc>
          <w:tcPr>
            <w:tcW w:w="140" w:type="dxa"/>
            <w:vAlign w:val="bottom"/>
          </w:tcPr>
          <w:p>
            <w:pPr>
              <w:spacing w:after="0"/>
              <w:rPr>
                <w:sz w:val="13"/>
                <w:szCs w:val="13"/>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32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9"/>
              </w:rPr>
              <w:t>% of Net</w:t>
            </w:r>
          </w:p>
        </w:tc>
        <w:tc>
          <w:tcPr>
            <w:tcW w:w="140" w:type="dxa"/>
            <w:vAlign w:val="bottom"/>
          </w:tcPr>
          <w:p>
            <w:pPr>
              <w:spacing w:after="0"/>
              <w:rPr>
                <w:sz w:val="13"/>
                <w:szCs w:val="13"/>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 (thousands)</w:t>
            </w:r>
          </w:p>
        </w:tc>
        <w:tc>
          <w:tcPr>
            <w:tcW w:w="34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7"/>
              </w:rPr>
              <w:t>Sales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49"/>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119,561</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119,809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159,829</w:t>
            </w:r>
          </w:p>
        </w:tc>
        <w:tc>
          <w:tcPr>
            <w:tcW w:w="15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w w:val="93"/>
              </w:rPr>
              <w:t>23.0%</w:t>
            </w:r>
          </w:p>
        </w:tc>
        <w:tc>
          <w:tcPr>
            <w:tcW w:w="0" w:type="dxa"/>
            <w:vAlign w:val="bottom"/>
          </w:tcPr>
          <w:p>
            <w:pPr>
              <w:spacing w:after="0"/>
              <w:rPr>
                <w:sz w:val="1"/>
                <w:szCs w:val="1"/>
                <w:color w:val="auto"/>
              </w:rPr>
            </w:pPr>
          </w:p>
        </w:tc>
      </w:tr>
      <w:tr>
        <w:trPr>
          <w:trHeight w:val="320"/>
        </w:trPr>
        <w:tc>
          <w:tcPr>
            <w:tcW w:w="2720" w:type="dxa"/>
            <w:vAlign w:val="bottom"/>
          </w:tcPr>
          <w:p>
            <w:pPr>
              <w:ind w:left="40"/>
              <w:spacing w:after="0"/>
              <w:rPr>
                <w:sz w:val="20"/>
                <w:szCs w:val="20"/>
                <w:color w:val="auto"/>
              </w:rPr>
            </w:pPr>
            <w:r>
              <w:rPr>
                <w:rFonts w:ascii="Arial" w:cs="Arial" w:eastAsia="Arial" w:hAnsi="Arial"/>
                <w:sz w:val="18"/>
                <w:szCs w:val="18"/>
                <w:color w:val="auto"/>
              </w:rPr>
              <w:t>AT&amp;T Inc.</w:t>
            </w:r>
          </w:p>
        </w:tc>
        <w:tc>
          <w:tcPr>
            <w:tcW w:w="140" w:type="dxa"/>
            <w:vAlign w:val="bottom"/>
          </w:tcPr>
          <w:p>
            <w:pPr>
              <w:spacing w:after="0"/>
              <w:rPr>
                <w:sz w:val="24"/>
                <w:szCs w:val="24"/>
                <w:color w:val="auto"/>
              </w:rPr>
            </w:pPr>
          </w:p>
        </w:tc>
        <w:tc>
          <w:tcPr>
            <w:tcW w:w="1480" w:type="dxa"/>
            <w:vAlign w:val="bottom"/>
            <w:gridSpan w:val="3"/>
          </w:tcPr>
          <w:p>
            <w:pPr>
              <w:jc w:val="right"/>
              <w:ind w:right="320"/>
              <w:spacing w:after="0" w:line="31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320" w:type="dxa"/>
            <w:vAlign w:val="bottom"/>
            <w:gridSpan w:val="2"/>
          </w:tcPr>
          <w:p>
            <w:pPr>
              <w:ind w:left="640"/>
              <w:spacing w:after="0" w:line="31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40" w:type="dxa"/>
            <w:vAlign w:val="bottom"/>
          </w:tcPr>
          <w:p>
            <w:pPr>
              <w:spacing w:after="0"/>
              <w:rPr>
                <w:sz w:val="24"/>
                <w:szCs w:val="24"/>
                <w:color w:val="auto"/>
              </w:rPr>
            </w:pPr>
          </w:p>
        </w:tc>
        <w:tc>
          <w:tcPr>
            <w:tcW w:w="1480" w:type="dxa"/>
            <w:vAlign w:val="bottom"/>
            <w:gridSpan w:val="3"/>
          </w:tcPr>
          <w:p>
            <w:pPr>
              <w:ind w:left="700"/>
              <w:spacing w:after="0" w:line="31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320" w:type="dxa"/>
            <w:vAlign w:val="bottom"/>
            <w:gridSpan w:val="2"/>
          </w:tcPr>
          <w:p>
            <w:pPr>
              <w:ind w:left="640"/>
              <w:spacing w:after="0" w:line="31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40" w:type="dxa"/>
            <w:vAlign w:val="bottom"/>
          </w:tcPr>
          <w:p>
            <w:pPr>
              <w:spacing w:after="0"/>
              <w:rPr>
                <w:sz w:val="24"/>
                <w:szCs w:val="24"/>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77,888</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Sales associated with this customer did not total more than 10% of our net sales for the indicated period.</w:t>
      </w:r>
    </w:p>
    <w:p>
      <w:pPr>
        <w:sectPr>
          <w:pgSz w:w="11900" w:h="16838" w:orient="portrait"/>
          <w:cols w:equalWidth="0" w:num="1">
            <w:col w:w="11240"/>
          </w:cols>
          <w:pgMar w:left="320" w:top="118"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130,888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133,774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128,773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131,922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10,425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12,767</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139,198</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144,689</w:t>
            </w:r>
          </w:p>
        </w:tc>
      </w:tr>
      <w:tr>
        <w:trPr>
          <w:trHeight w:val="27"/>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right="779"/>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ind w:left="436"/>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3"/>
              </w:rPr>
              <w:t>1,121</w:t>
            </w:r>
          </w:p>
        </w:tc>
        <w:tc>
          <w:tcPr>
            <w:tcW w:w="1040" w:type="dxa"/>
            <w:vAlign w:val="bottom"/>
            <w:tcBorders>
              <w:bottom w:val="single" w:sz="8" w:color="CCEEFF"/>
            </w:tcBorders>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1,064</w:t>
            </w:r>
          </w:p>
        </w:tc>
        <w:tc>
          <w:tcPr>
            <w:tcW w:w="100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460" w:type="dxa"/>
            <w:vAlign w:val="bottom"/>
          </w:tcPr>
          <w:p>
            <w:pPr>
              <w:spacing w:after="0"/>
              <w:rPr>
                <w:sz w:val="22"/>
                <w:szCs w:val="22"/>
                <w:color w:val="auto"/>
              </w:rPr>
            </w:pPr>
          </w:p>
        </w:tc>
        <w:tc>
          <w:tcPr>
            <w:tcW w:w="1120" w:type="dxa"/>
            <w:vAlign w:val="bottom"/>
            <w:gridSpan w:val="2"/>
          </w:tcPr>
          <w:p>
            <w:pPr>
              <w:spacing w:after="0"/>
              <w:rPr>
                <w:sz w:val="22"/>
                <w:szCs w:val="22"/>
                <w:color w:val="auto"/>
              </w:rPr>
            </w:pPr>
          </w:p>
        </w:tc>
        <w:tc>
          <w:tcPr>
            <w:tcW w:w="7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3"/>
              </w:rPr>
              <w:t>1,492</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8"/>
              </w:rPr>
              <w:t>1,121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7"/>
              </w:rPr>
              <w:t>1,064</w:t>
            </w:r>
          </w:p>
        </w:tc>
        <w:tc>
          <w:tcPr>
            <w:tcW w:w="0" w:type="dxa"/>
            <w:vAlign w:val="bottom"/>
          </w:tcPr>
          <w:p>
            <w:pPr>
              <w:spacing w:after="0"/>
              <w:rPr>
                <w:sz w:val="1"/>
                <w:szCs w:val="1"/>
                <w:color w:val="auto"/>
              </w:rPr>
            </w:pPr>
          </w:p>
        </w:tc>
      </w:tr>
      <w:tr>
        <w:trPr>
          <w:trHeight w:val="20"/>
        </w:trPr>
        <w:tc>
          <w:tcPr>
            <w:tcW w:w="5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680" w:type="dxa"/>
            <w:vAlign w:val="bottom"/>
            <w:gridSpan w:val="14"/>
          </w:tcPr>
          <w:p>
            <w:pPr>
              <w:spacing w:after="0"/>
              <w:rPr>
                <w:sz w:val="20"/>
                <w:szCs w:val="20"/>
                <w:color w:val="auto"/>
              </w:rPr>
            </w:pPr>
            <w:r>
              <w:rPr>
                <w:rFonts w:ascii="Arial" w:cs="Arial" w:eastAsia="Arial" w:hAnsi="Arial"/>
                <w:sz w:val="18"/>
                <w:szCs w:val="18"/>
                <w:color w:val="auto"/>
                <w:w w:val="97"/>
              </w:rPr>
              <w:t>Trade receivables associated with these significant customers that totaled more than 10% of our accounts receivable, net were as follows: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0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4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 (thousands)</w:t>
            </w:r>
          </w:p>
        </w:tc>
        <w:tc>
          <w:tcPr>
            <w:tcW w:w="320" w:type="dxa"/>
            <w:vAlign w:val="bottom"/>
          </w:tcPr>
          <w:p>
            <w:pPr>
              <w:spacing w:after="0"/>
              <w:rPr>
                <w:sz w:val="13"/>
                <w:szCs w:val="13"/>
                <w:color w:val="auto"/>
              </w:rPr>
            </w:pPr>
          </w:p>
        </w:tc>
        <w:tc>
          <w:tcPr>
            <w:tcW w:w="172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 of Accounts</w:t>
            </w:r>
          </w:p>
        </w:tc>
        <w:tc>
          <w:tcPr>
            <w:tcW w:w="120" w:type="dxa"/>
            <w:vAlign w:val="bottom"/>
          </w:tcPr>
          <w:p>
            <w:pPr>
              <w:spacing w:after="0"/>
              <w:rPr>
                <w:sz w:val="13"/>
                <w:szCs w:val="13"/>
                <w:color w:val="auto"/>
              </w:rPr>
            </w:pPr>
          </w:p>
        </w:tc>
        <w:tc>
          <w:tcPr>
            <w:tcW w:w="1460" w:type="dxa"/>
            <w:vAlign w:val="bottom"/>
            <w:gridSpan w:val="3"/>
            <w:vMerge w:val="restart"/>
          </w:tcPr>
          <w:p>
            <w:pPr>
              <w:jc w:val="right"/>
              <w:ind w:right="236"/>
              <w:spacing w:after="0"/>
              <w:rPr>
                <w:sz w:val="20"/>
                <w:szCs w:val="20"/>
                <w:color w:val="auto"/>
              </w:rPr>
            </w:pPr>
            <w:r>
              <w:rPr>
                <w:rFonts w:ascii="Arial" w:cs="Arial" w:eastAsia="Arial" w:hAnsi="Arial"/>
                <w:sz w:val="14"/>
                <w:szCs w:val="14"/>
                <w:b w:val="1"/>
                <w:bCs w:val="1"/>
                <w:color w:val="auto"/>
              </w:rPr>
              <w:t>$ (thousands)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 of Accounts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Receivable, Net</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Receivable, Net</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Dish Network Corporation</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14,677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w w:val="98"/>
                <w:vertAlign w:val="subscript"/>
              </w:rPr>
              <w:t>—</w:t>
            </w:r>
            <w:r>
              <w:rPr>
                <w:rFonts w:ascii="Arial" w:cs="Arial" w:eastAsia="Arial" w:hAnsi="Arial"/>
                <w:sz w:val="12"/>
                <w:szCs w:val="12"/>
                <w:color w:val="auto"/>
                <w:w w:val="98"/>
              </w:rPr>
              <w:t xml:space="preserve"> (1)</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Trade receivables associated with this customer did not total more than 10% of our accounts receivable, net for the indicated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6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61,220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68,834</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25,239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68,175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36"/>
        </w:trPr>
        <w:tc>
          <w:tcPr>
            <w:tcW w:w="43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4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145,135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144,350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440" w:type="dxa"/>
            <w:vAlign w:val="bottom"/>
            <w:vMerge w:val="restart"/>
          </w:tcPr>
          <w:p>
            <w:pPr>
              <w:jc w:val="right"/>
              <w:ind w:right="1930"/>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4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12,792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3,685</w:t>
            </w:r>
          </w:p>
        </w:tc>
      </w:tr>
      <w:tr>
        <w:trPr>
          <w:trHeight w:val="27"/>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(Write-offs)/Foreign exchange effects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(2,360)</w:t>
            </w:r>
          </w:p>
        </w:tc>
      </w:tr>
      <w:tr>
        <w:trPr>
          <w:trHeight w:val="27"/>
        </w:trPr>
        <w:tc>
          <w:tcPr>
            <w:tcW w:w="5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4,288</w:t>
            </w:r>
          </w:p>
        </w:tc>
      </w:tr>
      <w:tr>
        <w:trPr>
          <w:trHeight w:val="20"/>
        </w:trPr>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3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(thousands)</w:t>
            </w:r>
          </w:p>
        </w:tc>
        <w:tc>
          <w:tcPr>
            <w:tcW w:w="340" w:type="dxa"/>
            <w:vAlign w:val="bottom"/>
            <w:vMerge w:val="restart"/>
          </w:tcPr>
          <w:p>
            <w:pPr>
              <w:spacing w:after="0"/>
              <w:rPr>
                <w:sz w:val="13"/>
                <w:szCs w:val="13"/>
                <w:color w:val="auto"/>
              </w:rPr>
            </w:pPr>
          </w:p>
        </w:tc>
        <w:tc>
          <w:tcPr>
            <w:tcW w:w="16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(thousands)</w:t>
            </w:r>
          </w:p>
        </w:tc>
        <w:tc>
          <w:tcPr>
            <w:tcW w:w="320" w:type="dxa"/>
            <w:vAlign w:val="bottom"/>
            <w:vMerge w:val="restart"/>
          </w:tcPr>
          <w:p>
            <w:pPr>
              <w:spacing w:after="0"/>
              <w:rPr>
                <w:sz w:val="13"/>
                <w:szCs w:val="13"/>
                <w:color w:val="auto"/>
              </w:rPr>
            </w:pPr>
          </w:p>
        </w:tc>
        <w:tc>
          <w:tcPr>
            <w:tcW w:w="16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 of Total</w:t>
            </w:r>
          </w:p>
        </w:tc>
        <w:tc>
          <w:tcPr>
            <w:tcW w:w="180" w:type="dxa"/>
            <w:vAlign w:val="bottom"/>
          </w:tcPr>
          <w:p>
            <w:pPr>
              <w:spacing w:after="0"/>
              <w:rPr>
                <w:sz w:val="13"/>
                <w:szCs w:val="13"/>
                <w:color w:val="auto"/>
              </w:rPr>
            </w:pPr>
          </w:p>
        </w:tc>
        <w:tc>
          <w:tcPr>
            <w:tcW w:w="11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Inventory Purchases</w:t>
            </w: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6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Texas Instruments</w:t>
            </w:r>
          </w:p>
        </w:tc>
        <w:tc>
          <w:tcPr>
            <w:tcW w:w="168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60" w:type="dxa"/>
            <w:vAlign w:val="bottom"/>
            <w:gridSpan w:val="2"/>
            <w:shd w:val="clear" w:color="auto" w:fill="CCEEFF"/>
          </w:tcPr>
          <w:p>
            <w:pPr>
              <w:ind w:left="1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6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660" w:type="dxa"/>
            <w:vAlign w:val="bottom"/>
            <w:gridSpan w:val="2"/>
            <w:shd w:val="clear" w:color="auto" w:fill="CCEEFF"/>
          </w:tcPr>
          <w:p>
            <w:pPr>
              <w:ind w:left="11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42,058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Purchases associated with this supplier did not total more than 10% of our total inventory purchases for the indicated period.</w:t>
      </w:r>
    </w:p>
    <w:p>
      <w:pPr>
        <w:spacing w:after="0" w:line="8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Accounts payable from our supplier, Zhejiang Zhen You Electronics Co. Ltd., totaled $11.4 million or 11.1% of our accounts payable balance at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years ended December 31, 2018 and 2017, we purchased certain printed circuit board assemblies from a related party supplier. The supplier was considered a related party for financial reporting purposes because our Senior Vice President of Strategic Operations owned 40% of this supplier. In the second quarter of 2018, our Senior Vice President sold his interest in this supplier, and thus this supplier is no longer considered a related party.</w:t>
      </w:r>
    </w:p>
    <w:p>
      <w:pPr>
        <w:spacing w:after="0" w:line="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inventory purchases made from this supplier while it was a related party were $1.1 million and $5.2 million during the twelve months ended December 31,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263"/>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94,274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87,700</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37,527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34,486</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2,572</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8,551</w:t>
            </w:r>
          </w:p>
        </w:tc>
      </w:tr>
      <w:tr>
        <w:trPr>
          <w:trHeight w:val="237"/>
        </w:trPr>
        <w:tc>
          <w:tcPr>
            <w:tcW w:w="76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222,388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207,089</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(116,805)</w:t>
            </w:r>
          </w:p>
        </w:tc>
      </w:tr>
      <w:tr>
        <w:trPr>
          <w:trHeight w:val="237"/>
        </w:trPr>
        <w:tc>
          <w:tcPr>
            <w:tcW w:w="76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87,134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90,284</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5,556</w:t>
            </w:r>
          </w:p>
        </w:tc>
      </w:tr>
      <w:tr>
        <w:trPr>
          <w:trHeight w:val="237"/>
        </w:trPr>
        <w:tc>
          <w:tcPr>
            <w:tcW w:w="76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90,732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95,840</w:t>
            </w:r>
          </w:p>
        </w:tc>
      </w:tr>
      <w:tr>
        <w:trPr>
          <w:trHeight w:val="27"/>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$24.7 million, $26.4 million and $24.4 million for the years ended December 31, 2019, 2018, and 2017, respectively.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book value of property, plant and equipment located within the PRC was $61.7 million and $76.4 million on December 31, 2019 and 2018, respectively. The net book value of property, plant and equipment located in Mexico was $13.6 million and $3.3 million on December 31, 2019 and 2018, respectively.</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2018, we incurred $2.9 million in impairment on tooling and equipment as a result of the transition of manufacturing operations between our PRC-based manufacturing facilities following the closure of our Guangzhou factory, which was sold in 2018. We incurred an additional $0.1 million and $2.0 million of impairment on factory equipment during the years ended December 31, 2019 and 2018, respectively, as a result of the transition of certain manufacturing operations out of the PRC in response to tariffs enacted in the U.S. in 2018 on certain products manufactured in the PRC and imported into the U.S. These impairment charges, aggregating to $0.1 million and $4.9 million, are recorded within cost of goods sold for the year ended December 31, 2019 and 2018,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Tooling</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1,581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construction in progress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5,556</w:t>
            </w:r>
          </w:p>
        </w:tc>
      </w:tr>
      <w:tr>
        <w:trPr>
          <w:trHeight w:val="27"/>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2020. We will begin to depreciate the cost of these assets under construction once they are placed into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62,148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79,382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4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long-lived 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92,895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100,455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48,485</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annual goodwill impairment reviews on December 31, 2019, 2018, and 2017.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7"/>
                <w:szCs w:val="17"/>
                <w:b w:val="1"/>
                <w:bCs w:val="1"/>
                <w:color w:val="auto"/>
                <w:vertAlign w:val="superscript"/>
              </w:rPr>
              <w:t>(1)</w:t>
            </w:r>
          </w:p>
        </w:tc>
        <w:tc>
          <w:tcPr>
            <w:tcW w:w="36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98"/>
        </w:trPr>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2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w:t>
            </w:r>
          </w:p>
        </w:tc>
        <w:tc>
          <w:tcPr>
            <w:tcW w:w="2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10,096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Developed and core technology</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(5-15 years)</w:t>
            </w: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(10-15 years)</w:t>
            </w: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$7.4 million and $7.1 million on December 31, 2019 and 2018,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7,192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6,772</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7,192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66"/>
        </w:trPr>
        <w:tc>
          <w:tcPr>
            <w:tcW w:w="8560" w:type="dxa"/>
            <w:vAlign w:val="bottom"/>
            <w:gridSpan w:val="5"/>
          </w:tcPr>
          <w:p>
            <w:pPr>
              <w:spacing w:after="0"/>
              <w:rPr>
                <w:sz w:val="20"/>
                <w:szCs w:val="20"/>
                <w:color w:val="auto"/>
              </w:rPr>
            </w:pPr>
            <w:r>
              <w:rPr>
                <w:rFonts w:ascii="Arial" w:cs="Arial" w:eastAsia="Arial" w:hAnsi="Arial"/>
                <w:sz w:val="18"/>
                <w:szCs w:val="18"/>
                <w:color w:val="auto"/>
                <w:w w:val="93"/>
              </w:rPr>
              <w:t>Estimated future annual amortization expense related to our intangible assets at December 31, 2019,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1"/>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2,531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2,354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4,570</w:t>
            </w: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5.3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 2019, we extended the term of our Second Amended and Restated Credit Agreement ("Second Amended Credit Agreement") with U.S. Bank National Association ("U.S. Bank") to November 1, 2021. The Second Amended Credit Agreement provided for a $130.0 million revolving line of credit ("Credit Line") through June 30, 2019 and a $125.0 million Credit Line thereafter and through its expiration date.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December 31, 2019.</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 The applicable margins are calculated quarterly and vary based on our cash flow leverage ratio as set forth in the Second Amended Credit Agreement. The interest rate in effect at December 31, 2019 was 3.03%.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2019, we were in compliance with the covenants and conditions of the Second Amended Credit Agreement.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we had $68.0 million outstanding under the Credit Line. Our total interest expense on borrowings was $4.3 million, $5.0 million and $2.7 million during the years ended December 31, 2019,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2019, 2018 and 2017, pre-tax income (loss) was attributed to the following jurisdictions: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54,648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provision for income taxes charged to operations was as follows:</w:t>
            </w: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13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60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3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Acquired tangible assets</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obligations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7"/>
        </w:trPr>
        <w:tc>
          <w:tcPr>
            <w:tcW w:w="46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3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38,693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Right of use assets</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37"/>
        </w:trPr>
        <w:tc>
          <w:tcPr>
            <w:tcW w:w="46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3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(11,190)</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3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61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undistributed earnings, net of credits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14,211</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891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Non-territorial income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Withholding tax</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Federal tax rate change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686</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Foreign permanent benefit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to return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we had federal and state Research and Experimentation ("R&amp;E") income tax credit carryforwards of $1.5 million and $10.2 million, respectively. The federal R&amp;E income tax credits begin expiring in 2038. The state R&amp;E income tax credits do not have an expiration date.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we had state and foreign net operating loss carryforwards of $26.2 million and $3.3 million, respectively. The state and foreign carryforwards begin to expire in 2026 and 2023, respectively.</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2019,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our deferred tax assets, we established a valuation allowance against certain deferred tax assets. Our historic valuation allowance primarily relates to state R&amp;E income tax credits generated during the prior years and current year. We had cumulative operating losses for the three years ended in 2019 for our U.S. operations and state operations and accordingly, have provided a full valuation allowance on our U.S. federal and state deferred tax assets of $5.8 million and $1.0 million, respectively, as we have determined that it is more likely than not that the tax benefits will not be realized in the future. Additionally, we recorded a valuation allowance of $0.3 million at December 31, 2019 related to certain deferred tax assets in our Argentina office due to sustained losses in that jurisdiction. If and when recognized, the tax benefits relating to any reversal of valuation allowance will be recorded as a reduction of income tax expense. The valuation allowance increased by $7.5 million and $8.5 million during the years ended December 31,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we had unrecognized tax benefits of approximately $4.3 million and $4.6 million, respectively, including interest and penalties. In accordance with accounting guidance, we have elected to classify interest and penalties as components of tax expense. Interest and penalties were $0.2 million, $0.5 million, and $0.5 million for the years ended December 31, 2019, 2018 and 2017, respectively. Interest and penalties are included in the unrecognized tax benefits.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1,489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$4.3 million, $4.3 million and $5.3 million of the total amount of unrecognized tax benefits at December 31, 2019, 2018 and 2017, respectively, if not for the state R&amp;E income tax credit valuation allowance, would affect the annual effective tax rate, if recognized. We are unaware of any positions for which it is reasonably possible that the total amounts of unrecognized tax benefits will significantly increase within the next twelve months. We anticipate a decrease in unrecognized tax benefits of approximately $0.2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December 31, 2019, the open statutes of limitations for our significant tax jurisdictions are as follows: federal for 2016 through 2018, state for 2015 through 2018, and non-U.S. for 2013 through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Cuts and Jobs Act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Tax Cuts and Jobs Act (the "Tax Act") was enacted in the U.S. on December 22, 2017. The Tax Act reduced the U.S. federal corporate income tax rate to 21% from 35%, required companies to pay a one-time transition tax on earnings of certain foreign subsidiaries that were previously tax deferred and created new taxes on certain foreign-sourced earnings. In 2017 and the first nine months of 2018, we recorded provisional amounts for certain enactment-date effects of the Tax Act by applying the guidance in SEC Staff Accounting Bulletin No. 118 because we had not yet completed our enactment-date accounting for these effects. In 2018 and 2017, we recorded tax expense related to the enactment-date effects of the Tax Act that included recording the one-time transition tax liability related to undistributed earnings of certain foreign subsidiaries that were not previously taxed, adjusting deferred tax assets and liabilities and recognizing the effects of provisionally electing to account for Global Intangible Low-Taxed Income ("GILTI") as a period cost. The changes to 2017 enactment-date provisional amounts decreased tax expense in 2018 by an insignificant amount.</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federal and state tax authorities issued additional guidance related to transition tax, GILTI, deduction for foreign-derived intangible income and GILTI, tax treatment of qualified transportation fringe benefits, timing of income recognition, cost recovery and bonus depreciation, and business interest expense limitation. This guidance generally provided additional information related to the calculation of such items that became effective in 2017 and 2018. We reviewed and applied the guidance in the period such information was published. The application of the issued guidance in 2019 did not materially change our tax expense estimated in prior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SAB 118 Measurement Period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applied the guidance in SAB 118 when accounting for the enactment-date effects of the Act in 2017 and throughout 2018. At December 31, 2017, we had not completed our accounting for all of the enactment-date income tax effects of the Tax Act under ASC 740, "Income Taxes," for the following aspects: remeasurement of deferred tax assets and liabilities, one-time transition tax, and tax on GILTI. At December 31, 2018, we had completed our accounting for all of the enactment-date income tax effects of the Tax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Tax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one-time transition tax is based on our total post-1986 earnings and profits, the tax on which we previously deferred from U.S. income taxes under U.S. law. We recorded a provisional amount for our one-time transition tax liability for each of our foreign subsidiaries, resulting in a transition tax liability of $2.2 million at December 31, 2017. Upon further analyses of the Tax Act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Notices and regulations issued and proposed by the U.S. Department of the Treasury and the Internal Revenue Service, we finalized our calculations of the transition tax liability during 2018. We decreased our December 31, 2017 provisional amount by an immaterial amount, which is included as a component of income tax expense during the year ended December 31, 2018. We have elected to pay our transition tax over the eight-year period provided in the Tax Act. As of December 31, 2019, the remaining balance of our transition tax obligation was $1.1 million, which will be paid over the next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remeasured certain deferred tax assets and liabilities based on the rates at which they were expected to reverse in the future (which was generally 21%), by recording a provisional amount of $2.3 million. Upon further analysis of certain aspects of the Tax Act and refinement of our calculations during the year ended December 31, 2018, we adjusted our provisional amount by $0.3 million, which is included as a component of income tax expense.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GILTI</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Act subjects a U.S. shareholder to tax on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we were evaluating the provision of GILTI as of December 31, 2017, we recorded no GILTI-related deferred amounts in 2017. We have elected to account for GILTI in the year the tax is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Reinvestment Assertion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non-U.S. subsidiaries, including potential foreign withholding taxes on distributions. Historically, the undistributed earnings of our foreign subsidiaries were considered to be indefinitely reinvested. Previously, no provision for U.S. federal and state income taxes or foreign withholding taxes had been provided on U.S. earnings. In 2018, we changed our assertion, and provided a $1.2 million deferred tax liability related to state tax and foreign tax withholding liabilities on future distributions. In 2019, the deferred tax liability related to state tax and foreign tax withholding liabilities on future distributions increased to $1.7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69"/>
        </w:trPr>
        <w:tc>
          <w:tcPr>
            <w:tcW w:w="776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16,588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16,735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8,783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Accrued bonus</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13,965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2,361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1,700</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33,965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660" w:hanging="328"/>
        <w:spacing w:after="0" w:line="232"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2019 and 2018.</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Duties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4,865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1,930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Short-term contingent consideration</w:t>
            </w: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4,190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5,891</w:t>
            </w:r>
          </w:p>
        </w:tc>
      </w:tr>
      <w:tr>
        <w:trPr>
          <w:trHeight w:val="237"/>
        </w:trPr>
        <w:tc>
          <w:tcPr>
            <w:tcW w:w="7760" w:type="dxa"/>
            <w:vAlign w:val="bottom"/>
          </w:tcPr>
          <w:p>
            <w:pPr>
              <w:ind w:left="380"/>
              <w:spacing w:after="0"/>
              <w:rPr>
                <w:sz w:val="20"/>
                <w:szCs w:val="20"/>
                <w:color w:val="auto"/>
              </w:rPr>
            </w:pPr>
            <w:r>
              <w:rPr>
                <w:rFonts w:ascii="Arial" w:cs="Arial" w:eastAsia="Arial" w:hAnsi="Arial"/>
                <w:sz w:val="18"/>
                <w:szCs w:val="18"/>
                <w:color w:val="auto"/>
              </w:rPr>
              <w:t>Total other accrued liabilities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35,445</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24,011</w:t>
            </w:r>
          </w:p>
        </w:tc>
      </w:tr>
      <w:tr>
        <w:trPr>
          <w:trHeight w:val="27"/>
        </w:trPr>
        <w:tc>
          <w:tcPr>
            <w:tcW w:w="7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December 31, 2019, our operating leases had remaining lease terms of up to 41 years.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under the Company's operating leases during the years ended December 31, 2018 and 2017, prior to our adoption of the new lease guidance on January 1, 2019, was $4.9 million and $4.2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304"/>
        </w:trPr>
        <w:tc>
          <w:tcPr>
            <w:tcW w:w="9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19,826</w:t>
            </w:r>
          </w:p>
        </w:tc>
      </w:tr>
      <w:tr>
        <w:trPr>
          <w:trHeight w:val="23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90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4,903</w:t>
            </w:r>
          </w:p>
        </w:tc>
      </w:tr>
      <w:tr>
        <w:trPr>
          <w:trHeight w:val="27"/>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15,639</w:t>
            </w:r>
          </w:p>
        </w:tc>
      </w:tr>
      <w:tr>
        <w:trPr>
          <w:trHeight w:val="257"/>
        </w:trPr>
        <w:tc>
          <w:tcPr>
            <w:tcW w:w="9000" w:type="dxa"/>
            <w:vAlign w:val="bottom"/>
          </w:tcPr>
          <w:p>
            <w:pPr>
              <w:ind w:left="80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20,542</w:t>
            </w: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an impairment of a ROU asset of $0.8 million during the fourth quarter of the year ended December 31, 2019. This impairment is associated with the disposal of our call center in Euclid, Ohio.</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lease expense, including variable lease costs, which are insignificant to the total, and short-term lease costs, and operating lease cash flows and supplemental cash flow information were as follows. Short-term lease costs were approximately $1.3 million during the year ended December 31, 2019.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Year Ended December 31, 2019</w:t>
            </w:r>
          </w:p>
        </w:tc>
      </w:tr>
      <w:tr>
        <w:trPr>
          <w:trHeight w:val="249"/>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2100" w:type="dxa"/>
            <w:vAlign w:val="bottom"/>
          </w:tcPr>
          <w:p>
            <w:pPr>
              <w:jc w:val="right"/>
              <w:ind w:right="13"/>
              <w:spacing w:after="0"/>
              <w:rPr>
                <w:sz w:val="20"/>
                <w:szCs w:val="20"/>
                <w:color w:val="auto"/>
              </w:rPr>
            </w:pPr>
            <w:r>
              <w:rPr>
                <w:rFonts w:ascii="Arial" w:cs="Arial" w:eastAsia="Arial" w:hAnsi="Arial"/>
                <w:sz w:val="18"/>
                <w:szCs w:val="18"/>
                <w:color w:val="auto"/>
              </w:rPr>
              <w:t>4,389</w:t>
            </w:r>
          </w:p>
        </w:tc>
      </w:tr>
      <w:tr>
        <w:trPr>
          <w:trHeight w:val="27"/>
        </w:trPr>
        <w:tc>
          <w:tcPr>
            <w:tcW w:w="9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6,334</w:t>
            </w:r>
          </w:p>
        </w:tc>
      </w:tr>
      <w:tr>
        <w:trPr>
          <w:trHeight w:val="20"/>
        </w:trPr>
        <w:tc>
          <w:tcPr>
            <w:tcW w:w="9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90"/>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6,617</w:t>
            </w: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4,302</w:t>
            </w:r>
          </w:p>
        </w:tc>
      </w:tr>
      <w:tr>
        <w:trPr>
          <w:trHeight w:val="20"/>
        </w:trPr>
        <w:tc>
          <w:tcPr>
            <w:tcW w:w="9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lease liability term (in years)</w:t>
            </w:r>
          </w:p>
        </w:tc>
        <w:tc>
          <w:tcPr>
            <w:tcW w:w="232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4.30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320" w:type="dxa"/>
            <w:vAlign w:val="bottom"/>
          </w:tcPr>
          <w:p>
            <w:pPr>
              <w:ind w:left="1820"/>
              <w:spacing w:after="0"/>
              <w:rPr>
                <w:sz w:val="20"/>
                <w:szCs w:val="20"/>
                <w:color w:val="auto"/>
              </w:rPr>
            </w:pPr>
            <w:r>
              <w:rPr>
                <w:rFonts w:ascii="Arial" w:cs="Arial" w:eastAsia="Arial" w:hAnsi="Arial"/>
                <w:sz w:val="18"/>
                <w:szCs w:val="18"/>
                <w:color w:val="auto"/>
                <w:w w:val="93"/>
              </w:rPr>
              <w:t>4.50%</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December 31, 2019. The reconciliation excludes short-term leases that are not recorded on the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6,120</w:t>
            </w:r>
          </w:p>
        </w:tc>
      </w:tr>
      <w:tr>
        <w:trPr>
          <w:trHeight w:val="27"/>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5,103</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2,331</w:t>
            </w:r>
          </w:p>
        </w:tc>
      </w:tr>
      <w:tr>
        <w:trPr>
          <w:trHeight w:val="27"/>
        </w:trPr>
        <w:tc>
          <w:tcPr>
            <w:tcW w:w="9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2,041</w:t>
            </w:r>
          </w:p>
        </w:tc>
      </w:tr>
      <w:tr>
        <w:trPr>
          <w:trHeight w:val="27"/>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22,736</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7"/>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20,542</w:t>
            </w:r>
          </w:p>
        </w:tc>
      </w:tr>
      <w:tr>
        <w:trPr>
          <w:trHeight w:val="20"/>
        </w:trPr>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we have one operating lease that has not yet commenced with the total initial lease liability of approximately $1.6 million with a five-year term, which is not reflected within the maturity schedule above. Our future minimum lease obligations under non-cancelable operating leases as of December 31, 2018 were comparable to the undiscounted lease payments included in the table above.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Prior to the adoption of the new lease guidance on January 1, 2019, for these leases, we recognized rent expense for the total contractual obligation utilizing the straight-line method over the lease term, ranging from 48 months to 125 months. At December 31, 2018, the related short-term liability was recorded in other accrued liabilities and the related long term liability was recorded in other long-term liabilities. The total liability related to rent escalations was $1.1 million at December 31, 2018.</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lease agreements for our offices in Santa Ana, California and Scottsdale, Arizona contained allowances for moving expenses and tenant improvements aggregating $1.8 million. These moving and tenant improvement allowances were recorded within other accrued liabilities and other long-term liabilities, depending on the short-term or long-term nature, and were being amortized as a reduction of rent expense over the related lease term.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costs associated with operating leases incurred during a construction period were expensed for the years ended December 31, 2019, 2018 and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2019. This land lease was prepaid to the PRC government at the time our subsidiary occupied the land. We have obtained a land-use right certificate for the land pertaining to this factory.</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factory is located in the city of Yangzhou in the Jiangsu province. The remaining net book value of this operating lease ROU was $2.4 million at December 31, 2019, and is amortized on a straight-line basis over the remaining term of approximately 39 years. The buildings located on this land had a net book value of $17.1 million at December 31, 2019 and is being depreciated over a remaining weighted average period of 20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adoption of the new lease guidance on January 1, 2019, the remaining net book value of this prepaid land lease was included within prepaid expenses and other current assets and other assets, depending on the short-term or long-term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49"/>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312</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6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Guangzhou Factory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26, 2016, we entered into an agreement to sell our Guangzhou manufacturing facility for RMB 320 million. In accordance with the terms of the agreement, the buyer deposited 10% of the purchase price into an escrow account upon the execution of the agreement. In April 2018, we and the buyer mutually agreed to terminate the sale. The mutually agreed termination took effect immediately with no incremental penalty or costs to either party. In connection with this termination, the deposit was returned to the buyer.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23, 2018, we entered into a new agreement to sell our Guangzhou manufacturing facility to a second buyer for RMB 339 million (approximately $51.4 million based on exchange rates in effect at the time of closing). On April 26, 2018, the second buyer paid to us a deposit of RMB 34 million (approximately $5.1 million based on exchange rates in effect at the time of closing), which under the terms of the agreement was nonrefundable. Upon receipt by the Governmental Agency of the second buyer’s application of approval of transfer, the second buyer was to pay to us RMB 237 million (approximately $35.8 million based on exchange rates in effect at the time of closing). Additionally, within two days after the second payment was made to us, the second buyer was to deposit the remaining consideration of RMB 68 million (approximately $10.3 million based on exchange rates in effect at the time of closing) into escrow, which was to be released to us upon the closing of the sale. Per the terms of the agreement, the sale was to be completed no later than June 30, 2018. On June 26, 2018, all conditions to closing were satisfied and the sale was completed, resulting in a pre-tax gain of $37.0 million ($32.1 million, net of income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Restructuring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2018, we implemented a plan to relocate our corporate office from Santa Ana, California to Scottsdale, Arizona and to relocate our Asian engineering leadership, supply chain and customer support functions from Hong Kong to our other facilities in the PRC. In connection with these restructuring activities, we incurred severance costs of $0.4 million and $0.9 million during the year ended December 31, 2019 and 2018, respectively, which are included within selling, general and administrative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to this ruling. On September 16, 2019, the appellate court ruled in our favor concluding that our original product did not infringe Ruwido's design rights. Ruwido subsequently filed an appeal of this decision with the Belgium Supreme Court. Our brief in opposition to Ruwido's appeal has been submitted and we are waiting to learn if the Supreme Court will hear Ruwido's appeal.</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Ruwido appealed the lower court's ruling against it with respect to its claims of infringement and unfair competition. Briefing is to be completed by the end of April 2020 and in May 2020 the court will set a date for oral hearing which we expect to be sometime in late 2020.</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Court's ruling in September 2017 that our second product could not be added to the first case on the merits, Ruwido filed a separate case on the merits with respect to this second product, claiming that it too infringes the same patent at issue in the first suit. We have denied these claims. Presently, the oral hearing on the merits with respect to this matter is set for April 7, 2020.</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2015, UEBV filed an Opposition with the EPO seeking to invalidate the one utility patent asserted against UEBV and Telenet by Ruwido. The hearing on this opposition was held in July 2017. During this hearing the panel requested additional information. We have assembled this additional information and the final hearing was scheduled for January 29, 2019. The EPO held this hearing on January 29 and 30, 2019 and revoked Ruwido's patent as originally filed. The EPO, however, maintained the patent in an amended form with a much narrower claim. On August 23, 2019, the EPO issued its written opinion. Both UEBV and Ruwido have appealed the EPO's decision and briefing is due by May 13, 2020.</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5, 2018, we filed a lawsuit against Roku, Inc. ("Roku") in the United States District Court, Central District of California (Universal Electronics Inc. v. Roku, Inc.)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Roku has answered our complaint with a general denial. In September and October, 2019, Roku filed Inter Party Review ("IPR") requests with the Patent Trial and Appeals Board (the "PTAB") on the nine patents at issue in this case, seeking to invalidate our patents. We will vigorously defend against the IPRs. As a further result of Roku filing the IPRs, the Court has stayed the underlying patent lawsuit pending the resolution of IPRs. We have filed our responses to Roku's IPR requests. We expect to learn if the PTAB will institute the IPRs or any of them during the second quarter of 2020.</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2019 based on its latest actuarial report. The India Plan has an independent external manager that advises us of the appropriate funding contribution requirements to which we comply. At December 31, 2019, approximately 49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2019 and 2018 for the India Plan was not material. During the years ended December 31, 2019, 2018, and 2017, the net periodic benefit costs were also not material.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On October 30, 2018, our Board approved an adjustment to the amount of common stock that we could purchase under our existing repurchase plan to an amount not to exceed $5.0 million of our common stock ("2018 Plan"). As of December 31, 2019, we had $3.9 million of authorized repurchases remaining under the 2018 Plan. On March 10, 2020, our Board of Directors replaced the 2018 Plan with a new repurchase plan authorizing the repurchase of up to 300,000 shares.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3"/>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680</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13,824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39,085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7,368</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11,943</w:t>
            </w:r>
          </w:p>
        </w:tc>
      </w:tr>
      <w:tr>
        <w:trPr>
          <w:trHeight w:val="67"/>
        </w:trPr>
        <w:tc>
          <w:tcPr>
            <w:tcW w:w="6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5"/>
        </w:trPr>
        <w:tc>
          <w:tcPr>
            <w:tcW w:w="6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1,877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2,954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10"/>
          </w:tcPr>
          <w:p>
            <w:pPr>
              <w:jc w:val="right"/>
              <w:ind w:right="626"/>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2017</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66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w w:val="84"/>
              </w:rPr>
              <w:t>11.51</w:t>
            </w:r>
          </w:p>
        </w:tc>
        <w:tc>
          <w:tcPr>
            <w:tcW w:w="820" w:type="dxa"/>
            <w:vAlign w:val="bottom"/>
            <w:tcBorders>
              <w:bottom w:val="single" w:sz="8" w:color="CCEEFF"/>
            </w:tcBorders>
            <w:gridSpan w:val="4"/>
            <w:shd w:val="clear" w:color="auto" w:fill="CCEEFF"/>
          </w:tcPr>
          <w:p>
            <w:pPr>
              <w:jc w:val="right"/>
              <w:ind w:right="54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88"/>
              </w:rPr>
              <w:t>14.26</w:t>
            </w:r>
          </w:p>
        </w:tc>
        <w:tc>
          <w:tcPr>
            <w:tcW w:w="760" w:type="dxa"/>
            <w:vAlign w:val="bottom"/>
            <w:tcBorders>
              <w:bottom w:val="single" w:sz="8" w:color="CCEEFF"/>
            </w:tcBorders>
            <w:gridSpan w:val="4"/>
            <w:shd w:val="clear" w:color="auto" w:fill="CCEEFF"/>
          </w:tcPr>
          <w:p>
            <w:pPr>
              <w:jc w:val="right"/>
              <w:ind w:right="44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4"/>
            <w:shd w:val="clear" w:color="auto" w:fill="CCEEFF"/>
          </w:tcPr>
          <w:p>
            <w:pPr>
              <w:jc w:val="right"/>
              <w:ind w:right="119"/>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w w:val="91"/>
              </w:rPr>
              <w:t>Risk-free interest rate</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1.75%</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41.73%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w w:val="92"/>
              </w:rPr>
              <w:t>Expected life in years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ind w:right="139"/>
              <w:spacing w:after="0"/>
              <w:rPr>
                <w:sz w:val="20"/>
                <w:szCs w:val="20"/>
                <w:color w:val="auto"/>
              </w:rPr>
            </w:pPr>
            <w:r>
              <w:rPr>
                <w:rFonts w:ascii="Arial" w:cs="Arial" w:eastAsia="Arial" w:hAnsi="Arial"/>
                <w:sz w:val="18"/>
                <w:szCs w:val="18"/>
                <w:color w:val="auto"/>
                <w:w w:val="85"/>
              </w:rPr>
              <w:t>4.60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19"/>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405"/>
        </w:trPr>
        <w:tc>
          <w:tcPr>
            <w:tcW w:w="3100" w:type="dxa"/>
            <w:vAlign w:val="bottom"/>
            <w:gridSpan w:val="6"/>
          </w:tcPr>
          <w:p>
            <w:pPr>
              <w:spacing w:after="0"/>
              <w:rPr>
                <w:sz w:val="20"/>
                <w:szCs w:val="20"/>
                <w:color w:val="auto"/>
              </w:rPr>
            </w:pPr>
            <w:r>
              <w:rPr>
                <w:rFonts w:ascii="Arial" w:cs="Arial" w:eastAsia="Arial" w:hAnsi="Arial"/>
                <w:sz w:val="18"/>
                <w:szCs w:val="18"/>
                <w:color w:val="auto"/>
              </w:rPr>
              <w:t>Stock option activity was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606"/>
              <w:spacing w:after="0"/>
              <w:rPr>
                <w:sz w:val="20"/>
                <w:szCs w:val="20"/>
                <w:color w:val="auto"/>
              </w:rPr>
            </w:pPr>
            <w:r>
              <w:rPr>
                <w:rFonts w:ascii="Arial" w:cs="Arial" w:eastAsia="Arial" w:hAnsi="Arial"/>
                <w:sz w:val="13"/>
                <w:szCs w:val="13"/>
                <w:color w:val="auto"/>
                <w:w w:val="82"/>
              </w:rPr>
              <w:t>2019</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586"/>
              <w:spacing w:after="0"/>
              <w:rPr>
                <w:sz w:val="20"/>
                <w:szCs w:val="20"/>
                <w:color w:val="auto"/>
              </w:rPr>
            </w:pPr>
            <w:r>
              <w:rPr>
                <w:rFonts w:ascii="Arial" w:cs="Arial" w:eastAsia="Arial" w:hAnsi="Arial"/>
                <w:sz w:val="13"/>
                <w:szCs w:val="13"/>
                <w:color w:val="auto"/>
                <w:w w:val="82"/>
              </w:rPr>
              <w:t>2018</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3"/>
                <w:szCs w:val="13"/>
                <w:color w:val="auto"/>
                <w:w w:val="82"/>
              </w:rPr>
              <w:t>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Weighted-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87"/>
              </w:rPr>
              <w:t>Weighted-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ind w:left="46"/>
              <w:spacing w:after="0"/>
              <w:rPr>
                <w:sz w:val="20"/>
                <w:szCs w:val="20"/>
                <w:color w:val="auto"/>
              </w:rPr>
            </w:pPr>
            <w:r>
              <w:rPr>
                <w:rFonts w:ascii="Arial" w:cs="Arial" w:eastAsia="Arial" w:hAnsi="Arial"/>
                <w:sz w:val="11"/>
                <w:szCs w:val="11"/>
                <w:color w:val="auto"/>
                <w:w w:val="87"/>
              </w:rPr>
              <w:t>Weighted-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7"/>
              </w:rPr>
              <w:t>Average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Average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ind w:left="46"/>
              <w:spacing w:after="0" w:line="122" w:lineRule="exact"/>
              <w:rPr>
                <w:sz w:val="20"/>
                <w:szCs w:val="20"/>
                <w:color w:val="auto"/>
              </w:rPr>
            </w:pPr>
            <w:r>
              <w:rPr>
                <w:rFonts w:ascii="Arial" w:cs="Arial" w:eastAsia="Arial" w:hAnsi="Arial"/>
                <w:sz w:val="11"/>
                <w:szCs w:val="11"/>
                <w:color w:val="auto"/>
                <w:w w:val="87"/>
              </w:rPr>
              <w:t>Average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1"/>
              </w:rPr>
              <w:t>Remaining</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6"/>
              <w:spacing w:after="0" w:line="122" w:lineRule="exact"/>
              <w:rPr>
                <w:sz w:val="20"/>
                <w:szCs w:val="20"/>
                <w:color w:val="auto"/>
              </w:rPr>
            </w:pPr>
            <w:r>
              <w:rPr>
                <w:rFonts w:ascii="Arial" w:cs="Arial" w:eastAsia="Arial" w:hAnsi="Arial"/>
                <w:sz w:val="11"/>
                <w:szCs w:val="11"/>
                <w:color w:val="auto"/>
                <w:w w:val="87"/>
              </w:rPr>
              <w:t>Weighted-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1"/>
              </w:rPr>
              <w:t>Remaining</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0"/>
              </w:rPr>
              <w:t>Aggregate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36"/>
              <w:spacing w:after="0" w:line="122" w:lineRule="exact"/>
              <w:rPr>
                <w:sz w:val="20"/>
                <w:szCs w:val="20"/>
                <w:color w:val="auto"/>
              </w:rPr>
            </w:pPr>
            <w:r>
              <w:rPr>
                <w:rFonts w:ascii="Arial" w:cs="Arial" w:eastAsia="Arial" w:hAnsi="Arial"/>
                <w:sz w:val="11"/>
                <w:szCs w:val="11"/>
                <w:color w:val="auto"/>
                <w:w w:val="91"/>
              </w:rPr>
              <w:t>Weighted-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ind w:left="46"/>
              <w:spacing w:after="0" w:line="122" w:lineRule="exact"/>
              <w:rPr>
                <w:sz w:val="20"/>
                <w:szCs w:val="20"/>
                <w:color w:val="auto"/>
              </w:rPr>
            </w:pPr>
            <w:r>
              <w:rPr>
                <w:rFonts w:ascii="Arial" w:cs="Arial" w:eastAsia="Arial" w:hAnsi="Arial"/>
                <w:sz w:val="11"/>
                <w:szCs w:val="11"/>
                <w:color w:val="auto"/>
                <w:w w:val="91"/>
              </w:rPr>
              <w:t>Remaining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9"/>
              <w:spacing w:after="0" w:line="122" w:lineRule="exact"/>
              <w:rPr>
                <w:sz w:val="20"/>
                <w:szCs w:val="20"/>
                <w:color w:val="auto"/>
              </w:rPr>
            </w:pPr>
            <w:r>
              <w:rPr>
                <w:rFonts w:ascii="Arial" w:cs="Arial" w:eastAsia="Arial" w:hAnsi="Arial"/>
                <w:sz w:val="11"/>
                <w:szCs w:val="11"/>
                <w:color w:val="auto"/>
                <w:w w:val="86"/>
              </w:rPr>
              <w:t>Aggregate</w:t>
            </w: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6"/>
              <w:spacing w:after="0" w:line="122" w:lineRule="exact"/>
              <w:rPr>
                <w:sz w:val="20"/>
                <w:szCs w:val="20"/>
                <w:color w:val="auto"/>
              </w:rPr>
            </w:pPr>
            <w:r>
              <w:rPr>
                <w:rFonts w:ascii="Arial" w:cs="Arial" w:eastAsia="Arial" w:hAnsi="Arial"/>
                <w:sz w:val="11"/>
                <w:szCs w:val="11"/>
                <w:color w:val="auto"/>
                <w:w w:val="89"/>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auto"/>
                <w:w w:val="91"/>
              </w:rPr>
              <w:t>Weighted-</w:t>
            </w: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2"/>
              </w:rPr>
              <w:t>Contractual</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Arial" w:cs="Arial" w:eastAsia="Arial" w:hAnsi="Arial"/>
                <w:sz w:val="11"/>
                <w:szCs w:val="11"/>
                <w:color w:val="auto"/>
                <w:w w:val="90"/>
              </w:rPr>
              <w:t>Aggregate</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3"/>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82"/>
              </w:rPr>
              <w:t>Average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2"/>
              </w:rPr>
              <w:t>Contractual</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4"/>
              </w:rPr>
              <w:t>Intrinsic</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93"/>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36"/>
              <w:spacing w:after="0" w:line="122" w:lineRule="exact"/>
              <w:rPr>
                <w:sz w:val="20"/>
                <w:szCs w:val="20"/>
                <w:color w:val="auto"/>
              </w:rPr>
            </w:pPr>
            <w:r>
              <w:rPr>
                <w:rFonts w:ascii="Arial" w:cs="Arial" w:eastAsia="Arial" w:hAnsi="Arial"/>
                <w:sz w:val="11"/>
                <w:szCs w:val="11"/>
                <w:color w:val="auto"/>
                <w:w w:val="87"/>
              </w:rPr>
              <w:t>Average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ind w:left="46"/>
              <w:spacing w:after="0" w:line="122" w:lineRule="exact"/>
              <w:rPr>
                <w:sz w:val="20"/>
                <w:szCs w:val="20"/>
                <w:color w:val="auto"/>
              </w:rPr>
            </w:pPr>
            <w:r>
              <w:rPr>
                <w:rFonts w:ascii="Arial" w:cs="Arial" w:eastAsia="Arial" w:hAnsi="Arial"/>
                <w:sz w:val="11"/>
                <w:szCs w:val="11"/>
                <w:color w:val="auto"/>
                <w:w w:val="92"/>
              </w:rPr>
              <w:t>Contractual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59"/>
              <w:spacing w:after="0" w:line="122"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6"/>
              <w:spacing w:after="0" w:line="122" w:lineRule="exact"/>
              <w:rPr>
                <w:sz w:val="20"/>
                <w:szCs w:val="20"/>
                <w:color w:val="auto"/>
              </w:rPr>
            </w:pPr>
            <w:r>
              <w:rPr>
                <w:rFonts w:ascii="Arial" w:cs="Arial" w:eastAsia="Arial" w:hAnsi="Arial"/>
                <w:sz w:val="11"/>
                <w:szCs w:val="11"/>
                <w:color w:val="auto"/>
                <w:w w:val="89"/>
              </w:rPr>
              <w:t>Options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26"/>
              <w:spacing w:after="0" w:line="122" w:lineRule="exact"/>
              <w:rPr>
                <w:sz w:val="20"/>
                <w:szCs w:val="20"/>
                <w:color w:val="auto"/>
              </w:rPr>
            </w:pPr>
            <w:r>
              <w:rPr>
                <w:rFonts w:ascii="Arial" w:cs="Arial" w:eastAsia="Arial" w:hAnsi="Arial"/>
                <w:sz w:val="11"/>
                <w:szCs w:val="11"/>
                <w:color w:val="auto"/>
                <w:w w:val="97"/>
              </w:rPr>
              <w:t>Average</w:t>
            </w:r>
          </w:p>
        </w:tc>
        <w:tc>
          <w:tcPr>
            <w:tcW w:w="120" w:type="dxa"/>
            <w:vAlign w:val="bottom"/>
          </w:tcPr>
          <w:p>
            <w:pPr>
              <w:spacing w:after="0"/>
              <w:rPr>
                <w:sz w:val="10"/>
                <w:szCs w:val="10"/>
                <w:color w:val="auto"/>
              </w:rPr>
            </w:pP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93"/>
              </w:rPr>
              <w:t>Term</w:t>
            </w:r>
          </w:p>
        </w:tc>
        <w:tc>
          <w:tcPr>
            <w:tcW w:w="80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Intrinsic Value</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94"/>
              </w:rPr>
              <w:t>Options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89"/>
              </w:rPr>
              <w:t>Exercise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93"/>
              </w:rPr>
              <w:t>Term</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2"/>
              </w:rPr>
              <w:t>Value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w w:val="94"/>
              </w:rPr>
              <w:t>Options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6"/>
              <w:spacing w:after="0" w:line="122" w:lineRule="exact"/>
              <w:rPr>
                <w:sz w:val="20"/>
                <w:szCs w:val="20"/>
                <w:color w:val="auto"/>
              </w:rPr>
            </w:pPr>
            <w:r>
              <w:rPr>
                <w:rFonts w:ascii="Arial" w:cs="Arial" w:eastAsia="Arial" w:hAnsi="Arial"/>
                <w:sz w:val="11"/>
                <w:szCs w:val="11"/>
                <w:color w:val="auto"/>
                <w:w w:val="89"/>
              </w:rPr>
              <w:t>Exercise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ind w:left="46"/>
              <w:spacing w:after="0" w:line="122" w:lineRule="exact"/>
              <w:rPr>
                <w:sz w:val="20"/>
                <w:szCs w:val="20"/>
                <w:color w:val="auto"/>
              </w:rPr>
            </w:pPr>
            <w:r>
              <w:rPr>
                <w:rFonts w:ascii="Arial" w:cs="Arial" w:eastAsia="Arial" w:hAnsi="Arial"/>
                <w:sz w:val="11"/>
                <w:szCs w:val="11"/>
                <w:color w:val="auto"/>
                <w:w w:val="93"/>
              </w:rPr>
              <w:t>Term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9"/>
              <w:spacing w:after="0" w:line="122"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ind w:right="6"/>
              <w:spacing w:after="0"/>
              <w:rPr>
                <w:sz w:val="20"/>
                <w:szCs w:val="20"/>
                <w:color w:val="auto"/>
              </w:rPr>
            </w:pPr>
            <w:r>
              <w:rPr>
                <w:rFonts w:ascii="Arial" w:cs="Arial" w:eastAsia="Arial" w:hAnsi="Arial"/>
                <w:sz w:val="11"/>
                <w:szCs w:val="11"/>
                <w:color w:val="auto"/>
                <w:w w:val="93"/>
              </w:rPr>
              <w:t>(in 000's)</w:t>
            </w:r>
          </w:p>
        </w:tc>
        <w:tc>
          <w:tcPr>
            <w:tcW w:w="12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0"/>
              </w:rPr>
              <w:t>Exercise Price</w:t>
            </w:r>
          </w:p>
        </w:tc>
        <w:tc>
          <w:tcPr>
            <w:tcW w:w="12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(in years)</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(in 000's)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6"/>
              <w:spacing w:after="0"/>
              <w:rPr>
                <w:sz w:val="20"/>
                <w:szCs w:val="20"/>
                <w:color w:val="auto"/>
              </w:rPr>
            </w:pPr>
            <w:r>
              <w:rPr>
                <w:rFonts w:ascii="Arial" w:cs="Arial" w:eastAsia="Arial" w:hAnsi="Arial"/>
                <w:sz w:val="11"/>
                <w:szCs w:val="11"/>
                <w:color w:val="auto"/>
                <w:w w:val="87"/>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87"/>
              </w:rPr>
              <w:t>(in years)</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6"/>
              <w:spacing w:after="0"/>
              <w:rPr>
                <w:sz w:val="20"/>
                <w:szCs w:val="20"/>
                <w:color w:val="auto"/>
              </w:rPr>
            </w:pPr>
            <w:r>
              <w:rPr>
                <w:rFonts w:ascii="Arial" w:cs="Arial" w:eastAsia="Arial" w:hAnsi="Arial"/>
                <w:sz w:val="11"/>
                <w:szCs w:val="11"/>
                <w:color w:val="auto"/>
                <w:w w:val="87"/>
              </w:rPr>
              <w:t>Price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ind w:left="46"/>
              <w:spacing w:after="0"/>
              <w:rPr>
                <w:sz w:val="20"/>
                <w:szCs w:val="20"/>
                <w:color w:val="auto"/>
              </w:rPr>
            </w:pPr>
            <w:r>
              <w:rPr>
                <w:rFonts w:ascii="Arial" w:cs="Arial" w:eastAsia="Arial" w:hAnsi="Arial"/>
                <w:sz w:val="11"/>
                <w:szCs w:val="11"/>
                <w:color w:val="auto"/>
                <w:w w:val="87"/>
              </w:rPr>
              <w:t>(in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640" w:type="dxa"/>
            <w:vAlign w:val="bottom"/>
            <w:gridSpan w:val="2"/>
            <w:shd w:val="clear" w:color="auto" w:fill="CCEEFF"/>
          </w:tcPr>
          <w:p>
            <w:pPr>
              <w:ind w:left="40"/>
              <w:spacing w:after="0" w:line="119" w:lineRule="exact"/>
              <w:rPr>
                <w:sz w:val="20"/>
                <w:szCs w:val="20"/>
                <w:color w:val="auto"/>
              </w:rPr>
            </w:pPr>
            <w:r>
              <w:rPr>
                <w:rFonts w:ascii="Arial" w:cs="Arial" w:eastAsia="Arial" w:hAnsi="Arial"/>
                <w:sz w:val="11"/>
                <w:szCs w:val="11"/>
                <w:color w:val="auto"/>
              </w:rPr>
              <w:t>Outstanding at beginning of the</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year</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597</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44.27</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42.56</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4"/>
            <w:shd w:val="clear" w:color="auto" w:fill="CCEEFF"/>
          </w:tcPr>
          <w:p>
            <w:pPr>
              <w:jc w:val="right"/>
              <w:ind w:right="46"/>
              <w:spacing w:after="0"/>
              <w:rPr>
                <w:sz w:val="20"/>
                <w:szCs w:val="20"/>
                <w:color w:val="auto"/>
              </w:rPr>
            </w:pPr>
            <w:r>
              <w:rPr>
                <w:rFonts w:ascii="Arial" w:cs="Arial" w:eastAsia="Arial" w:hAnsi="Arial"/>
                <w:sz w:val="11"/>
                <w:szCs w:val="11"/>
                <w:color w:val="auto"/>
              </w:rPr>
              <w:t>652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1"/>
                <w:szCs w:val="11"/>
                <w:color w:val="auto"/>
              </w:rPr>
              <w:t>39.27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640" w:type="dxa"/>
            <w:vAlign w:val="bottom"/>
            <w:gridSpan w:val="2"/>
          </w:tcPr>
          <w:p>
            <w:pPr>
              <w:ind w:left="40"/>
              <w:spacing w:after="0"/>
              <w:rPr>
                <w:sz w:val="20"/>
                <w:szCs w:val="20"/>
                <w:color w:val="auto"/>
              </w:rPr>
            </w:pPr>
            <w:r>
              <w:rPr>
                <w:rFonts w:ascii="Arial" w:cs="Arial" w:eastAsia="Arial" w:hAnsi="Arial"/>
                <w:sz w:val="11"/>
                <w:szCs w:val="11"/>
                <w:color w:val="auto"/>
              </w:rPr>
              <w:t>Granted</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30.08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44.95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gridSpan w:val="4"/>
          </w:tcPr>
          <w:p>
            <w:pPr>
              <w:jc w:val="right"/>
              <w:ind w:right="4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6"/>
              <w:spacing w:after="0"/>
              <w:rPr>
                <w:sz w:val="20"/>
                <w:szCs w:val="20"/>
                <w:color w:val="auto"/>
              </w:rPr>
            </w:pPr>
            <w:r>
              <w:rPr>
                <w:rFonts w:ascii="Arial" w:cs="Arial" w:eastAsia="Arial" w:hAnsi="Arial"/>
                <w:sz w:val="11"/>
                <w:szCs w:val="11"/>
                <w:color w:val="auto"/>
              </w:rPr>
              <w:t>62.70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744</w:t>
            </w:r>
          </w:p>
        </w:tc>
        <w:tc>
          <w:tcPr>
            <w:tcW w:w="820" w:type="dxa"/>
            <w:vAlign w:val="bottom"/>
            <w:tcBorders>
              <w:bottom w:val="single" w:sz="8" w:color="CCEEFF"/>
            </w:tcBorders>
            <w:gridSpan w:val="4"/>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1"/>
                <w:szCs w:val="11"/>
                <w:color w:val="auto"/>
              </w:rPr>
              <w:t>25.72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1"/>
                <w:szCs w:val="11"/>
                <w:color w:val="auto"/>
              </w:rPr>
              <w:t>2,140</w:t>
            </w:r>
          </w:p>
        </w:tc>
        <w:tc>
          <w:tcPr>
            <w:tcW w:w="0" w:type="dxa"/>
            <w:vAlign w:val="bottom"/>
          </w:tcPr>
          <w:p>
            <w:pPr>
              <w:spacing w:after="0"/>
              <w:rPr>
                <w:sz w:val="1"/>
                <w:szCs w:val="1"/>
                <w:color w:val="auto"/>
              </w:rPr>
            </w:pPr>
          </w:p>
        </w:tc>
      </w:tr>
      <w:tr>
        <w:trPr>
          <w:trHeight w:val="248"/>
        </w:trPr>
        <w:tc>
          <w:tcPr>
            <w:tcW w:w="1640" w:type="dxa"/>
            <w:vAlign w:val="bottom"/>
            <w:gridSpan w:val="2"/>
          </w:tcPr>
          <w:p>
            <w:pPr>
              <w:ind w:left="40"/>
              <w:spacing w:after="0"/>
              <w:rPr>
                <w:sz w:val="20"/>
                <w:szCs w:val="20"/>
                <w:color w:val="auto"/>
              </w:rPr>
            </w:pPr>
            <w:r>
              <w:rPr>
                <w:rFonts w:ascii="Arial" w:cs="Arial" w:eastAsia="Arial" w:hAnsi="Arial"/>
                <w:sz w:val="11"/>
                <w:szCs w:val="11"/>
                <w:color w:val="auto"/>
              </w:rPr>
              <w:t>Forfeited/canceled/expired</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27.74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gridSpan w:val="4"/>
          </w:tcPr>
          <w:p>
            <w:pPr>
              <w:jc w:val="right"/>
              <w:ind w:right="6"/>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36"/>
              <w:spacing w:after="0"/>
              <w:rPr>
                <w:sz w:val="20"/>
                <w:szCs w:val="20"/>
                <w:color w:val="auto"/>
              </w:rPr>
            </w:pPr>
            <w:r>
              <w:rPr>
                <w:rFonts w:ascii="Arial" w:cs="Arial" w:eastAsia="Arial" w:hAnsi="Arial"/>
                <w:sz w:val="11"/>
                <w:szCs w:val="11"/>
                <w:color w:val="auto"/>
              </w:rPr>
              <w:t>46.44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660" w:type="dxa"/>
            <w:vAlign w:val="bottom"/>
            <w:tcBorders>
              <w:bottom w:val="single" w:sz="8" w:color="CCEEFF"/>
            </w:tcBorders>
            <w:gridSpan w:val="2"/>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8"/>
              </w:rPr>
              <w:t xml:space="preserve">Outstanding at end of the year </w:t>
            </w:r>
            <w:r>
              <w:rPr>
                <w:rFonts w:ascii="Arial" w:cs="Arial" w:eastAsia="Arial" w:hAnsi="Arial"/>
                <w:sz w:val="8"/>
                <w:szCs w:val="8"/>
                <w:color w:val="auto"/>
                <w:w w:val="98"/>
              </w:rPr>
              <w:t>(1)</w:t>
            </w:r>
          </w:p>
        </w:tc>
        <w:tc>
          <w:tcPr>
            <w:tcW w:w="6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745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41.73</w:t>
            </w:r>
          </w:p>
        </w:tc>
        <w:tc>
          <w:tcPr>
            <w:tcW w:w="920" w:type="dxa"/>
            <w:vAlign w:val="bottom"/>
            <w:gridSpan w:val="2"/>
            <w:shd w:val="clear" w:color="auto" w:fill="CCEEFF"/>
          </w:tcPr>
          <w:p>
            <w:pPr>
              <w:jc w:val="center"/>
              <w:ind w:left="64"/>
              <w:spacing w:after="0"/>
              <w:rPr>
                <w:sz w:val="20"/>
                <w:szCs w:val="20"/>
                <w:color w:val="auto"/>
              </w:rPr>
            </w:pPr>
            <w:r>
              <w:rPr>
                <w:rFonts w:ascii="Arial" w:cs="Arial" w:eastAsia="Arial" w:hAnsi="Arial"/>
                <w:sz w:val="11"/>
                <w:szCs w:val="11"/>
                <w:color w:val="auto"/>
                <w:w w:val="93"/>
              </w:rPr>
              <w:t>3.97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9,798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44.27</w:t>
            </w:r>
          </w:p>
        </w:tc>
        <w:tc>
          <w:tcPr>
            <w:tcW w:w="900" w:type="dxa"/>
            <w:vAlign w:val="bottom"/>
            <w:gridSpan w:val="3"/>
            <w:shd w:val="clear" w:color="auto" w:fill="CCEEFF"/>
          </w:tcPr>
          <w:p>
            <w:pPr>
              <w:jc w:val="center"/>
              <w:ind w:left="37"/>
              <w:spacing w:after="0"/>
              <w:rPr>
                <w:sz w:val="20"/>
                <w:szCs w:val="20"/>
                <w:color w:val="auto"/>
              </w:rPr>
            </w:pPr>
            <w:r>
              <w:rPr>
                <w:rFonts w:ascii="Arial" w:cs="Arial" w:eastAsia="Arial" w:hAnsi="Arial"/>
                <w:sz w:val="11"/>
                <w:szCs w:val="11"/>
                <w:color w:val="auto"/>
                <w:w w:val="93"/>
              </w:rPr>
              <w:t>4.08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820" w:type="dxa"/>
            <w:vAlign w:val="bottom"/>
            <w:gridSpan w:val="4"/>
            <w:shd w:val="clear" w:color="auto" w:fill="CCEEFF"/>
          </w:tcPr>
          <w:p>
            <w:pPr>
              <w:jc w:val="right"/>
              <w:ind w:right="46"/>
              <w:spacing w:after="0"/>
              <w:rPr>
                <w:sz w:val="20"/>
                <w:szCs w:val="20"/>
                <w:color w:val="auto"/>
              </w:rPr>
            </w:pPr>
            <w:r>
              <w:rPr>
                <w:rFonts w:ascii="Arial" w:cs="Arial" w:eastAsia="Arial" w:hAnsi="Arial"/>
                <w:sz w:val="11"/>
                <w:szCs w:val="11"/>
                <w:color w:val="auto"/>
              </w:rPr>
              <w:t>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1"/>
                <w:szCs w:val="11"/>
                <w:color w:val="auto"/>
              </w:rPr>
              <w:t>42.56</w:t>
            </w:r>
          </w:p>
        </w:tc>
        <w:tc>
          <w:tcPr>
            <w:tcW w:w="760" w:type="dxa"/>
            <w:vAlign w:val="bottom"/>
            <w:gridSpan w:val="4"/>
            <w:shd w:val="clear" w:color="auto" w:fill="CCEEFF"/>
          </w:tcPr>
          <w:p>
            <w:pPr>
              <w:jc w:val="center"/>
              <w:ind w:left="177"/>
              <w:spacing w:after="0"/>
              <w:rPr>
                <w:sz w:val="20"/>
                <w:szCs w:val="20"/>
                <w:color w:val="auto"/>
              </w:rPr>
            </w:pPr>
            <w:r>
              <w:rPr>
                <w:rFonts w:ascii="Arial" w:cs="Arial" w:eastAsia="Arial" w:hAnsi="Arial"/>
                <w:sz w:val="11"/>
                <w:szCs w:val="11"/>
                <w:color w:val="auto"/>
                <w:w w:val="93"/>
              </w:rPr>
              <w:t>4.25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1"/>
                <w:szCs w:val="11"/>
                <w:color w:val="auto"/>
              </w:rPr>
              <w:t>5,607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1"/>
                <w:szCs w:val="11"/>
                <w:color w:val="auto"/>
                <w:w w:val="89"/>
              </w:rPr>
              <w:t>Vested and expected to vest at the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ind w:left="40"/>
              <w:spacing w:after="0"/>
              <w:rPr>
                <w:sz w:val="20"/>
                <w:szCs w:val="20"/>
                <w:color w:val="auto"/>
              </w:rPr>
            </w:pPr>
            <w:r>
              <w:rPr>
                <w:rFonts w:ascii="Arial" w:cs="Arial" w:eastAsia="Arial" w:hAnsi="Arial"/>
                <w:sz w:val="11"/>
                <w:szCs w:val="11"/>
                <w:color w:val="auto"/>
              </w:rPr>
              <w:t xml:space="preserve">end of the year </w:t>
            </w:r>
            <w:r>
              <w:rPr>
                <w:rFonts w:ascii="Arial" w:cs="Arial" w:eastAsia="Arial" w:hAnsi="Arial"/>
                <w:sz w:val="8"/>
                <w:szCs w:val="8"/>
                <w:color w:val="auto"/>
              </w:rPr>
              <w:t>(1)</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745</w:t>
            </w: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41.73</w:t>
            </w:r>
          </w:p>
        </w:tc>
        <w:tc>
          <w:tcPr>
            <w:tcW w:w="920" w:type="dxa"/>
            <w:vAlign w:val="bottom"/>
            <w:gridSpan w:val="2"/>
          </w:tcPr>
          <w:p>
            <w:pPr>
              <w:jc w:val="center"/>
              <w:ind w:left="64"/>
              <w:spacing w:after="0"/>
              <w:rPr>
                <w:sz w:val="20"/>
                <w:szCs w:val="20"/>
                <w:color w:val="auto"/>
              </w:rPr>
            </w:pPr>
            <w:r>
              <w:rPr>
                <w:rFonts w:ascii="Arial" w:cs="Arial" w:eastAsia="Arial" w:hAnsi="Arial"/>
                <w:sz w:val="11"/>
                <w:szCs w:val="11"/>
                <w:color w:val="auto"/>
                <w:w w:val="93"/>
              </w:rPr>
              <w:t>3.97</w:t>
            </w:r>
          </w:p>
        </w:tc>
        <w:tc>
          <w:tcPr>
            <w:tcW w:w="12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9,798</w:t>
            </w:r>
          </w:p>
        </w:tc>
        <w:tc>
          <w:tcPr>
            <w:tcW w:w="100" w:type="dxa"/>
            <w:vAlign w:val="bottom"/>
          </w:tcPr>
          <w:p>
            <w:pPr>
              <w:spacing w:after="0"/>
              <w:rPr>
                <w:sz w:val="11"/>
                <w:szCs w:val="1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597</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44.27</w:t>
            </w:r>
          </w:p>
        </w:tc>
        <w:tc>
          <w:tcPr>
            <w:tcW w:w="900" w:type="dxa"/>
            <w:vAlign w:val="bottom"/>
            <w:gridSpan w:val="3"/>
          </w:tcPr>
          <w:p>
            <w:pPr>
              <w:jc w:val="center"/>
              <w:ind w:left="37"/>
              <w:spacing w:after="0"/>
              <w:rPr>
                <w:sz w:val="20"/>
                <w:szCs w:val="20"/>
                <w:color w:val="auto"/>
              </w:rPr>
            </w:pPr>
            <w:r>
              <w:rPr>
                <w:rFonts w:ascii="Arial" w:cs="Arial" w:eastAsia="Arial" w:hAnsi="Arial"/>
                <w:sz w:val="11"/>
                <w:szCs w:val="11"/>
                <w:color w:val="auto"/>
                <w:w w:val="93"/>
              </w:rPr>
              <w:t>4.08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758</w:t>
            </w:r>
          </w:p>
        </w:tc>
        <w:tc>
          <w:tcPr>
            <w:tcW w:w="820" w:type="dxa"/>
            <w:vAlign w:val="bottom"/>
            <w:gridSpan w:val="4"/>
          </w:tcPr>
          <w:p>
            <w:pPr>
              <w:jc w:val="right"/>
              <w:ind w:right="46"/>
              <w:spacing w:after="0"/>
              <w:rPr>
                <w:sz w:val="20"/>
                <w:szCs w:val="20"/>
                <w:color w:val="auto"/>
              </w:rPr>
            </w:pPr>
            <w:r>
              <w:rPr>
                <w:rFonts w:ascii="Arial" w:cs="Arial" w:eastAsia="Arial" w:hAnsi="Arial"/>
                <w:sz w:val="11"/>
                <w:szCs w:val="11"/>
                <w:color w:val="auto"/>
              </w:rPr>
              <w:t>520</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6"/>
              <w:spacing w:after="0"/>
              <w:rPr>
                <w:sz w:val="20"/>
                <w:szCs w:val="20"/>
                <w:color w:val="auto"/>
              </w:rPr>
            </w:pPr>
            <w:r>
              <w:rPr>
                <w:rFonts w:ascii="Arial" w:cs="Arial" w:eastAsia="Arial" w:hAnsi="Arial"/>
                <w:sz w:val="11"/>
                <w:szCs w:val="11"/>
                <w:color w:val="auto"/>
              </w:rPr>
              <w:t>42.56</w:t>
            </w:r>
          </w:p>
        </w:tc>
        <w:tc>
          <w:tcPr>
            <w:tcW w:w="760" w:type="dxa"/>
            <w:vAlign w:val="bottom"/>
            <w:gridSpan w:val="4"/>
          </w:tcPr>
          <w:p>
            <w:pPr>
              <w:jc w:val="center"/>
              <w:ind w:left="177"/>
              <w:spacing w:after="0"/>
              <w:rPr>
                <w:sz w:val="20"/>
                <w:szCs w:val="20"/>
                <w:color w:val="auto"/>
              </w:rPr>
            </w:pPr>
            <w:r>
              <w:rPr>
                <w:rFonts w:ascii="Arial" w:cs="Arial" w:eastAsia="Arial" w:hAnsi="Arial"/>
                <w:sz w:val="11"/>
                <w:szCs w:val="11"/>
                <w:color w:val="auto"/>
                <w:w w:val="93"/>
              </w:rPr>
              <w:t>4.25</w:t>
            </w:r>
          </w:p>
        </w:tc>
        <w:tc>
          <w:tcPr>
            <w:tcW w:w="34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39"/>
              <w:spacing w:after="0"/>
              <w:rPr>
                <w:sz w:val="20"/>
                <w:szCs w:val="20"/>
                <w:color w:val="auto"/>
              </w:rPr>
            </w:pPr>
            <w:r>
              <w:rPr>
                <w:rFonts w:ascii="Arial" w:cs="Arial" w:eastAsia="Arial" w:hAnsi="Arial"/>
                <w:sz w:val="11"/>
                <w:szCs w:val="11"/>
                <w:color w:val="auto"/>
              </w:rPr>
              <w:t>5,607</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6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6"/>
              </w:rPr>
              <w:t>Exercisable at the end of the year</w:t>
            </w:r>
          </w:p>
        </w:tc>
        <w:tc>
          <w:tcPr>
            <w:tcW w:w="6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517</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44.95</w:t>
            </w:r>
          </w:p>
        </w:tc>
        <w:tc>
          <w:tcPr>
            <w:tcW w:w="920" w:type="dxa"/>
            <w:vAlign w:val="bottom"/>
            <w:gridSpan w:val="2"/>
            <w:vMerge w:val="restart"/>
            <w:shd w:val="clear" w:color="auto" w:fill="CCEEFF"/>
          </w:tcPr>
          <w:p>
            <w:pPr>
              <w:jc w:val="center"/>
              <w:ind w:left="64"/>
              <w:spacing w:after="0"/>
              <w:rPr>
                <w:sz w:val="20"/>
                <w:szCs w:val="20"/>
                <w:color w:val="auto"/>
              </w:rPr>
            </w:pPr>
            <w:r>
              <w:rPr>
                <w:rFonts w:ascii="Arial" w:cs="Arial" w:eastAsia="Arial" w:hAnsi="Arial"/>
                <w:sz w:val="11"/>
                <w:szCs w:val="11"/>
                <w:color w:val="auto"/>
                <w:w w:val="93"/>
              </w:rPr>
              <w:t>3.01</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5,636</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430</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42.30</w:t>
            </w:r>
          </w:p>
        </w:tc>
        <w:tc>
          <w:tcPr>
            <w:tcW w:w="900" w:type="dxa"/>
            <w:vAlign w:val="bottom"/>
            <w:gridSpan w:val="3"/>
            <w:vMerge w:val="restart"/>
            <w:shd w:val="clear" w:color="auto" w:fill="CCEEFF"/>
          </w:tcPr>
          <w:p>
            <w:pPr>
              <w:jc w:val="center"/>
              <w:ind w:left="37"/>
              <w:spacing w:after="0"/>
              <w:rPr>
                <w:sz w:val="20"/>
                <w:szCs w:val="20"/>
                <w:color w:val="auto"/>
              </w:rPr>
            </w:pPr>
            <w:r>
              <w:rPr>
                <w:rFonts w:ascii="Arial" w:cs="Arial" w:eastAsia="Arial" w:hAnsi="Arial"/>
                <w:sz w:val="11"/>
                <w:szCs w:val="11"/>
                <w:color w:val="auto"/>
                <w:w w:val="93"/>
              </w:rPr>
              <w:t>3.43</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820" w:type="dxa"/>
            <w:vAlign w:val="bottom"/>
            <w:gridSpan w:val="4"/>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381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ind w:right="36"/>
              <w:spacing w:after="0"/>
              <w:rPr>
                <w:sz w:val="20"/>
                <w:szCs w:val="20"/>
                <w:color w:val="auto"/>
              </w:rPr>
            </w:pPr>
            <w:r>
              <w:rPr>
                <w:rFonts w:ascii="Arial" w:cs="Arial" w:eastAsia="Arial" w:hAnsi="Arial"/>
                <w:sz w:val="11"/>
                <w:szCs w:val="11"/>
                <w:color w:val="auto"/>
              </w:rPr>
              <w:t>36.39</w:t>
            </w:r>
          </w:p>
        </w:tc>
        <w:tc>
          <w:tcPr>
            <w:tcW w:w="760" w:type="dxa"/>
            <w:vAlign w:val="bottom"/>
            <w:gridSpan w:val="4"/>
            <w:vMerge w:val="restart"/>
            <w:shd w:val="clear" w:color="auto" w:fill="CCEEFF"/>
          </w:tcPr>
          <w:p>
            <w:pPr>
              <w:jc w:val="center"/>
              <w:ind w:left="177"/>
              <w:spacing w:after="0"/>
              <w:rPr>
                <w:sz w:val="20"/>
                <w:szCs w:val="20"/>
                <w:color w:val="auto"/>
              </w:rPr>
            </w:pPr>
            <w:r>
              <w:rPr>
                <w:rFonts w:ascii="Arial" w:cs="Arial" w:eastAsia="Arial" w:hAnsi="Arial"/>
                <w:sz w:val="11"/>
                <w:szCs w:val="11"/>
                <w:color w:val="auto"/>
                <w:w w:val="93"/>
              </w:rPr>
              <w:t>3.72</w:t>
            </w:r>
          </w:p>
        </w:tc>
        <w:tc>
          <w:tcPr>
            <w:tcW w:w="3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1"/>
                <w:szCs w:val="11"/>
                <w:color w:val="auto"/>
              </w:rPr>
              <w:t>5,607</w:t>
            </w:r>
          </w:p>
        </w:tc>
        <w:tc>
          <w:tcPr>
            <w:tcW w:w="0" w:type="dxa"/>
            <w:vAlign w:val="bottom"/>
          </w:tcPr>
          <w:p>
            <w:pPr>
              <w:spacing w:after="0"/>
              <w:rPr>
                <w:sz w:val="1"/>
                <w:szCs w:val="1"/>
                <w:color w:val="auto"/>
              </w:rPr>
            </w:pPr>
          </w:p>
        </w:tc>
      </w:tr>
      <w:tr>
        <w:trPr>
          <w:trHeight w:val="120"/>
        </w:trPr>
        <w:tc>
          <w:tcPr>
            <w:tcW w:w="1580" w:type="dxa"/>
            <w:vAlign w:val="bottom"/>
            <w:shd w:val="clear" w:color="auto" w:fill="CCEEFF"/>
          </w:tcPr>
          <w:p>
            <w:pPr>
              <w:ind w:left="40"/>
              <w:spacing w:after="0"/>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900" w:type="dxa"/>
            <w:vAlign w:val="bottom"/>
            <w:gridSpan w:val="3"/>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20" w:type="dxa"/>
            <w:vAlign w:val="bottom"/>
            <w:gridSpan w:val="4"/>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760" w:type="dxa"/>
            <w:vAlign w:val="bottom"/>
            <w:gridSpan w:val="4"/>
            <w:vMerge w:val="continue"/>
            <w:shd w:val="clear" w:color="auto" w:fill="CCEEFF"/>
          </w:tcPr>
          <w:p>
            <w:pPr>
              <w:spacing w:after="0"/>
              <w:rPr>
                <w:sz w:val="10"/>
                <w:szCs w:val="10"/>
                <w:color w:val="auto"/>
              </w:rPr>
            </w:pPr>
          </w:p>
        </w:tc>
        <w:tc>
          <w:tcPr>
            <w:tcW w:w="340" w:type="dxa"/>
            <w:vAlign w:val="bottom"/>
            <w:gridSpan w:val="3"/>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2019, 2018, and 2017 and the exercise price, multiplied by the number of in-the-money options) that would have been received by the option holders had they all exercised their options on December 31, 2019, 2018, and 2017. This amount will change based on the fair market value of our stock.</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received from option exercises for the years ended December 31, 2019, 2018, and 2017 was $0.4 million, $0.9 million, and $1.4 million, respectively. The actual tax benefit realized from option exercises was $0.01 million, $0.2 million and $0.7 million for the years ended December 31, 2019, 2018, and 2017, respectively.</w:t>
      </w:r>
    </w:p>
    <w:p>
      <w:pPr>
        <w:sectPr>
          <w:pgSz w:w="11900" w:h="16838" w:orient="portrait"/>
          <w:cols w:equalWidth="0" w:num="1">
            <w:col w:w="11240"/>
          </w:cols>
          <w:pgMar w:left="320" w:top="11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2019 and the related weighted average exercise price and life information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Options Outstanding</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Weighted-Average</w:t>
            </w: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8"/>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34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$19.25 to $27.07</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$35.28 to $44.95</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200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$51.38 to $65.54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745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517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expect to recognize $2.2 million of total unrecognized pre-tax stock-based compensation expense related to non-vested stock options over a remaining weighted-average life of 1.9 years.</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12, 2020, certain executive employees were granted 108,755 stock options in connection with the 2019 annual review cycle. The options were granted as part of long-term incentive compensation to assist us in meeting our performance and retention objectives and are subject to a three-year vesting period (33.33% on February 12, 2021 and 8.33% each quarter thereafter). The total grant date fair value of these awards was $1.9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2018</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000’s)</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Non-vested at beginning of the year</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153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56.16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Non-vested at end of the year</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162</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expect to recognize $7.2 million of total unrecognized pre-tax stock-based compensation expense related to non-vested restricted stock awards over a weighted-average life of 1.7 years.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2020, certain executive employees were granted 41,695 restricted stock awards in connection with the 2019 annual review cycle. These awards were granted as part of long-term incentive compensation to assist us in meeting our performance and retention objectives and are subject to a three-year vesting period (33.33% on February 12, 2021 and 8.33% each quarter thereafter). The total grant date fair value of these awards was $1.9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2003, 2006, 2010,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Initial Shares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Remaining Shares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8"/>
        </w:trPr>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40" w:type="dxa"/>
            <w:vAlign w:val="bottom"/>
            <w:vMerge w:val="restart"/>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92"/>
        </w:trPr>
        <w:tc>
          <w:tcPr>
            <w:tcW w:w="420" w:type="dxa"/>
            <w:vAlign w:val="bottom"/>
            <w:tcBorders>
              <w:bottom w:val="single" w:sz="8" w:color="auto"/>
            </w:tcBorders>
            <w:vMerge w:val="continue"/>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Under the Plan</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2003</w:t>
            </w: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6/18/2003</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2006</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6/13/2006</w:t>
            </w:r>
          </w:p>
        </w:tc>
        <w:tc>
          <w:tcPr>
            <w:tcW w:w="140" w:type="dxa"/>
            <w:vAlign w:val="bottom"/>
          </w:tcPr>
          <w:p>
            <w:pPr>
              <w:spacing w:after="0"/>
              <w:rPr>
                <w:sz w:val="21"/>
                <w:szCs w:val="21"/>
                <w:color w:val="auto"/>
              </w:rPr>
            </w:pPr>
          </w:p>
        </w:tc>
        <w:tc>
          <w:tcPr>
            <w:tcW w:w="1800" w:type="dxa"/>
            <w:vAlign w:val="bottom"/>
          </w:tcPr>
          <w:p>
            <w:pPr>
              <w:jc w:val="right"/>
              <w:ind w:right="37"/>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28,945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2010</w:t>
            </w: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6/15/2010</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198,971</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2014</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6/12/2014</w:t>
            </w:r>
          </w:p>
        </w:tc>
        <w:tc>
          <w:tcPr>
            <w:tcW w:w="140" w:type="dxa"/>
            <w:vAlign w:val="bottom"/>
          </w:tcPr>
          <w:p>
            <w:pPr>
              <w:spacing w:after="0"/>
              <w:rPr>
                <w:sz w:val="21"/>
                <w:szCs w:val="21"/>
                <w:color w:val="auto"/>
              </w:rPr>
            </w:pPr>
          </w:p>
        </w:tc>
        <w:tc>
          <w:tcPr>
            <w:tcW w:w="1800" w:type="dxa"/>
            <w:vAlign w:val="bottom"/>
          </w:tcPr>
          <w:p>
            <w:pPr>
              <w:jc w:val="right"/>
              <w:ind w:right="37"/>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413,333</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and Incentive Compensation Plan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6/4/2018</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544,092</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399,726</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544,092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1,055,366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Performance-Based Common Stock Warrants</w:t>
      </w:r>
    </w:p>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3780" w:type="dxa"/>
            <w:vAlign w:val="bottom"/>
            <w:tcBorders>
              <w:bottom w:val="single" w:sz="8" w:color="auto"/>
            </w:tcBorders>
            <w:gridSpan w:val="5"/>
          </w:tcPr>
          <w:p>
            <w:pPr>
              <w:jc w:val="center"/>
              <w:ind w:left="135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0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2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w w:val="97"/>
              </w:rPr>
              <w:t>January 1, 2020 -</w:t>
            </w:r>
          </w:p>
        </w:tc>
        <w:tc>
          <w:tcPr>
            <w:tcW w:w="0" w:type="dxa"/>
            <w:vAlign w:val="bottom"/>
          </w:tcPr>
          <w:p>
            <w:pPr>
              <w:spacing w:after="0"/>
              <w:rPr>
                <w:sz w:val="1"/>
                <w:szCs w:val="1"/>
                <w:color w:val="auto"/>
              </w:rPr>
            </w:pPr>
          </w:p>
        </w:tc>
      </w:tr>
      <w:tr>
        <w:trPr>
          <w:trHeight w:val="192"/>
        </w:trPr>
        <w:tc>
          <w:tcPr>
            <w:tcW w:w="5900" w:type="dxa"/>
            <w:vAlign w:val="bottom"/>
            <w:vMerge w:val="continue"/>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2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142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4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$260 million</w:t>
            </w:r>
          </w:p>
        </w:tc>
        <w:tc>
          <w:tcPr>
            <w:tcW w:w="16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$340 million</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4"/>
        </w:trPr>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6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had exceeded $340 million during either the first or second two-year period, the amount of any such excess would count towards aggregate purchases in the following two-year period. This threshold was not met in either the first or second two-year period. At December 31, 2019,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For the two-year period ended December 31, 2017, Comcast earned and vested in 175,000 out of the maximum potential 250,000 warrants. For the two-year period ended December 31, 2019, Comcast earned and vested in 100,000 out of the maximum potential 250,000 warrants.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 of the warrants were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9"/>
              </w:rPr>
              <w:t>2018</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7"/>
        </w:trPr>
        <w:tc>
          <w:tcPr>
            <w:tcW w:w="6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r>
      <w:tr>
        <w:trPr>
          <w:trHeight w:val="378"/>
        </w:trPr>
        <w:tc>
          <w:tcPr>
            <w:tcW w:w="8300" w:type="dxa"/>
            <w:vAlign w:val="bottom"/>
            <w:gridSpan w:val="3"/>
          </w:tcPr>
          <w:p>
            <w:pPr>
              <w:spacing w:after="0"/>
              <w:rPr>
                <w:sz w:val="20"/>
                <w:szCs w:val="20"/>
                <w:color w:val="auto"/>
              </w:rPr>
            </w:pPr>
            <w:r>
              <w:rPr>
                <w:rFonts w:ascii="Arial" w:cs="Arial" w:eastAsia="Arial" w:hAnsi="Arial"/>
                <w:sz w:val="18"/>
                <w:szCs w:val="18"/>
                <w:color w:val="auto"/>
                <w:w w:val="90"/>
              </w:rPr>
              <w:t>The impact to net sales recorded in connection with the warrants and the related income tax benefit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0"/>
        </w:trPr>
        <w:tc>
          <w:tcPr>
            <w:tcW w:w="69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255</w:t>
            </w: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unrecognized estimated fair value of unvested warrants at December 31, 2019 was $3.9 million.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69"/>
        </w:trPr>
        <w:tc>
          <w:tcPr>
            <w:tcW w:w="662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2,174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19 for further information concerning our foreign currency exchange contracts.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3,630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(10,323)</w:t>
            </w:r>
          </w:p>
        </w:tc>
      </w:tr>
      <w:tr>
        <w:trPr>
          <w:trHeight w:val="67"/>
        </w:trPr>
        <w:tc>
          <w:tcPr>
            <w:tcW w:w="6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Basic earnings (loss) per share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67"/>
        </w:trPr>
        <w:tc>
          <w:tcPr>
            <w:tcW w:w="6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3,630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(10,323)</w:t>
            </w:r>
          </w:p>
        </w:tc>
      </w:tr>
      <w:tr>
        <w:trPr>
          <w:trHeight w:val="67"/>
        </w:trPr>
        <w:tc>
          <w:tcPr>
            <w:tcW w:w="6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0"/>
        </w:trPr>
        <w:tc>
          <w:tcPr>
            <w:tcW w:w="6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14,351</w:t>
            </w: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(loss) per common share as their inclusion would have been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46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648</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67</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221</w:t>
            </w:r>
          </w:p>
        </w:tc>
      </w:tr>
      <w:tr>
        <w:trPr>
          <w:trHeight w:val="27"/>
        </w:trPr>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Performance-based warrants</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w:t>
            </w:r>
          </w:p>
        </w:tc>
        <w:tc>
          <w:tcPr>
            <w:tcW w:w="15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r>
      <w:tr>
        <w:trPr>
          <w:trHeight w:val="27"/>
        </w:trPr>
        <w:tc>
          <w:tcPr>
            <w:tcW w:w="6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1"/>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$0.1 million, a net pre-tax gain of $0.5 million, and a net pre-tax loss of $3.6 million for the years ended December 31, 2019, 2018, and 2017, respectively. See Note 17 for further information concerning our foreign currency exchange contracts.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Gain/(Loss) Recorded</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Held</w:t>
            </w:r>
          </w:p>
        </w:tc>
        <w:tc>
          <w:tcPr>
            <w:tcW w:w="120" w:type="dxa"/>
            <w:vAlign w:val="bottom"/>
            <w:vMerge w:val="restart"/>
          </w:tcPr>
          <w:p>
            <w:pPr>
              <w:spacing w:after="0"/>
              <w:rPr>
                <w:sz w:val="12"/>
                <w:szCs w:val="12"/>
                <w:color w:val="auto"/>
              </w:rPr>
            </w:pP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Forward Rate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6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USD/Chinese Yuan</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2019</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6.9867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9"/>
              </w:rPr>
              <w:t>January 23, 2020</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2019</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4.0560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2019</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2019</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4.0870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2018</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9"/>
              </w:rPr>
              <w:t>January 25, 2019</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8"/>
              </w:rPr>
              <w:t>USD/Chinese Yuan</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2018</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6.8969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January 25, 2019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USD/Chinese Yuan</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31, 2018</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6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6.9245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9"/>
              </w:rPr>
              <w:t>January 25, 2019</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2018</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3.8651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89"/>
              </w:rPr>
              <w:t>January 25, 2019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0" w:hanging="328"/>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$0.9 million, $1.1 million and $0.6 million of expense for company contributions for the years ended December 31, 2019, 2018, and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purchase price of $12.6 million was comprised of $8.9 million in cash and $3.7 million of contingent consideration. Additionally, we incurred $0.1 million in acquisition costs, consisting primarily of accounting related expenses, which are included within selling, general and administrative expenses for the year ended December 31, 2017. The acquisition of these assets allows us to expand our product offering of home sensing, monitoring and control solutions to include smart thermostat, sensing and monitoring products previously sold and marketed by RCS.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statements of operations for the years ended December 31, 2019, 2018 and 2017 include net sales of $3.9 million, $5.1 million, and $3.5 million, respectively; and net losses of $2.4 million, $0.2 million, and $0.4 million, respectively, attributable to RCS.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on the agreed upon percentage of operating income as defined in the Asset Purchase Agreement (the "APA"). Operating income is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At December 31, 2018, the fair value of the earnout contingent consideration attributable to RCS was $0.7 million. During the year ended December 31, 2019, the fair value of earnout contingent consideration attributable to RCS decreased $0.5 million to $0.2 million. Changes in the fair value of earnout contingent consideration primarily reflect adjustments to the timing and amount of payments as well as the related accretion driven by the time value of money. These adjustments are recorded within selling, general and administrative expenses. At December 31, 2019, the fair value of earnout contingent consideration attributable to RCS is presented within long-term contingent consideration in our consolidated balance sheet.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financial information presents the combined results of our operations and the operations of RCS as if the RCS acquisition had occurred on January 1, 2017. This unaudited pro forma financial information is not intended to represent or be indicative of the consolidated results of operations that would have been achieved had the acquisition actually been completed as of January 1, 2017, and should not be taken as a projection of the future consolidated results of our operations.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2017, pro forma net sales were $696.4 million; pro forma net loss was $10.5 million; pro forma basic and diluted loss per share was $0.73.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determining pro forma net loss, adjustments were made, as follows, to derive the information presented above. The pro forma net loss assumes that amortization of acquired intangible assets began at January 1, 2017 rather than on April 6, 2017. The result is a net increase in amortization expense of $25 thousand for the year ended December 31, 2017. Additionally, acquisition costs totaling $0.1 million are excluded from pro forma net loss. All adjustments have been made net of their related tax effects.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49"/>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200,724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174,694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33,993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49,857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11,451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7,027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0"/>
        </w:trPr>
        <w:tc>
          <w:tcPr>
            <w:tcW w:w="5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0.50</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0.49</w:t>
            </w:r>
          </w:p>
        </w:tc>
      </w:tr>
      <w:tr>
        <w:trPr>
          <w:trHeight w:val="459"/>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3"/>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September 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170,303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37,202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40,316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37,527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(11,107)</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7"/>
        </w:trPr>
        <w:tc>
          <w:tcPr>
            <w:tcW w:w="5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800" w:hanging="328"/>
        <w:spacing w:after="0" w:line="285" w:lineRule="auto"/>
        <w:tabs>
          <w:tab w:leader="none" w:pos="66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18" w:right="3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4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2019 that have materially affected, or are reasonably likely to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Universal Electronics Inc. (a Delaware corporation)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Internal Control-Integrated Framework issued by COSO.</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March 13, 2020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2020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Code of Conduct. </w:t>
      </w:r>
      <w:r>
        <w:rPr>
          <w:rFonts w:ascii="Arial" w:cs="Arial" w:eastAsia="Arial" w:hAnsi="Arial"/>
          <w:sz w:val="16"/>
          <w:szCs w:val="16"/>
          <w:color w:val="auto"/>
        </w:rPr>
        <w:t>We have adopted a code of conduct that applies to all of our employees, including without limitation our principal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6"/>
          <w:szCs w:val="16"/>
          <w:u w:val="single" w:color="auto"/>
          <w:color w:val="auto"/>
        </w:rPr>
        <w:t>www.uei.com</w:t>
      </w:r>
      <w:r>
        <w:rPr>
          <w:rFonts w:ascii="Arial" w:cs="Arial" w:eastAsia="Arial" w:hAnsi="Arial"/>
          <w:sz w:val="16"/>
          <w:szCs w:val="16"/>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2020 Annual Meeting of Stockholders to be filed pursuant to Regulation 14A promulgated by the Securities and Exchange Commission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required by Items 402 and 407(e)(4) and (e)(5) of Regulation S-K will be contained in and is hereby incorporated by reference to our definitive Proxy Statement for our 2020 Annual Meeting of Stockholders to be filed pursuant to Regulation 14A promulgated by the SEC under the Exchange Act.</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Item 403 of Regulation S-K will be contained in and is hereby incorporated by reference to our definitive Proxy Statement for our 2020 Annual Meeting of Stockholders to be filed pursuant to Regulation 14A promulgated by the SEC under the Exchange Act.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745,403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544,092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48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745,403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544,092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15" for a description of each of our stock incentive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by Items 404 and 407(a) of Regulation S-K will be contained in and is hereby incorporated by reference to our definitive Proxy Statement for our 2020 Annual Meeting of Stockholders to be filed pursuant to Regulation 14A promulgated by the SEC under the Exchange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2020 Annual Meeting of Stockholders to be filed pursuant to Regulation 14A promulgated by the SEC under the Exchange Act.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1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33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580" w:type="dxa"/>
            <w:vAlign w:val="bottom"/>
            <w:vMerge w:val="restart"/>
          </w:tcPr>
          <w:p>
            <w:pPr>
              <w:ind w:left="220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00" w:type="dxa"/>
            <w:vAlign w:val="bottom"/>
          </w:tcPr>
          <w:p>
            <w:pPr>
              <w:jc w:val="center"/>
              <w:ind w:right="2028"/>
              <w:spacing w:after="0"/>
              <w:rPr>
                <w:sz w:val="20"/>
                <w:szCs w:val="20"/>
                <w:color w:val="auto"/>
              </w:rPr>
            </w:pPr>
            <w:r>
              <w:rPr>
                <w:rFonts w:ascii="Arial" w:cs="Arial" w:eastAsia="Arial" w:hAnsi="Arial"/>
                <w:sz w:val="14"/>
                <w:szCs w:val="14"/>
                <w:b w:val="1"/>
                <w:bCs w:val="1"/>
                <w:u w:val="single" w:color="auto"/>
                <w:color w:val="auto"/>
                <w:w w:val="98"/>
              </w:rPr>
              <w:t>Number</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1180" w:hanging="577"/>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130" w:lineRule="exact"/>
        <w:rPr>
          <w:sz w:val="20"/>
          <w:szCs w:val="20"/>
          <w:color w:val="auto"/>
        </w:rPr>
      </w:pPr>
    </w:p>
    <w:p>
      <w:pPr>
        <w:jc w:val="both"/>
        <w:ind w:left="1180" w:hanging="577"/>
        <w:spacing w:after="0" w:line="263"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143" w:lineRule="exact"/>
        <w:rPr>
          <w:sz w:val="20"/>
          <w:szCs w:val="20"/>
          <w:color w:val="auto"/>
        </w:rPr>
      </w:pPr>
    </w:p>
    <w:p>
      <w:pPr>
        <w:jc w:val="both"/>
        <w:ind w:left="1180" w:hanging="577"/>
        <w:spacing w:after="0" w:line="342"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36">
        <w:r>
          <w:rPr>
            <w:rFonts w:ascii="Arial" w:cs="Arial" w:eastAsia="Arial" w:hAnsi="Arial"/>
            <w:sz w:val="16"/>
            <w:szCs w:val="16"/>
            <w:u w:val="single" w:color="auto"/>
            <w:color w:val="0000FF"/>
          </w:rPr>
          <w:t>Certificate of Amendment to Restated Certificate of Incorporation of Universal Electronics Inc. (incorporated by reference to Exhibit 3.3</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to the Company's Annual Report on Form 10-K for the year ended December 31, 2017 filed on March 13, 2018 (File No. 0-21044))</w:t>
        </w:r>
      </w:hyperlink>
    </w:p>
    <w:p>
      <w:pPr>
        <w:spacing w:after="0" w:line="83" w:lineRule="exact"/>
        <w:rPr>
          <w:sz w:val="20"/>
          <w:szCs w:val="20"/>
          <w:color w:val="auto"/>
        </w:rPr>
      </w:pPr>
    </w:p>
    <w:p>
      <w:pPr>
        <w:jc w:val="both"/>
        <w:ind w:left="1180" w:hanging="577"/>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37">
        <w:r>
          <w:rPr>
            <w:rFonts w:ascii="Arial" w:cs="Arial" w:eastAsia="Arial" w:hAnsi="Arial"/>
            <w:sz w:val="18"/>
            <w:szCs w:val="18"/>
            <w:u w:val="single" w:color="auto"/>
            <w:color w:val="0000FF"/>
          </w:rPr>
          <w:t>Amended and Restated By-laws of Universal Electronics Inc. (incorporated by reference to Exhibit 3.4 to the Company's Annual Report</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on Form 10-K for the year ended December 31, 2017 filed on March 13, 2018 (File No.0-21044))</w:t>
        </w:r>
      </w:hyperlink>
    </w:p>
    <w:p>
      <w:pPr>
        <w:spacing w:after="0" w:line="130" w:lineRule="exact"/>
        <w:rPr>
          <w:sz w:val="20"/>
          <w:szCs w:val="20"/>
          <w:color w:val="auto"/>
        </w:rPr>
      </w:pPr>
    </w:p>
    <w:p>
      <w:pPr>
        <w:jc w:val="both"/>
        <w:ind w:left="1180" w:hanging="577"/>
        <w:spacing w:after="0" w:line="25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p>
      <w:pPr>
        <w:spacing w:after="0" w:line="147" w:lineRule="exact"/>
        <w:rPr>
          <w:sz w:val="20"/>
          <w:szCs w:val="20"/>
          <w:color w:val="auto"/>
        </w:rPr>
      </w:pPr>
    </w:p>
    <w:p>
      <w:pPr>
        <w:jc w:val="both"/>
        <w:ind w:left="1180" w:hanging="577"/>
        <w:spacing w:after="0" w:line="342"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38">
        <w:r>
          <w:rPr>
            <w:rFonts w:ascii="Arial" w:cs="Arial" w:eastAsia="Arial" w:hAnsi="Arial"/>
            <w:sz w:val="16"/>
            <w:szCs w:val="16"/>
            <w:u w:val="single" w:color="auto"/>
            <w:color w:val="0000FF"/>
          </w:rPr>
          <w:t>Common Stock Purchase Warrant dated March 9, 2016 between Universal Electronics Inc. and Comcast Corporation (incorporated by</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references to Exhibit 4.1 to the Company's Current Report on Form 8-K dated March 9, 2016 filed on March 9, 2016 (File No. 0-21044))</w:t>
        </w:r>
      </w:hyperlink>
    </w:p>
    <w:p>
      <w:pPr>
        <w:spacing w:after="0" w:line="83"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w:anchor="page87">
        <w:r>
          <w:rPr>
            <w:rFonts w:ascii="Arial" w:cs="Arial" w:eastAsia="Arial" w:hAnsi="Arial"/>
            <w:sz w:val="16"/>
            <w:szCs w:val="16"/>
            <w:u w:val="single" w:color="auto"/>
            <w:color w:val="0000FF"/>
          </w:rPr>
          <w:t>Description of Securities (filed herewith)</w:t>
        </w:r>
      </w:hyperlink>
    </w:p>
    <w:p>
      <w:pPr>
        <w:spacing w:after="0" w:line="185" w:lineRule="exact"/>
        <w:rPr>
          <w:sz w:val="20"/>
          <w:szCs w:val="20"/>
          <w:color w:val="auto"/>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39">
        <w:r>
          <w:rPr>
            <w:rFonts w:ascii="Arial" w:cs="Arial" w:eastAsia="Arial" w:hAnsi="Arial"/>
            <w:sz w:val="18"/>
            <w:szCs w:val="18"/>
            <w:u w:val="single" w:color="auto"/>
            <w:color w:val="0000FF"/>
          </w:rPr>
          <w:t>Form of Salary Continuation Agreement by and between Universal Electronics Inc. and certain employees (incorporated by reference to</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Exhibit 10.25 to the Company's Annual Report on Form 10-K for the year ended December 31, 1997, filed on March 30, 1998 (File No. 0-</w:t>
        </w:r>
      </w:hyperlink>
      <w:hyperlink r:id="rId39">
        <w:r>
          <w:rPr>
            <w:rFonts w:ascii="Arial" w:cs="Arial" w:eastAsia="Arial" w:hAnsi="Arial"/>
            <w:sz w:val="18"/>
            <w:szCs w:val="18"/>
            <w:u w:val="single" w:color="auto"/>
            <w:color w:val="0000FF"/>
          </w:rPr>
          <w:t>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143" w:lineRule="exact"/>
        <w:rPr>
          <w:rFonts w:ascii="Arial" w:cs="Arial" w:eastAsia="Arial" w:hAnsi="Arial"/>
          <w:sz w:val="18"/>
          <w:szCs w:val="18"/>
          <w:u w:val="single" w:color="auto"/>
          <w:color w:val="0000FF"/>
        </w:rPr>
      </w:pPr>
    </w:p>
    <w:p>
      <w:pPr>
        <w:jc w:val="both"/>
        <w:ind w:left="1180" w:hanging="789"/>
        <w:spacing w:after="0" w:line="259"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 (paper file)</w:t>
      </w:r>
    </w:p>
    <w:p>
      <w:pPr>
        <w:spacing w:after="0" w:line="146" w:lineRule="exact"/>
        <w:rPr>
          <w:rFonts w:ascii="Arial" w:cs="Arial" w:eastAsia="Arial" w:hAnsi="Arial"/>
          <w:sz w:val="18"/>
          <w:szCs w:val="18"/>
          <w:u w:val="single" w:color="auto"/>
          <w:color w:val="0000FF"/>
        </w:rPr>
      </w:pPr>
    </w:p>
    <w:p>
      <w:pPr>
        <w:jc w:val="both"/>
        <w:ind w:left="1180" w:hanging="789"/>
        <w:spacing w:after="0" w:line="30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40">
        <w:r>
          <w:rPr>
            <w:rFonts w:ascii="Arial" w:cs="Arial" w:eastAsia="Arial" w:hAnsi="Arial"/>
            <w:sz w:val="17"/>
            <w:szCs w:val="17"/>
            <w:u w:val="single" w:color="auto"/>
            <w:color w:val="0000FF"/>
          </w:rPr>
          <w:t>Form of Universal Electronics Inc. 2003 Stock Incentive Plan (incorporated by reference to Appendix B to the Company's Definitive</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Proxy Materials for the 2003 Annual Meeting of Stockholders of Universal Electronics Inc. filed on April 28, 2003 (File No. 0-21044))</w:t>
        </w:r>
      </w:hyperlink>
    </w:p>
    <w:p>
      <w:pPr>
        <w:spacing w:after="0" w:line="106" w:lineRule="exact"/>
        <w:rPr>
          <w:sz w:val="20"/>
          <w:szCs w:val="20"/>
          <w:color w:val="auto"/>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1">
        <w:r>
          <w:rPr>
            <w:rFonts w:ascii="Arial" w:cs="Arial" w:eastAsia="Arial" w:hAnsi="Arial"/>
            <w:sz w:val="18"/>
            <w:szCs w:val="18"/>
            <w:u w:val="single" w:color="auto"/>
            <w:color w:val="0000FF"/>
          </w:rPr>
          <w:t>Form of Executive Officer Employment Agreement dated April 23, 2003 by and between Universal Electronics Inc. and Paul D. Arling</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(incorporated by reference to Exhibit 10.42 to the Company's Annual Report on Form 10-K for the year ended December 31, 2003 filed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on March 14, 2004 (File No. 0-21044))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 (paper file)</w:t>
      </w:r>
    </w:p>
    <w:p>
      <w:pPr>
        <w:spacing w:after="0" w:line="143" w:lineRule="exact"/>
        <w:rPr>
          <w:rFonts w:ascii="Arial" w:cs="Arial" w:eastAsia="Arial" w:hAnsi="Arial"/>
          <w:sz w:val="18"/>
          <w:szCs w:val="18"/>
          <w:u w:val="single" w:color="auto"/>
          <w:color w:val="0000FF"/>
        </w:rPr>
      </w:pPr>
    </w:p>
    <w:p>
      <w:pPr>
        <w:jc w:val="both"/>
        <w:ind w:left="1180" w:hanging="789"/>
        <w:spacing w:after="0" w:line="30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42">
        <w:r>
          <w:rPr>
            <w:rFonts w:ascii="Arial" w:cs="Arial" w:eastAsia="Arial" w:hAnsi="Arial"/>
            <w:sz w:val="17"/>
            <w:szCs w:val="17"/>
            <w:u w:val="single" w:color="auto"/>
            <w:color w:val="0000FF"/>
          </w:rPr>
          <w:t>Form of Universal Electronics Inc. 2006 Stock Incentive Plan (incorporated by reference to Appendix C to the Company's Definitive</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Proxy Materials for the 2006 Annual Meeting of Stockholders of Universal Electronics Inc. filed on April 26, 2006 (File No. 0-21044))</w:t>
        </w:r>
      </w:hyperlink>
    </w:p>
    <w:p>
      <w:pPr>
        <w:spacing w:after="0" w:line="106" w:lineRule="exact"/>
        <w:rPr>
          <w:sz w:val="20"/>
          <w:szCs w:val="20"/>
          <w:color w:val="auto"/>
        </w:rPr>
      </w:pPr>
    </w:p>
    <w:p>
      <w:pPr>
        <w:jc w:val="both"/>
        <w:ind w:left="1180" w:hanging="744"/>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3">
        <w:r>
          <w:rPr>
            <w:rFonts w:ascii="Arial" w:cs="Arial" w:eastAsia="Arial" w:hAnsi="Arial"/>
            <w:sz w:val="18"/>
            <w:szCs w:val="18"/>
            <w:u w:val="single" w:color="auto"/>
            <w:color w:val="0000FF"/>
          </w:rPr>
          <w:t>Form of Lease dated January 31, 2007 between FirstCal Industrial 2 Acquisition, LLC and Universal Electronics Inc. (incorporated by</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reference to Exhibit 10.26 to the Company's Annual Report on Form 10-K for the year ended December 31, 2006 filed on March 16, 2007</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(File No. 0-21044))</w:t>
        </w:r>
      </w:hyperlink>
    </w:p>
    <w:p>
      <w:pPr>
        <w:spacing w:after="0" w:line="143" w:lineRule="exact"/>
        <w:rPr>
          <w:rFonts w:ascii="Arial" w:cs="Arial" w:eastAsia="Arial" w:hAnsi="Arial"/>
          <w:sz w:val="18"/>
          <w:szCs w:val="18"/>
          <w:u w:val="single" w:color="auto"/>
          <w:color w:val="0000FF"/>
        </w:rPr>
      </w:pPr>
    </w:p>
    <w:p>
      <w:pPr>
        <w:jc w:val="both"/>
        <w:ind w:left="1180" w:hanging="834"/>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4">
        <w:r>
          <w:rPr>
            <w:rFonts w:ascii="Arial" w:cs="Arial" w:eastAsia="Arial" w:hAnsi="Arial"/>
            <w:sz w:val="18"/>
            <w:szCs w:val="18"/>
            <w:u w:val="single" w:color="auto"/>
            <w:color w:val="0000FF"/>
          </w:rPr>
          <w:t>Form of Indemnification Agreements, dated as of January 2, 2007 between the Company and each director and certain officers of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Company (incorporated by reference to Exhibit 10.28 to the Company's Annual Report on Form 10-K for the year ended December 31,</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2006 filed on March 16, 2007 (File No. 0-21044))</w:t>
        </w:r>
      </w:hyperlink>
    </w:p>
    <w:p>
      <w:pPr>
        <w:sectPr>
          <w:pgSz w:w="11900" w:h="16838" w:orient="portrait"/>
          <w:cols w:equalWidth="0" w:num="1">
            <w:col w:w="11180"/>
          </w:cols>
          <w:pgMar w:left="320" w:top="118" w:right="399" w:bottom="1440" w:gutter="0" w:footer="0" w:header="0"/>
        </w:sectPr>
      </w:pPr>
    </w:p>
    <w:p>
      <w:pPr>
        <w:spacing w:after="0" w:line="211"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80"/>
          </w:cols>
          <w:pgMar w:left="320" w:top="118" w:right="39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3"/>
        </w:trPr>
        <w:tc>
          <w:tcPr>
            <w:tcW w:w="3300" w:type="dxa"/>
            <w:vAlign w:val="bottom"/>
          </w:tcPr>
          <w:p>
            <w:pPr>
              <w:jc w:val="center"/>
              <w:ind w:right="2048"/>
              <w:spacing w:after="0"/>
              <w:rPr>
                <w:sz w:val="20"/>
                <w:szCs w:val="20"/>
                <w:color w:val="auto"/>
              </w:rPr>
            </w:pPr>
            <w:r>
              <w:rPr>
                <w:rFonts w:ascii="Arial" w:cs="Arial" w:eastAsia="Arial" w:hAnsi="Arial"/>
                <w:sz w:val="14"/>
                <w:szCs w:val="14"/>
                <w:b w:val="1"/>
                <w:bCs w:val="1"/>
                <w:color w:val="auto"/>
                <w:w w:val="98"/>
              </w:rPr>
              <w:t>Exhibit</w:t>
            </w:r>
          </w:p>
        </w:tc>
        <w:tc>
          <w:tcPr>
            <w:tcW w:w="3580" w:type="dxa"/>
            <w:vAlign w:val="bottom"/>
            <w:vMerge w:val="restart"/>
          </w:tcPr>
          <w:p>
            <w:pPr>
              <w:ind w:left="220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00" w:type="dxa"/>
            <w:vAlign w:val="bottom"/>
          </w:tcPr>
          <w:p>
            <w:pPr>
              <w:jc w:val="center"/>
              <w:ind w:right="2028"/>
              <w:spacing w:after="0"/>
              <w:rPr>
                <w:sz w:val="20"/>
                <w:szCs w:val="20"/>
                <w:color w:val="auto"/>
              </w:rPr>
            </w:pPr>
            <w:r>
              <w:rPr>
                <w:rFonts w:ascii="Arial" w:cs="Arial" w:eastAsia="Arial" w:hAnsi="Arial"/>
                <w:sz w:val="14"/>
                <w:szCs w:val="14"/>
                <w:b w:val="1"/>
                <w:bCs w:val="1"/>
                <w:u w:val="single" w:color="auto"/>
                <w:color w:val="auto"/>
                <w:w w:val="98"/>
              </w:rPr>
              <w:t>Number</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80" w:hanging="830"/>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45">
        <w:r>
          <w:rPr>
            <w:rFonts w:ascii="Arial" w:cs="Arial" w:eastAsia="Arial" w:hAnsi="Arial"/>
            <w:sz w:val="18"/>
            <w:szCs w:val="18"/>
            <w:u w:val="single" w:color="auto"/>
            <w:color w:val="0000FF"/>
          </w:rPr>
          <w:t>Form of Restricted Stock Unit Agreement (incorporated herein by reference to Exhibit 4.5 to the Company's Form S-8 Registration</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Statement filed on March 27, 2008 (File No. 333-149926))</w:t>
        </w:r>
      </w:hyperlink>
    </w:p>
    <w:p>
      <w:pPr>
        <w:spacing w:after="0" w:line="130" w:lineRule="exact"/>
        <w:rPr>
          <w:sz w:val="20"/>
          <w:szCs w:val="20"/>
          <w:color w:val="auto"/>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46">
        <w:r>
          <w:rPr>
            <w:rFonts w:ascii="Arial" w:cs="Arial" w:eastAsia="Arial" w:hAnsi="Arial"/>
            <w:sz w:val="18"/>
            <w:szCs w:val="18"/>
            <w:u w:val="single" w:color="auto"/>
            <w:color w:val="0000FF"/>
          </w:rPr>
          <w:t>Pledge Agreement dated November 1, 2010 between UEI Hong Kong Private Limited and Enson Assets Limited to U.S. Bank National</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Association (incorporated by reference to Exhibit 10.30 to the Company's Annual Report on Form 10-K for the year ended December 31,</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2010 filed on March 16, 2011 (File No. 0-21044))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7">
        <w:r>
          <w:rPr>
            <w:rFonts w:ascii="Arial" w:cs="Arial" w:eastAsia="Arial" w:hAnsi="Arial"/>
            <w:sz w:val="18"/>
            <w:szCs w:val="18"/>
            <w:u w:val="single" w:color="auto"/>
            <w:color w:val="0000FF"/>
          </w:rPr>
          <w:t>Security Agreement dated November 1, 2010 from Universal Electronics Inc. to U.S. Bank National Association (incorporated by</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reference to Exhibit 10.31 to the Company's Annual Report on Form 10-K for the year ended December 31, 2010 filed on March 16, 2011</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(File No. 0-21044))</w:t>
        </w:r>
      </w:hyperlink>
    </w:p>
    <w:p>
      <w:pPr>
        <w:spacing w:after="0" w:line="143" w:lineRule="exact"/>
        <w:rPr>
          <w:rFonts w:ascii="Arial" w:cs="Arial" w:eastAsia="Arial" w:hAnsi="Arial"/>
          <w:sz w:val="18"/>
          <w:szCs w:val="18"/>
          <w:u w:val="single" w:color="auto"/>
          <w:color w:val="0000FF"/>
        </w:rPr>
      </w:pPr>
    </w:p>
    <w:p>
      <w:pPr>
        <w:ind w:left="34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48">
        <w:r>
          <w:rPr>
            <w:rFonts w:ascii="Arial" w:cs="Arial" w:eastAsia="Arial" w:hAnsi="Arial"/>
            <w:sz w:val="16"/>
            <w:szCs w:val="16"/>
            <w:u w:val="single" w:color="auto"/>
            <w:color w:val="0000FF"/>
          </w:rPr>
          <w:t>Universal Electronics Inc. 2010 Stock Incentive Plan (incorporated by reference to Appendix C to the Company's Proxy Statement for its</w:t>
        </w:r>
      </w:hyperlink>
    </w:p>
    <w:p>
      <w:pPr>
        <w:spacing w:after="0" w:line="23" w:lineRule="exact"/>
        <w:rPr>
          <w:rFonts w:ascii="Arial" w:cs="Arial" w:eastAsia="Arial" w:hAnsi="Arial"/>
          <w:sz w:val="18"/>
          <w:szCs w:val="18"/>
          <w:u w:val="single" w:color="auto"/>
          <w:color w:val="0000FF"/>
        </w:rPr>
      </w:pPr>
    </w:p>
    <w:p>
      <w:pPr>
        <w:ind w:left="118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2010 Annual Meeting of Stockholders filed on April 30, 2010 (File No. 0-21044))</w:t>
        </w:r>
      </w:hyperlink>
    </w:p>
    <w:p>
      <w:pPr>
        <w:spacing w:after="0" w:line="170" w:lineRule="exact"/>
        <w:rPr>
          <w:rFonts w:ascii="Arial" w:cs="Arial" w:eastAsia="Arial" w:hAnsi="Arial"/>
          <w:sz w:val="18"/>
          <w:szCs w:val="18"/>
          <w:u w:val="single" w:color="auto"/>
          <w:color w:val="0000FF"/>
        </w:rPr>
      </w:pPr>
    </w:p>
    <w:p>
      <w:pPr>
        <w:jc w:val="both"/>
        <w:ind w:left="1180" w:hanging="834"/>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9">
        <w:r>
          <w:rPr>
            <w:rFonts w:ascii="Arial" w:cs="Arial" w:eastAsia="Arial" w:hAnsi="Arial"/>
            <w:sz w:val="18"/>
            <w:szCs w:val="18"/>
            <w:u w:val="single" w:color="auto"/>
            <w:color w:val="0000FF"/>
          </w:rPr>
          <w:t>Form of Option Agreement used in connection with the Universal Electronics Inc. 2010 Stock Incentive Plan (incorporated by reference to</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Exhibit 4.6 to the Company's Registration Statement on Form S-8 filed on July 5, 2011 (File No. 333-175345))</w:t>
        </w:r>
      </w:hyperlink>
    </w:p>
    <w:p>
      <w:pPr>
        <w:spacing w:after="0" w:line="130" w:lineRule="exact"/>
        <w:rPr>
          <w:sz w:val="20"/>
          <w:szCs w:val="20"/>
          <w:color w:val="auto"/>
        </w:rPr>
      </w:pPr>
    </w:p>
    <w:p>
      <w:pPr>
        <w:jc w:val="both"/>
        <w:ind w:left="1180" w:hanging="834"/>
        <w:spacing w:after="0" w:line="342"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50">
        <w:r>
          <w:rPr>
            <w:rFonts w:ascii="Arial" w:cs="Arial" w:eastAsia="Arial" w:hAnsi="Arial"/>
            <w:sz w:val="16"/>
            <w:szCs w:val="16"/>
            <w:u w:val="single" w:color="auto"/>
            <w:color w:val="0000FF"/>
          </w:rPr>
          <w:t>Form of Restricted Stock Unit Agreement used in connection with the Universal Electronics Inc. 2010 Stock Incentive Plan (incorporated</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by reference to Exhibit 4.7 to the Company's Registration Statement on Form S-8 filed on July 5, 2011 (File No. 333-175345))</w:t>
        </w:r>
      </w:hyperlink>
    </w:p>
    <w:p>
      <w:pPr>
        <w:spacing w:after="0" w:line="97" w:lineRule="exact"/>
        <w:rPr>
          <w:sz w:val="20"/>
          <w:szCs w:val="20"/>
          <w:color w:val="auto"/>
        </w:rPr>
      </w:pPr>
    </w:p>
    <w:p>
      <w:pPr>
        <w:jc w:val="both"/>
        <w:ind w:left="1180" w:hanging="834"/>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1">
        <w:r>
          <w:rPr>
            <w:rFonts w:ascii="Arial" w:cs="Arial" w:eastAsia="Arial" w:hAnsi="Arial"/>
            <w:sz w:val="18"/>
            <w:szCs w:val="18"/>
            <w:u w:val="single" w:color="auto"/>
            <w:color w:val="0000FF"/>
          </w:rPr>
          <w:t>Form of Second Amendment to Executive Officer Employment Agreement dated February 29, 2008 by and between Universal Electronics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 and Paul D. Arling (incorporated by reference to Exhibit 10.31 to the Company's Annual Report on Form 10-K for the year ended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December 31, 2012 filed on March 14, 2013 (File No. 0-21044))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2">
        <w:r>
          <w:rPr>
            <w:rFonts w:ascii="Arial" w:cs="Arial" w:eastAsia="Arial" w:hAnsi="Arial"/>
            <w:sz w:val="18"/>
            <w:szCs w:val="18"/>
            <w:u w:val="single" w:color="auto"/>
            <w:color w:val="0000FF"/>
          </w:rPr>
          <w:t>Acknowledgment and Agreement of Pledgor dated October 26, 2011 from UEI Hong Kong Private Limited (incorporated by reference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Exhibit 10.36 to the Company's Annual Report on Form 10-K for the year ended December 31, 2011 filed on March 14, 2012 (File No. 0-</w:t>
        </w:r>
      </w:hyperlink>
      <w:hyperlink r:id="rId52">
        <w:r>
          <w:rPr>
            <w:rFonts w:ascii="Arial" w:cs="Arial" w:eastAsia="Arial" w:hAnsi="Arial"/>
            <w:sz w:val="18"/>
            <w:szCs w:val="18"/>
            <w:u w:val="single" w:color="auto"/>
            <w:color w:val="0000FF"/>
          </w:rPr>
          <w:t>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3">
        <w:r>
          <w:rPr>
            <w:rFonts w:ascii="Arial" w:cs="Arial" w:eastAsia="Arial" w:hAnsi="Arial"/>
            <w:sz w:val="18"/>
            <w:szCs w:val="18"/>
            <w:u w:val="single" w:color="auto"/>
            <w:color w:val="0000FF"/>
          </w:rPr>
          <w:t>Standard Office Lease between Universal Electronics Inc. and The Realty Associates Fund VIII, L.P., dated May 11, 2012 (incorporated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by references to Exhibit 10.1 to the Company's Current Report on Form 8-K dated May 11, 2012 filed on May 18, 2012 (File No. 0-</w:t>
        </w:r>
      </w:hyperlink>
      <w:hyperlink r:id="rId53">
        <w:r>
          <w:rPr>
            <w:rFonts w:ascii="Arial" w:cs="Arial" w:eastAsia="Arial" w:hAnsi="Arial"/>
            <w:sz w:val="18"/>
            <w:szCs w:val="18"/>
            <w:u w:val="single" w:color="auto"/>
            <w:color w:val="0000FF"/>
          </w:rPr>
          <w:t>21044))</w:t>
        </w:r>
      </w:hyperlink>
    </w:p>
    <w:p>
      <w:pPr>
        <w:spacing w:after="0" w:line="143" w:lineRule="exact"/>
        <w:rPr>
          <w:rFonts w:ascii="Arial" w:cs="Arial" w:eastAsia="Arial" w:hAnsi="Arial"/>
          <w:sz w:val="18"/>
          <w:szCs w:val="18"/>
          <w:u w:val="single" w:color="auto"/>
          <w:color w:val="0000FF"/>
        </w:rPr>
      </w:pPr>
    </w:p>
    <w:p>
      <w:pPr>
        <w:jc w:val="both"/>
        <w:ind w:left="1180" w:hanging="834"/>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4">
        <w:r>
          <w:rPr>
            <w:rFonts w:ascii="Arial" w:cs="Arial" w:eastAsia="Arial" w:hAnsi="Arial"/>
            <w:sz w:val="18"/>
            <w:szCs w:val="18"/>
            <w:u w:val="single" w:color="auto"/>
            <w:color w:val="0000FF"/>
          </w:rPr>
          <w:t>Summary of Universal Electronics Inc. 2013 Director Compensation (incorporated by reference to Exhibit 10.34 to the Company's Annual</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Report on 10-K for the year ended December 31, 2013 filed on March 12, 2014 (File No. 0-21044))</w:t>
        </w:r>
      </w:hyperlink>
    </w:p>
    <w:p>
      <w:pPr>
        <w:spacing w:after="0" w:line="130" w:lineRule="exact"/>
        <w:rPr>
          <w:sz w:val="20"/>
          <w:szCs w:val="20"/>
          <w:color w:val="auto"/>
        </w:rPr>
      </w:pPr>
    </w:p>
    <w:p>
      <w:pPr>
        <w:jc w:val="both"/>
        <w:ind w:left="1180" w:hanging="834"/>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5">
        <w:r>
          <w:rPr>
            <w:rFonts w:ascii="Arial" w:cs="Arial" w:eastAsia="Arial" w:hAnsi="Arial"/>
            <w:sz w:val="18"/>
            <w:szCs w:val="18"/>
            <w:u w:val="single" w:color="auto"/>
            <w:color w:val="0000FF"/>
          </w:rPr>
          <w:t>Universal Electronics Inc. 2003 Stock Incentive Plan, Universal Electronics Inc. Compensation Plan for Outside Members of the Board of</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Directors (2001), and Universal Electronics Inc. 2004 Directors' Compensation Plan (incorporated by reference to the Company's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Registration Statement on Form S-8 filed on March 12, 2014 (File No. 333-194511))</w:t>
        </w:r>
      </w:hyperlink>
    </w:p>
    <w:p>
      <w:pPr>
        <w:spacing w:after="0" w:line="143" w:lineRule="exact"/>
        <w:rPr>
          <w:rFonts w:ascii="Arial" w:cs="Arial" w:eastAsia="Arial" w:hAnsi="Arial"/>
          <w:sz w:val="18"/>
          <w:szCs w:val="18"/>
          <w:u w:val="single" w:color="auto"/>
          <w:color w:val="0000FF"/>
        </w:rPr>
      </w:pPr>
    </w:p>
    <w:p>
      <w:pPr>
        <w:jc w:val="both"/>
        <w:ind w:left="1180" w:hanging="834"/>
        <w:spacing w:after="0" w:line="277"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56">
        <w:r>
          <w:rPr>
            <w:rFonts w:ascii="Arial" w:cs="Arial" w:eastAsia="Arial" w:hAnsi="Arial"/>
            <w:sz w:val="18"/>
            <w:szCs w:val="18"/>
            <w:u w:val="single" w:color="auto"/>
            <w:color w:val="0000FF"/>
          </w:rPr>
          <w:t>Universal Electronics Inc. 2014 Stock Incentive Plan (incorporated by reference to Exhibit 4.5 to the Company's Registration Statement</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on Form S-8 filed on August 12, 2014 (File No. 333-198083))</w:t>
        </w:r>
      </w:hyperlink>
    </w:p>
    <w:p>
      <w:pPr>
        <w:spacing w:after="0" w:line="130" w:lineRule="exact"/>
        <w:rPr>
          <w:sz w:val="20"/>
          <w:szCs w:val="20"/>
          <w:color w:val="auto"/>
        </w:rPr>
      </w:pPr>
    </w:p>
    <w:p>
      <w:pPr>
        <w:jc w:val="both"/>
        <w:ind w:left="1180" w:hanging="834"/>
        <w:spacing w:after="0" w:line="308" w:lineRule="auto"/>
        <w:tabs>
          <w:tab w:leader="none" w:pos="116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57">
        <w:r>
          <w:rPr>
            <w:rFonts w:ascii="Arial" w:cs="Arial" w:eastAsia="Arial" w:hAnsi="Arial"/>
            <w:sz w:val="17"/>
            <w:szCs w:val="17"/>
            <w:u w:val="single" w:color="auto"/>
            <w:color w:val="0000FF"/>
          </w:rPr>
          <w:t>Form of Option Agreement used in connection with the Universal Electronics Inc. 2014 Stock Incentive Plan (incorporated by reference to</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Exhibit 4.6 to the Company's Registration Statement on Form S-8 filed on August 12, 2014 (File No. 333-198083))</w:t>
        </w:r>
      </w:hyperlink>
    </w:p>
    <w:p>
      <w:pPr>
        <w:spacing w:after="0" w:line="106" w:lineRule="exact"/>
        <w:rPr>
          <w:sz w:val="20"/>
          <w:szCs w:val="20"/>
          <w:color w:val="auto"/>
        </w:rPr>
      </w:pPr>
    </w:p>
    <w:p>
      <w:pPr>
        <w:jc w:val="both"/>
        <w:ind w:left="1180" w:hanging="834"/>
        <w:spacing w:after="0" w:line="342" w:lineRule="auto"/>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58">
        <w:r>
          <w:rPr>
            <w:rFonts w:ascii="Arial" w:cs="Arial" w:eastAsia="Arial" w:hAnsi="Arial"/>
            <w:sz w:val="16"/>
            <w:szCs w:val="16"/>
            <w:u w:val="single" w:color="auto"/>
            <w:color w:val="0000FF"/>
          </w:rPr>
          <w:t>Form of Restricted Stock Unit Agreement used in connection with the Universal Electronics Inc. 2014 Stock Incentive Plan (incorporated</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by reference to Exhibit 4.7 to the Company's Registration Statement on Form S-8 filed on August 12, 2014 (File No. 333-198083))</w:t>
        </w:r>
      </w:hyperlink>
    </w:p>
    <w:p>
      <w:pPr>
        <w:spacing w:after="0" w:line="83" w:lineRule="exact"/>
        <w:rPr>
          <w:sz w:val="20"/>
          <w:szCs w:val="20"/>
          <w:color w:val="auto"/>
        </w:rPr>
      </w:pPr>
    </w:p>
    <w:p>
      <w:pPr>
        <w:jc w:val="right"/>
        <w:ind w:left="40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59">
        <w:r>
          <w:rPr>
            <w:rFonts w:ascii="Arial" w:cs="Arial" w:eastAsia="Arial" w:hAnsi="Arial"/>
            <w:sz w:val="17"/>
            <w:szCs w:val="17"/>
            <w:u w:val="single" w:color="auto"/>
            <w:color w:val="0000FF"/>
          </w:rPr>
          <w:t>Registration Rights Agreement dated March 9, 2016 between Universal Electronics Inc. and Comcast Corporation (incorporated by</w:t>
        </w:r>
      </w:hyperlink>
      <w:r>
        <w:rPr>
          <w:rFonts w:ascii="Arial" w:cs="Arial" w:eastAsia="Arial" w:hAnsi="Arial"/>
          <w:sz w:val="17"/>
          <w:szCs w:val="17"/>
          <w:color w:val="auto"/>
        </w:rPr>
        <w:t xml:space="preserve"> </w:t>
      </w:r>
      <w:hyperlink r:id="rId59">
        <w:r>
          <w:rPr>
            <w:rFonts w:ascii="Arial" w:cs="Arial" w:eastAsia="Arial" w:hAnsi="Arial"/>
            <w:sz w:val="17"/>
            <w:szCs w:val="17"/>
            <w:u w:val="single" w:color="auto"/>
            <w:color w:val="0000FF"/>
          </w:rPr>
          <w:t>references to Exhibit 10.1 to the Company's Current Report on Form 8-K dated March 9, 2016 filed on March 9, 2016 (File No. 0-21044))</w:t>
        </w:r>
      </w:hyperlink>
    </w:p>
    <w:p>
      <w:pPr>
        <w:spacing w:after="0" w:line="106" w:lineRule="exact"/>
        <w:rPr>
          <w:sz w:val="20"/>
          <w:szCs w:val="20"/>
          <w:color w:val="auto"/>
        </w:rPr>
      </w:pPr>
    </w:p>
    <w:p>
      <w:pPr>
        <w:jc w:val="both"/>
        <w:ind w:left="1180" w:hanging="834"/>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0">
        <w:r>
          <w:rPr>
            <w:rFonts w:ascii="Arial" w:cs="Arial" w:eastAsia="Arial" w:hAnsi="Arial"/>
            <w:sz w:val="18"/>
            <w:szCs w:val="18"/>
            <w:u w:val="single" w:color="auto"/>
            <w:color w:val="0000FF"/>
          </w:rPr>
          <w:t>Employment and Separation Agreement and General Release made and entered into on October 26, 2016 between Universal Electronics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BV and Paul J.M. Bennett (incorporated by reference to Exhibit 10.34 to the Company's Annual Report on Form 10-K for the year ended</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December 31, 2016 filed on March 9, 2017 (File No. 0-21044))</w:t>
        </w:r>
      </w:hyperlink>
    </w:p>
    <w:p>
      <w:pPr>
        <w:spacing w:after="0" w:line="143" w:lineRule="exact"/>
        <w:rPr>
          <w:rFonts w:ascii="Arial" w:cs="Arial" w:eastAsia="Arial" w:hAnsi="Arial"/>
          <w:sz w:val="18"/>
          <w:szCs w:val="18"/>
          <w:u w:val="single" w:color="auto"/>
          <w:color w:val="0000FF"/>
        </w:rPr>
      </w:pPr>
    </w:p>
    <w:p>
      <w:pPr>
        <w:jc w:val="both"/>
        <w:ind w:left="1180" w:hanging="789"/>
        <w:spacing w:after="0" w:line="263"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61">
        <w:r>
          <w:rPr>
            <w:rFonts w:ascii="Arial" w:cs="Arial" w:eastAsia="Arial" w:hAnsi="Arial"/>
            <w:sz w:val="18"/>
            <w:szCs w:val="18"/>
            <w:u w:val="single" w:color="auto"/>
            <w:color w:val="0000FF"/>
          </w:rPr>
          <w:t>Second Amended and Restated Credit Agreement dated October 27, 2017 between Universal Electronics Inc. and U.S. Bank National</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Association and Wells Fargo Bank, National Association (incorporated by reference to Exhibit 10.39 to the Company's Annual Report on</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form 10-K for the year ended December 31, 2017 filed on March 13, 2018 (File No. 0-21044))</w:t>
        </w:r>
      </w:hyperlink>
    </w:p>
    <w:p>
      <w:pPr>
        <w:sectPr>
          <w:pgSz w:w="11900" w:h="16838" w:orient="portrait"/>
          <w:cols w:equalWidth="0" w:num="1">
            <w:col w:w="11180"/>
          </w:cols>
          <w:pgMar w:left="320" w:top="118" w:right="399" w:bottom="1440" w:gutter="0" w:footer="0" w:header="0"/>
        </w:sectPr>
      </w:pPr>
    </w:p>
    <w:p>
      <w:pPr>
        <w:spacing w:after="0" w:line="211"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80"/>
          </w:cols>
          <w:pgMar w:left="320" w:top="118" w:right="39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180" w:type="dxa"/>
            <w:vAlign w:val="bottom"/>
            <w:gridSpan w:val="4"/>
          </w:tcPr>
          <w:p>
            <w:pPr>
              <w:spacing w:after="0"/>
              <w:rPr>
                <w:rFonts w:ascii="Arial" w:cs="Arial" w:eastAsia="Arial" w:hAnsi="Arial"/>
                <w:sz w:val="14"/>
                <w:szCs w:val="14"/>
                <w:b w:val="1"/>
                <w:bCs w:val="1"/>
                <w:color w:val="0000EE"/>
                <w:w w:val="98"/>
              </w:rPr>
            </w:pPr>
            <w:hyperlink w:anchor="page3">
              <w:r>
                <w:rPr>
                  <w:rFonts w:ascii="Arial" w:cs="Arial" w:eastAsia="Arial" w:hAnsi="Arial"/>
                  <w:sz w:val="14"/>
                  <w:szCs w:val="14"/>
                  <w:b w:val="1"/>
                  <w:bCs w:val="1"/>
                  <w:color w:val="0000EE"/>
                  <w:w w:val="98"/>
                </w:rPr>
                <w:t>Table of Contents</w:t>
              </w:r>
            </w:hyperlink>
          </w:p>
        </w:tc>
        <w:tc>
          <w:tcPr>
            <w:tcW w:w="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2"/>
        </w:trPr>
        <w:tc>
          <w:tcPr>
            <w:tcW w:w="3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430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Borders>
              <w:bottom w:val="single" w:sz="8" w:color="auto"/>
            </w:tcBorders>
            <w:gridSpan w:val="5"/>
            <w:vMerge w:val="continue"/>
          </w:tcPr>
          <w:p>
            <w:pPr>
              <w:spacing w:after="0"/>
              <w:rPr>
                <w:sz w:val="13"/>
                <w:szCs w:val="13"/>
                <w:color w:val="auto"/>
              </w:rPr>
            </w:pPr>
          </w:p>
        </w:tc>
        <w:tc>
          <w:tcPr>
            <w:tcW w:w="43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First Amendment to Second Amended and Restated Credit Agreement dated as of May 4, 2018 between Universal Electronics Inc. and</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U.S. Bank National Association and Wells Fargo Bank, National Association (incorporated in reference to Exhibit 10.1 to the Company's</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Annual Report on Form 10-K for the quarter ended June 30, 2018 filed on August 8, 2018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10.29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Share Transfer Agreement dated April 23, 2018 between C.G. Development Limited and Guangzhou MuXia Hotel Management Co. Ltd.</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and Gemstar Technology (China) Co., Ltd. (incorporated by reference to Exhibit 10.3 to the Company's Annual Report on form 10-Q for</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the quarter ended June 30, 2018 filed on March 13, 2018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Universal Electronics Inc. 2018 Equity and Incentive Compensation Plan (incorporated by reference to Exhibit 4.5 to the Company's</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Registration Statement on form S-8 filed on September 26, 2018 (File No. 333-227594))</w:t>
              </w:r>
            </w:hyperlink>
          </w:p>
        </w:tc>
        <w:tc>
          <w:tcPr>
            <w:tcW w:w="36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Form of Restricted Stock Agreement under the 2018 Equity and Incentive Compensation Plan (incorporated by reference to Exhibit 10.5</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to the Company's Annual Report on form 10-Q for the quarter ended June 30, 2018 filed on March 13, 2018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10.32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Form of Stock Option Agreement under the 2018 Equity and Incentive Compensation Plan (incorporated by reference to Exhibit 10.6 to</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the Company's Current Report on Form 10-Q dated June 30, 2018 filed on March 13, 2019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88"/>
              </w:rPr>
              <w:t>10.33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Second Amendment to Second Amended and Restated Credit Agreement (incorporated by reference to Exhibit 10.1 to the Company's</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Current Report on form 8-K dated December 27, 2018 filed on January 3, 2019 (File No. 0-21044))</w:t>
              </w:r>
            </w:hyperlink>
          </w:p>
        </w:tc>
        <w:tc>
          <w:tcPr>
            <w:tcW w:w="28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60" w:type="dxa"/>
            <w:vAlign w:val="bottom"/>
            <w:gridSpan w:val="2"/>
          </w:tcPr>
          <w:p>
            <w:pPr>
              <w:jc w:val="center"/>
              <w:ind w:left="231"/>
              <w:spacing w:after="0"/>
              <w:rPr>
                <w:sz w:val="20"/>
                <w:szCs w:val="20"/>
                <w:color w:val="auto"/>
              </w:rPr>
            </w:pPr>
            <w:r>
              <w:rPr>
                <w:rFonts w:ascii="Arial" w:cs="Arial" w:eastAsia="Arial" w:hAnsi="Arial"/>
                <w:sz w:val="18"/>
                <w:szCs w:val="18"/>
                <w:color w:val="auto"/>
                <w:w w:val="95"/>
              </w:rPr>
              <w:t>*10.34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Transition and Separation Agreement and General Release made and entered into on January 18, 2019 between Universal Electronics Inc.</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FF"/>
            </w:tcBorders>
            <w:gridSpan w:val="17"/>
          </w:tcPr>
          <w:p>
            <w:pPr>
              <w:spacing w:after="0" w:line="19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and Louis S. Hughes (incorporated by reference to Exhibit 10.36 to the Company's Annual Report on form 10-K for the year ended</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December 31, 2018 filed on March 14, 2019 (File No. 0-21044)))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14.1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Code of Conduct (incorporated by reference to Exhibit 14.1 to the Company's Annual Report on Form 10-K for the year ended December</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31, 2003 filed on March 14, 2004 (File No. 0-21044))</w:t>
              </w:r>
            </w:hyperlink>
          </w:p>
        </w:tc>
        <w:tc>
          <w:tcPr>
            <w:tcW w:w="0" w:type="dxa"/>
            <w:vAlign w:val="bottom"/>
          </w:tcPr>
          <w:p>
            <w:pPr>
              <w:spacing w:after="0"/>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21.1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List of Subsidiaries of the Registrant (filed herewith)</w:t>
              </w:r>
            </w:hyperlink>
          </w:p>
        </w:tc>
        <w:tc>
          <w:tcPr>
            <w:tcW w:w="60" w:type="dxa"/>
            <w:vAlign w:val="bottom"/>
            <w:tcBorders>
              <w:top w:val="single" w:sz="8" w:color="0000FF"/>
            </w:tcBorders>
          </w:tcPr>
          <w:p>
            <w:pPr>
              <w:spacing w:after="0"/>
              <w:rPr>
                <w:sz w:val="24"/>
                <w:szCs w:val="24"/>
                <w:color w:val="auto"/>
              </w:rPr>
            </w:pPr>
          </w:p>
        </w:tc>
        <w:tc>
          <w:tcPr>
            <w:tcW w:w="61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Consent of Independent Registered Public Accounting Firm (filed herewith)</w:t>
              </w:r>
            </w:hyperlink>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24.1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tcBorders>
              <w:top w:val="single" w:sz="8" w:color="0000FF"/>
              <w:bottom w:val="single" w:sz="8" w:color="0000EE"/>
            </w:tcBorders>
            <w:gridSpan w:val="5"/>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Power of Attorney (filed as part of the signature page hereto)</w:t>
              </w:r>
            </w:hyperlink>
          </w:p>
        </w:tc>
        <w:tc>
          <w:tcPr>
            <w:tcW w:w="1080" w:type="dxa"/>
            <w:vAlign w:val="bottom"/>
            <w:tcBorders>
              <w:top w:val="single" w:sz="8" w:color="0000FF"/>
            </w:tcBorders>
            <w:gridSpan w:val="2"/>
          </w:tcPr>
          <w:p>
            <w:pPr>
              <w:spacing w:after="0"/>
              <w:rPr>
                <w:sz w:val="24"/>
                <w:szCs w:val="24"/>
                <w:color w:val="auto"/>
              </w:rPr>
            </w:pPr>
          </w:p>
        </w:tc>
        <w:tc>
          <w:tcPr>
            <w:tcW w:w="4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Rule 13a-14(a) Certifications of the Chief Executive Officer (filed herewith)</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7"/>
          </w:tcPr>
          <w:p>
            <w:pPr>
              <w:spacing w:after="0"/>
              <w:rPr>
                <w:rFonts w:ascii="Arial" w:cs="Arial" w:eastAsia="Arial" w:hAnsi="Arial"/>
                <w:sz w:val="18"/>
                <w:szCs w:val="18"/>
                <w:color w:val="0000FF"/>
                <w:w w:val="95"/>
              </w:rPr>
            </w:pPr>
            <w:hyperlink w:anchor="page93">
              <w:r>
                <w:rPr>
                  <w:rFonts w:ascii="Arial" w:cs="Arial" w:eastAsia="Arial" w:hAnsi="Arial"/>
                  <w:sz w:val="18"/>
                  <w:szCs w:val="18"/>
                  <w:color w:val="0000FF"/>
                  <w:w w:val="95"/>
                </w:rPr>
                <w:t>Rule 13a-14(a) Certifications of the Chief Financial Officer (principal financial officer and principal accounting officer) (filed herewith)</w:t>
              </w:r>
            </w:hyperlink>
          </w:p>
        </w:tc>
        <w:tc>
          <w:tcPr>
            <w:tcW w:w="0" w:type="dxa"/>
            <w:vAlign w:val="bottom"/>
          </w:tcPr>
          <w:p>
            <w:pPr>
              <w:spacing w:after="0"/>
              <w:rPr>
                <w:sz w:val="1"/>
                <w:szCs w:val="1"/>
                <w:color w:val="auto"/>
              </w:rPr>
            </w:pPr>
          </w:p>
        </w:tc>
      </w:tr>
      <w:tr>
        <w:trPr>
          <w:trHeight w:val="372"/>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top w:val="single" w:sz="8" w:color="0000FF"/>
            </w:tcBorders>
            <w:gridSpan w:val="1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Section 1350 Certifications of the Chief Executive Officer (furnished herewith)</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20" w:type="dxa"/>
            <w:vAlign w:val="bottom"/>
            <w:gridSpan w:val="9"/>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60" w:type="dxa"/>
            <w:vAlign w:val="bottom"/>
            <w:gridSpan w:val="2"/>
          </w:tcPr>
          <w:p>
            <w:pPr>
              <w:jc w:val="center"/>
              <w:ind w:left="251"/>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FF"/>
            </w:tcBorders>
            <w:gridSpan w:val="17"/>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Section 1350 Certifications of the Chief Financial Officer (principal financial officer and principal accounting officer) (furnished</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95">
              <w:r>
                <w:rPr>
                  <w:rFonts w:ascii="Arial" w:cs="Arial" w:eastAsia="Arial" w:hAnsi="Arial"/>
                  <w:sz w:val="18"/>
                  <w:szCs w:val="18"/>
                  <w:color w:val="0000FF"/>
                  <w:w w:val="91"/>
                </w:rPr>
                <w:t>herewith)</w:t>
              </w:r>
            </w:hyperlink>
          </w:p>
        </w:tc>
        <w:tc>
          <w:tcPr>
            <w:tcW w:w="93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2"/>
              </w:rPr>
              <w:t>101.INS</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1"/>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0"/>
              </w:rPr>
              <w:t>101.SCH</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7"/>
              </w:rPr>
              <w:t>101.CAL</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1"/>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2"/>
              </w:rPr>
              <w:t>101.DEF</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98"/>
              </w:rPr>
              <w:t>101.LAB</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1"/>
        </w:trPr>
        <w:tc>
          <w:tcPr>
            <w:tcW w:w="1180" w:type="dxa"/>
            <w:vAlign w:val="bottom"/>
            <w:gridSpan w:val="4"/>
          </w:tcPr>
          <w:p>
            <w:pPr>
              <w:jc w:val="center"/>
              <w:spacing w:after="0"/>
              <w:rPr>
                <w:sz w:val="20"/>
                <w:szCs w:val="20"/>
                <w:color w:val="auto"/>
              </w:rPr>
            </w:pPr>
            <w:r>
              <w:rPr>
                <w:rFonts w:ascii="Arial" w:cs="Arial" w:eastAsia="Arial" w:hAnsi="Arial"/>
                <w:sz w:val="18"/>
                <w:szCs w:val="18"/>
                <w:color w:val="auto"/>
                <w:w w:val="88"/>
              </w:rPr>
              <w:t>101.PRE</w:t>
            </w:r>
          </w:p>
        </w:tc>
        <w:tc>
          <w:tcPr>
            <w:tcW w:w="1000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Management contract or compensation plan or arrangement identified pursuant to Items 15(a)(3) and 15(c) of Form 10-K.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180"/>
          </w:cols>
          <w:pgMar w:left="320" w:top="114" w:right="399" w:bottom="1440"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80"/>
          </w:cols>
          <w:pgMar w:left="320" w:top="114" w:right="39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Scottsdale, State of Arizona.</w:t>
      </w: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2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240"/>
        <w:spacing w:after="0"/>
        <w:tabs>
          <w:tab w:leader="none" w:pos="62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13,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16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2800" w:type="dxa"/>
            <w:vAlign w:val="bottom"/>
          </w:tcPr>
          <w:p>
            <w:pPr>
              <w:ind w:left="980"/>
              <w:spacing w:after="0"/>
              <w:rPr>
                <w:sz w:val="20"/>
                <w:szCs w:val="20"/>
                <w:color w:val="auto"/>
              </w:rPr>
            </w:pPr>
            <w:r>
              <w:rPr>
                <w:rFonts w:ascii="Arial" w:cs="Arial" w:eastAsia="Arial" w:hAnsi="Arial"/>
                <w:sz w:val="14"/>
                <w:szCs w:val="14"/>
                <w:b w:val="1"/>
                <w:bCs w:val="1"/>
                <w:color w:val="auto"/>
              </w:rPr>
              <w:t>SIGNATURE</w:t>
            </w:r>
          </w:p>
        </w:tc>
        <w:tc>
          <w:tcPr>
            <w:tcW w:w="1740" w:type="dxa"/>
            <w:vAlign w:val="bottom"/>
          </w:tcPr>
          <w:p>
            <w:pPr>
              <w:jc w:val="center"/>
              <w:ind w:left="512"/>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362"/>
        </w:trPr>
        <w:tc>
          <w:tcPr>
            <w:tcW w:w="6160" w:type="dxa"/>
            <w:vAlign w:val="bottom"/>
          </w:tcPr>
          <w:p>
            <w:pPr>
              <w:spacing w:after="0"/>
              <w:rPr>
                <w:sz w:val="20"/>
                <w:szCs w:val="20"/>
                <w:color w:val="auto"/>
              </w:rPr>
            </w:pPr>
            <w:r>
              <w:rPr>
                <w:rFonts w:ascii="Arial" w:cs="Arial" w:eastAsia="Arial" w:hAnsi="Arial"/>
                <w:sz w:val="18"/>
                <w:szCs w:val="18"/>
                <w:color w:val="auto"/>
              </w:rPr>
              <w:t>Paul D. Arling</w:t>
            </w: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2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80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80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Sue Ann R. Hamilton</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Sue Ann R. Hamilton</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616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40" w:type="dxa"/>
            <w:vAlign w:val="bottom"/>
          </w:tcPr>
          <w:p>
            <w:pPr>
              <w:jc w:val="center"/>
              <w:ind w:left="512"/>
              <w:spacing w:after="0"/>
              <w:rPr>
                <w:sz w:val="20"/>
                <w:szCs w:val="20"/>
                <w:color w:val="auto"/>
              </w:rPr>
            </w:pPr>
            <w:r>
              <w:rPr>
                <w:rFonts w:ascii="Arial" w:cs="Arial" w:eastAsia="Arial" w:hAnsi="Arial"/>
                <w:sz w:val="18"/>
                <w:szCs w:val="18"/>
                <w:color w:val="auto"/>
                <w:w w:val="91"/>
              </w:rPr>
              <w:t>March 13, 2020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118" w:right="3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description of the common stock, par value $.01 per share (“common stock”), of Universal Electronics Inc., a Delaware corporation (the “Company”), is based on the provisions of the General Corporation Law of the State of Delaware (“DGCL”) and the Company’s Restated Certificate of Incorporation, as amended (the “Certificate of Incorporation”) and Amended and Restated By-laws (the “By-laws”). This description is only a summary and does not purport to be complete; therefore, it is subject to and is qualified in its entirety by reference to the terms of the Company’s Certificate of Incorporation and By-laws, which are incorporated by reference herein and attached as exhibits to the Company’s most recent Annual Report on Form 10-K filed with the Securities and Exchange Commission, and to applicable provisions of the DGCL.</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certificate of incorporation authorizes it to issue 50,000,000 shares of common stock and 5,000,000 shares of preferred stock, par value $.01 per share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on by the stockholders. Accordingly, holders of a majority of the shares of common stock entitled to vote in any election of directors may elect all of the directors standing for election. Holders of common stock are entitled to receive ratably such dividends as may be declared by the Company’s Board of Directors (the “Board”) out of funds legally available therefor. In the event of the Company’s liquidation, dissolution or winding up, holders of common stock are entitled to share ratably in all assets remaining after payment of liabilities and the liquidation preferences of any outstanding shares of preferred stock. Holders of common stock have no preemptive, subscription, redemption or conversion rights. There are no redemption or sinking fund provisions applicable to the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certificate of incorporation authorizes the Board, subject to limitations prescribed by law, to issue up to 5,000,000 shares of preferred stock in one or more series and provides that, subject to the DGCL or any resolutions adopted by the Board fixing the relative powers, preferences and rights and the qualifications, limitations or restrictions of any series of preferred stock, the entire voting power of the shares of the Company for the election of directors and for all other purposes (including all other rights pertaining to shares of the Company) shall be vested exclusively in the common stock. The issuance of preferred stock could:</w:t>
      </w:r>
    </w:p>
    <w:p>
      <w:pPr>
        <w:spacing w:after="0" w:line="147" w:lineRule="exact"/>
        <w:rPr>
          <w:sz w:val="20"/>
          <w:szCs w:val="20"/>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 reduce the likelihood that such holders will receive dividend payments and payments upon liquidation;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 the market price of the common stock;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deter or prevent a change in control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the Company’s Certificate of Incorporation and Bylaws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Law</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elected to opt out of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either the person becoming an interested stockholder or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15.0% or more of the corporation’s voting stock.</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18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Certain provisions of the Company’s Certificate of Incorporation and By-laws may have the effect of making it more difficult for a third party to acquire, or of discouraging a third party from attempting to acquire, control of the Company. Such provisions could limit the price that certain investors might be willing to pay in the future for shares of common stock and may limit the ability of stockholders to remove current management or directors or approve transactions that stockholders may deem to be in their best interest and, therefore, could adversely affect the price of the common stock.</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Company’s Certificate of Incorporation provides that the Board will be divided into two classes of directors. Class I</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are elected for a one-year term and consist of persons who are also employees of the Company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87" w:name="page88"/>
    <w:bookmarkEnd w:id="87"/>
    <w:p>
      <w:pPr>
        <w:jc w:val="both"/>
        <w:ind w:right="20"/>
        <w:spacing w:after="0" w:line="279" w:lineRule="auto"/>
        <w:rPr>
          <w:sz w:val="20"/>
          <w:szCs w:val="20"/>
          <w:color w:val="auto"/>
        </w:rPr>
      </w:pPr>
      <w:r>
        <w:rPr>
          <w:rFonts w:ascii="Arial" w:cs="Arial" w:eastAsia="Arial" w:hAnsi="Arial"/>
          <w:sz w:val="17"/>
          <w:szCs w:val="17"/>
          <w:color w:val="auto"/>
        </w:rPr>
        <w:t>or any subsidiary of the Company. Class II directors consist of persons who are not also employees of the Company and/or any subsidiary of the Company. The classification of directors will have the effect of making it more difficult for stockholders to change the composition of the Board. The Company’s Certificate of Incorporation and By-laws provide that subject to any rights of holders of preferred stock to elect additional directors under specified circumstances, the number of directors will be fixed from time to time exclusively pursuant to a resolution adopted by the Board.</w:t>
      </w:r>
    </w:p>
    <w:p>
      <w:pPr>
        <w:spacing w:after="0" w:line="13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DGCL, unless otherwise provided in a corporation’s Certificate of Incorporation, directors serving on a classified board may be removed by the stockholders only for cause. The Company’s Certificate of Incorporation does not provide otherwise.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provides otherwise. The Company’s Certificate of Incorporation provides that no stockholder shall have any cumulative voting rights. Under cumulative voting, a majority stockholder holding a sufficient percentage of a class of shares may be able to ensure the election of one or more directors.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Business Combination Voting Requirement</w:t>
      </w:r>
      <w:r>
        <w:rPr>
          <w:rFonts w:ascii="Arial" w:cs="Arial" w:eastAsia="Arial" w:hAnsi="Arial"/>
          <w:sz w:val="17"/>
          <w:szCs w:val="17"/>
          <w:color w:val="auto"/>
        </w:rPr>
        <w:t>. The Company’s Certificate of Incorporation provides that (a) any merger, consolidation or share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of the Company or any subsidiary involving an Interested Stockholder (as defined below) or any corporation which is, or after such merger, consolidation or share exchange would be, an Affiliate (as defined below) or an Associate (as defined below) of an Interested Stockholder, (b) any sale, lease, exchange, mortgage, pledge, transfer or other disposition to or with any Interested Stockholder or any Affiliate or Associate of any Interested Stockholder of Company assets having a fair market value of 10% or more of the Company’s consolidated net worth, (c) the issuance or transfer by the Company or any subsidiary of the Company of securities of the Company or any subsidiary of the Company having a fair market value of 5% or more of the Company’s outstanding stock to any Interested Stockholder or any Affiliate or Associate of any Interested Stockholder, (d) the adoption of a plan or proposal for the liquidation or dissolution of the Company proposed by, or in which anything other than cash will be received by, an Interested Stockholder or any Affiliate or Associate of any Interested Stockholder or (e) any reclassification of securities, or recapitalization of the Company, or any merger, consolidation or share exchange of the Company with any of its subsidiaries that increases the proportionate share of outstanding equity or convertible securities of the Company or any subsidiary of the Company owned by any Interested Stockholder or any Affiliate or Associate of any Interested Stockholder shall require (i) the affirmative vote of 66-2/3% of the combined voting power of the Company’s voting stock, and (ii) the affirmative vote of a majority of the Company’s disinterested stockholders.</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Certificate of Incorporation provides that an “Interested Shareholder” includes any person, other than the Company or any subsidiary of the Company, who (a) is a beneficial owner, directly or indirectly, of voting stock conveying 10% or more of the voting power of the then outstanding voting stock of the Company, (b) is an Affiliate or Associate of the Company and the beneficial owner of voting stock conveying 10% or more of the voting power of the Company within a two-year period immediately prior to the date in question or (c) is an assignee of or has otherwise succeeded to any shares of voting stock which were at any time within the two-year period immediately prior to the date in question beneficially owned by an Interested Stockholder, if such assignment or succession did not involve a public offering within the meaning of the Securities Act of 1933, as amended. Further, the Company’s certificate of incorporation provides that the terms “Affiliate” and “Associate” have the meanings ascribed to such terms in Rule 12b-2 of the General Rules and Regulations under the Securities Exchange Act of 1934, as amended.</w:t>
      </w:r>
    </w:p>
    <w:p>
      <w:pPr>
        <w:spacing w:after="0" w:line="13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Advance Notice Requirements for Director Nominations</w:t>
      </w:r>
      <w:r>
        <w:rPr>
          <w:rFonts w:ascii="Arial" w:cs="Arial" w:eastAsia="Arial" w:hAnsi="Arial"/>
          <w:sz w:val="16"/>
          <w:szCs w:val="16"/>
          <w:color w:val="auto"/>
        </w:rPr>
        <w:t>. The Company’s By-laws provide that stockholders seeking to nominate candidates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as directors for an annual meeting of stockholders must provide timely notice of their proposal in writing to the corporate secretary. Notice should be given not later than (i) with respect to an election to be held at an annual meeting of stockholders, 120 days in advance of the date of the previous year’s proxy statement and (ii) with respect to an election to be held at a special meeting of stockholders for the election of directors, a reasonable time in advance of the meeting, or at least 15 days before the date that the proxy statement in connection with such meeting is to be mailed to the stockholders. The Company’s By-laws also specify requirements as to the form and content of a stockholder’s notice. These provisions may impede stockholders’ ability to bring matters before an annual meeting of stockholders or make nominations for directors at an annual meeting of stockholders.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Action by Written Consent</w:t>
      </w:r>
      <w:r>
        <w:rPr>
          <w:rFonts w:ascii="Arial" w:cs="Arial" w:eastAsia="Arial" w:hAnsi="Arial"/>
          <w:sz w:val="16"/>
          <w:szCs w:val="16"/>
          <w:color w:val="auto"/>
        </w:rPr>
        <w:t>. The Company’s By-laws provide that any corporate action upon which a vote is required or permitted may be taken</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a meeting of stockholders, without prior notice and without a vote, if a consent in writing, setting forth the action so taken, shall be signed by the holders of outstanding stock having not less than the minimum number of votes that would be necessary to authorize or take such action at a meeting.</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Authorized but Undesignated Stock</w:t>
      </w:r>
      <w:r>
        <w:rPr>
          <w:rFonts w:ascii="Arial" w:cs="Arial" w:eastAsia="Arial" w:hAnsi="Arial"/>
          <w:sz w:val="18"/>
          <w:szCs w:val="18"/>
          <w:color w:val="auto"/>
        </w:rPr>
        <w:t>. The authorization of undesignated preferred stock makes it possible for the Board to issue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voting or other rights or preferences that could impede the success of any attempt to change control of the Company or otherwise render more difficult or discourage an attempt to obtain control of the Company by means of 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7" w:right="3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merger, tender offer, proxy contest or otherwise, and thereby protect the continuity of the Company’s management and possibly deprive the stockholders of opportunities to sell their shares of common stock at prices higher than prevailing market prices.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RCS Technology, LLC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Yangzhou Universal Trading Co. Ltd. (organized under the laws of the People's Republic of China)</w:t>
      </w:r>
    </w:p>
    <w:p>
      <w:pPr>
        <w:sectPr>
          <w:pgSz w:w="11900" w:h="16838" w:orient="portrait"/>
          <w:cols w:equalWidth="0" w:num="1">
            <w:col w:w="11240"/>
          </w:cols>
          <w:pgMar w:left="320" w:top="55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13, 2020, with respect to the consolidated financial statements and internal control over financial reporting in the Annual Report of Universal Electronics Inc. on Form 10-K for the year ended December 31, 2019. We hereby consent to the incorporation by reference of said reports in the Registration Statements of Universal Electronics Inc. on Forms S-8 (File No. 333-149926, File No. 333-175345, File No. 333-194511, File No. 333-198093, and File No. 333-227594).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55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0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0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34"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2019 as filed with the Securities and Exchange Commission on the date hereof (the “Report”) fully complies with the requirements of Section 13(a) or 15(d) of the Securities Exchange Act of 1934; and</w:t>
      </w: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0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3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2019 as filed with the Securities and Exchange Commission on the date hereof (the “Report”) fully complies with the requirements of Section 13(a) or 15(d) of the Securities Exchange Act of 1934; and</w:t>
      </w: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0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13,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587"/>
    </w:lvl>
  </w:abstractNum>
  <w:abstractNum w:abstractNumId="23">
    <w:nsid w:val="4516DDE9"/>
    <w:multiLevelType w:val="hybridMultilevel"/>
    <w:lvl w:ilvl="0">
      <w:lvlJc w:val="left"/>
      <w:lvlText w:val="\emdash "/>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36" Type="http://schemas.openxmlformats.org/officeDocument/2006/relationships/hyperlink" Target="http://www.sec.gov/Archives/edgar/data/101984/000010198418000008/a10k20171231-ex33.htm" TargetMode="External"/><Relationship Id="rId37" Type="http://schemas.openxmlformats.org/officeDocument/2006/relationships/hyperlink" Target="http://www.sec.gov/Archives/edgar/data/101984/000010198418000008/a10k20171231-ex34.htm" TargetMode="External"/><Relationship Id="rId38" Type="http://schemas.openxmlformats.org/officeDocument/2006/relationships/hyperlink" Target="http://www.sec.gov/Archives/edgar/data/101984/000010198416000059/exhibit41-commonstockpurch.htm" TargetMode="External"/><Relationship Id="rId39" Type="http://schemas.openxmlformats.org/officeDocument/2006/relationships/hyperlink" Target="http://www.sec.gov/Archives/edgar/data/101984/0000950152-98-002736.txt" TargetMode="External"/><Relationship Id="rId40" Type="http://schemas.openxmlformats.org/officeDocument/2006/relationships/hyperlink" Target="http://www.sec.gov/Archives/edgar/data/101984/000095015003000463/a89495def14a.htm" TargetMode="External"/><Relationship Id="rId41" Type="http://schemas.openxmlformats.org/officeDocument/2006/relationships/hyperlink" Target="http://www.sec.gov/Archives/edgar/data/101984/000095015004000338/a97327exv10w42.txt" TargetMode="External"/><Relationship Id="rId42" Type="http://schemas.openxmlformats.org/officeDocument/2006/relationships/hyperlink" Target="http://www.sec.gov/Archives/edgar/data/101984/000095013706004928/a19632ddef14a.htm" TargetMode="External"/><Relationship Id="rId43" Type="http://schemas.openxmlformats.org/officeDocument/2006/relationships/hyperlink" Target="http://www.sec.gov/Archives/edgar/data/101984/000089256907000250/a27604exv10w26.txt" TargetMode="External"/><Relationship Id="rId44" Type="http://schemas.openxmlformats.org/officeDocument/2006/relationships/hyperlink" Target="http://www.sec.gov/Archives/edgar/data/101984/000089256907000250/a27604exv10w28.txt" TargetMode="External"/><Relationship Id="rId45" Type="http://schemas.openxmlformats.org/officeDocument/2006/relationships/hyperlink" Target="http://www.sec.gov/Archives/edgar/data/101984/000089256908000442/a39411exv4w5.htm" TargetMode="External"/><Relationship Id="rId46" Type="http://schemas.openxmlformats.org/officeDocument/2006/relationships/hyperlink" Target="http://www.sec.gov/Archives/edgar/data/101984/000095012311025838/a58948exv10w30.htm" TargetMode="External"/><Relationship Id="rId47" Type="http://schemas.openxmlformats.org/officeDocument/2006/relationships/hyperlink" Target="http://www.sec.gov/Archives/edgar/data/101984/000095012311025838/a58948exv10w31.htm" TargetMode="External"/><Relationship Id="rId48" Type="http://schemas.openxmlformats.org/officeDocument/2006/relationships/hyperlink" Target="http://www.sec.gov/Archives/edgar/data/101984/000095012310041632/a55838def14a.htm" TargetMode="External"/><Relationship Id="rId49" Type="http://schemas.openxmlformats.org/officeDocument/2006/relationships/hyperlink" Target="http://www.sec.gov/Archives/edgar/data/101984/000095012311063851/a59824exv4w6.htm" TargetMode="External"/><Relationship Id="rId50" Type="http://schemas.openxmlformats.org/officeDocument/2006/relationships/hyperlink" Target="http://www.sec.gov/Archives/edgar/data/101984/000095012311063851/a59824exv4w7.htm" TargetMode="External"/><Relationship Id="rId51" Type="http://schemas.openxmlformats.org/officeDocument/2006/relationships/hyperlink" Target="http://www.sec.gov/Archives/edgar/data/101984/000144530513000608/ueic-12312012xex1031.htm" TargetMode="External"/><Relationship Id="rId52" Type="http://schemas.openxmlformats.org/officeDocument/2006/relationships/hyperlink" Target="http://www.sec.gov/Archives/edgar/data/101984/000119312512114613/d281396dex1036.htm" TargetMode="External"/><Relationship Id="rId53" Type="http://schemas.openxmlformats.org/officeDocument/2006/relationships/hyperlink" Target="http://www.sec.gov/Archives/edgar/data/101984/000119312512240294/d355902dex101.htm" TargetMode="External"/><Relationship Id="rId54" Type="http://schemas.openxmlformats.org/officeDocument/2006/relationships/hyperlink" Target="http://www.sec.gov/Archives/edgar/data/101984/000010198414000014/ueic-12312013xex1034.htm" TargetMode="External"/><Relationship Id="rId55" Type="http://schemas.openxmlformats.org/officeDocument/2006/relationships/hyperlink" Target="http://www.sec.gov/Archives/edgar/data/101984/000010198414000016/forms82014-03x10.htm" TargetMode="External"/><Relationship Id="rId56" Type="http://schemas.openxmlformats.org/officeDocument/2006/relationships/hyperlink" Target="http://www.sec.gov/Archives/edgar/data/101984/000010198414000051/exhibit452014-08.htm" TargetMode="External"/><Relationship Id="rId57" Type="http://schemas.openxmlformats.org/officeDocument/2006/relationships/hyperlink" Target="http://www.sec.gov/Archives/edgar/data/101984/000010198414000051/exhibit462014-08.htm" TargetMode="External"/><Relationship Id="rId58" Type="http://schemas.openxmlformats.org/officeDocument/2006/relationships/hyperlink" Target="http://www.sec.gov/Archives/edgar/data/101984/000010198414000051/exhibit472014-08.htm" TargetMode="External"/><Relationship Id="rId59" Type="http://schemas.openxmlformats.org/officeDocument/2006/relationships/hyperlink" Target="http://www.sec.gov/Archives/edgar/data/101984/000010198416000059/exhibit101-registrationrig.htm" TargetMode="External"/><Relationship Id="rId60" Type="http://schemas.openxmlformats.org/officeDocument/2006/relationships/hyperlink" Target="http://www.sec.gov/Archives/edgar/data/101984/000010198417000007/a10k20161231-ex1034.htm" TargetMode="External"/><Relationship Id="rId61" Type="http://schemas.openxmlformats.org/officeDocument/2006/relationships/hyperlink" Target="http://www.sec.gov/Archives/edgar/data/101984/000010198418000008/a10k20171231-ex1039.htm" TargetMode="External"/><Relationship Id="rId62" Type="http://schemas.openxmlformats.org/officeDocument/2006/relationships/hyperlink" Target="http://www.sec.gov/Archives/edgar/data/101984/000010198418000032/uei-06302018x10qxex101.htm" TargetMode="External"/><Relationship Id="rId63" Type="http://schemas.openxmlformats.org/officeDocument/2006/relationships/hyperlink" Target="http://www.sec.gov/Archives/edgar/data/101984/000010198418000032/uei-06302018x10qxex103.htm" TargetMode="External"/><Relationship Id="rId64" Type="http://schemas.openxmlformats.org/officeDocument/2006/relationships/hyperlink" Target="http://www.sec.gov/Archives/edgar/data/101984/000010198418000038/exhibit452018-09.htm" TargetMode="External"/><Relationship Id="rId65" Type="http://schemas.openxmlformats.org/officeDocument/2006/relationships/hyperlink" Target="http://www.sec.gov/Archives/edgar/data/101984/000010198418000032/uei-0630201810qex105.htm" TargetMode="External"/><Relationship Id="rId66" Type="http://schemas.openxmlformats.org/officeDocument/2006/relationships/hyperlink" Target="http://www.sec.gov/Archives/edgar/data/101984/000010198418000032/uei-0630201810qex106.htm" TargetMode="External"/><Relationship Id="rId67" Type="http://schemas.openxmlformats.org/officeDocument/2006/relationships/hyperlink" Target="http://www.sec.gov/Archives/edgar/data/101984/000010198419000003/usb-secondamendmenttoueise.htm" TargetMode="External"/><Relationship Id="rId68" Type="http://schemas.openxmlformats.org/officeDocument/2006/relationships/hyperlink" Target="http://www.sec.gov/Archives/edgar/data/101984/000010198419000012/a10k20181231-ex1036.htm" TargetMode="External"/><Relationship Id="rId69" Type="http://schemas.openxmlformats.org/officeDocument/2006/relationships/hyperlink" Target="http://www.sec.gov/Archives/edgar/data/101984/000095015004000338/a97327exv1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2020-03-16T05:04:04Z</dcterms:created>
  <dcterms:modified xsi:type="dcterms:W3CDTF">2020-03-16T05:04:04Z</dcterms:modified>
</cp:coreProperties>
</file>