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7"/>
          <w:szCs w:val="27"/>
          <w:b w:val="1"/>
          <w:bCs w:val="1"/>
          <w:color w:val="auto"/>
        </w:rPr>
        <w:t>UNITED STATES</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27"/>
          <w:szCs w:val="27"/>
          <w:b w:val="1"/>
          <w:bCs w:val="1"/>
          <w:color w:val="auto"/>
        </w:rPr>
        <w:t>SECURITIES AND EXCHANGE COMMISSION</w:t>
      </w:r>
    </w:p>
    <w:p>
      <w:pPr>
        <w:jc w:val="center"/>
        <w:ind w:right="20"/>
        <w:spacing w:after="0" w:line="237"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4200"/>
        <w:spacing w:after="0"/>
        <w:rPr>
          <w:sz w:val="20"/>
          <w:szCs w:val="20"/>
          <w:color w:val="auto"/>
        </w:rPr>
      </w:pPr>
      <w:r>
        <w:rPr>
          <w:rFonts w:ascii="Arial" w:cs="Arial" w:eastAsia="Arial" w:hAnsi="Arial"/>
          <w:sz w:val="14"/>
          <w:szCs w:val="14"/>
          <w:color w:val="auto"/>
        </w:rPr>
        <w:t>_______________________________________</w:t>
      </w:r>
    </w:p>
    <w:p>
      <w:pPr>
        <w:spacing w:after="0" w:line="84"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FORM 10-Q</w:t>
      </w:r>
    </w:p>
    <w:p>
      <w:pPr>
        <w:spacing w:after="0" w:line="29" w:lineRule="exact"/>
        <w:rPr>
          <w:sz w:val="24"/>
          <w:szCs w:val="24"/>
          <w:color w:val="auto"/>
        </w:rPr>
      </w:pPr>
    </w:p>
    <w:p>
      <w:pPr>
        <w:ind w:left="4200"/>
        <w:spacing w:after="0"/>
        <w:rPr>
          <w:sz w:val="20"/>
          <w:szCs w:val="20"/>
          <w:color w:val="auto"/>
        </w:rPr>
      </w:pPr>
      <w:r>
        <w:rPr>
          <w:rFonts w:ascii="Arial" w:cs="Arial" w:eastAsia="Arial" w:hAnsi="Arial"/>
          <w:sz w:val="14"/>
          <w:szCs w:val="14"/>
          <w:color w:val="auto"/>
        </w:rPr>
        <w:t>_______________________________________</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15" w:lineRule="exact"/>
        <w:rPr>
          <w:sz w:val="24"/>
          <w:szCs w:val="24"/>
          <w:color w:val="auto"/>
        </w:rPr>
      </w:pPr>
    </w:p>
    <w:p>
      <w:pPr>
        <w:ind w:left="680" w:right="100" w:hanging="654"/>
        <w:spacing w:after="0" w:line="235" w:lineRule="auto"/>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53" w:lineRule="exact"/>
        <w:rPr>
          <w:sz w:val="24"/>
          <w:szCs w:val="24"/>
          <w:color w:val="auto"/>
        </w:rPr>
      </w:pPr>
    </w:p>
    <w:p>
      <w:pPr>
        <w:ind w:left="3680"/>
        <w:spacing w:after="0"/>
        <w:rPr>
          <w:sz w:val="20"/>
          <w:szCs w:val="20"/>
          <w:color w:val="auto"/>
        </w:rPr>
      </w:pPr>
      <w:r>
        <w:rPr>
          <w:rFonts w:ascii="Arial" w:cs="Arial" w:eastAsia="Arial" w:hAnsi="Arial"/>
          <w:sz w:val="22"/>
          <w:szCs w:val="22"/>
          <w:b w:val="1"/>
          <w:bCs w:val="1"/>
          <w:color w:val="auto"/>
        </w:rPr>
        <w:t>For the quarterly period ended March 31, 2021</w:t>
      </w:r>
    </w:p>
    <w:p>
      <w:pPr>
        <w:spacing w:after="0" w:line="58" w:lineRule="exact"/>
        <w:rPr>
          <w:sz w:val="24"/>
          <w:szCs w:val="24"/>
          <w:color w:val="auto"/>
        </w:rPr>
      </w:pPr>
    </w:p>
    <w:p>
      <w:pPr>
        <w:ind w:left="5460"/>
        <w:spacing w:after="0"/>
        <w:rPr>
          <w:sz w:val="20"/>
          <w:szCs w:val="20"/>
          <w:color w:val="auto"/>
        </w:rPr>
      </w:pPr>
      <w:r>
        <w:rPr>
          <w:rFonts w:ascii="Arial" w:cs="Arial" w:eastAsia="Arial" w:hAnsi="Arial"/>
          <w:sz w:val="22"/>
          <w:szCs w:val="22"/>
          <w:b w:val="1"/>
          <w:bCs w:val="1"/>
          <w:color w:val="auto"/>
        </w:rPr>
        <w:t>OR</w:t>
      </w:r>
    </w:p>
    <w:p>
      <w:pPr>
        <w:spacing w:after="0" w:line="112" w:lineRule="exact"/>
        <w:rPr>
          <w:sz w:val="24"/>
          <w:szCs w:val="24"/>
          <w:color w:val="auto"/>
        </w:rPr>
      </w:pPr>
    </w:p>
    <w:p>
      <w:pPr>
        <w:ind w:left="680" w:right="80" w:hanging="654"/>
        <w:spacing w:after="0" w:line="235" w:lineRule="auto"/>
        <w:tabs>
          <w:tab w:leader="none" w:pos="6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85" w:lineRule="exact"/>
        <w:rPr>
          <w:sz w:val="24"/>
          <w:szCs w:val="24"/>
          <w:color w:val="auto"/>
        </w:rPr>
      </w:pPr>
    </w:p>
    <w:p>
      <w:pPr>
        <w:ind w:left="3720"/>
        <w:spacing w:after="0"/>
        <w:tabs>
          <w:tab w:leader="none" w:pos="7140" w:val="left"/>
        </w:tabs>
        <w:rPr>
          <w:sz w:val="20"/>
          <w:szCs w:val="20"/>
          <w:color w:val="auto"/>
        </w:rPr>
      </w:pPr>
      <w:r>
        <w:rPr>
          <w:rFonts w:ascii="Arial" w:cs="Arial" w:eastAsia="Arial" w:hAnsi="Arial"/>
          <w:sz w:val="22"/>
          <w:szCs w:val="22"/>
          <w:b w:val="1"/>
          <w:bCs w:val="1"/>
          <w:color w:val="auto"/>
        </w:rPr>
        <w:t>For the transition period from</w:t>
      </w:r>
      <w:r>
        <w:rPr>
          <w:sz w:val="20"/>
          <w:szCs w:val="20"/>
          <w:color w:val="auto"/>
        </w:rPr>
        <w:tab/>
      </w:r>
      <w:r>
        <w:rPr>
          <w:rFonts w:ascii="Arial" w:cs="Arial" w:eastAsia="Arial" w:hAnsi="Arial"/>
          <w:sz w:val="19"/>
          <w:szCs w:val="19"/>
          <w:b w:val="1"/>
          <w:bCs w:val="1"/>
          <w:color w:val="auto"/>
        </w:rPr>
        <w:t>to</w:t>
      </w:r>
    </w:p>
    <w:p>
      <w:pPr>
        <w:spacing w:after="0" w:line="98"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Commission File Number: 0-21044</w:t>
      </w:r>
    </w:p>
    <w:p>
      <w:pPr>
        <w:spacing w:after="0" w:line="19" w:lineRule="exact"/>
        <w:rPr>
          <w:sz w:val="24"/>
          <w:szCs w:val="24"/>
          <w:color w:val="auto"/>
        </w:rPr>
      </w:pPr>
    </w:p>
    <w:p>
      <w:pPr>
        <w:ind w:left="3840"/>
        <w:spacing w:after="0"/>
        <w:rPr>
          <w:sz w:val="20"/>
          <w:szCs w:val="20"/>
          <w:color w:val="auto"/>
        </w:rPr>
      </w:pPr>
      <w:r>
        <w:rPr>
          <w:rFonts w:ascii="Arial" w:cs="Arial" w:eastAsia="Arial" w:hAnsi="Arial"/>
          <w:sz w:val="18"/>
          <w:szCs w:val="18"/>
          <w:color w:val="auto"/>
        </w:rPr>
        <w:t>_______________________________________</w:t>
      </w:r>
    </w:p>
    <w:p>
      <w:pPr>
        <w:spacing w:after="0" w:line="34"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UNIVERSAL ELECTRONICS INC.</w:t>
      </w:r>
    </w:p>
    <w:p>
      <w:pPr>
        <w:spacing w:after="0" w:line="3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06" w:lineRule="exact"/>
        <w:rPr>
          <w:sz w:val="24"/>
          <w:szCs w:val="24"/>
          <w:color w:val="auto"/>
        </w:rPr>
      </w:pPr>
    </w:p>
    <w:tbl>
      <w:tblPr>
        <w:tblLayout w:type="fixed"/>
        <w:tblInd w:w="2300" w:type="dxa"/>
        <w:tblCellMar>
          <w:top w:w="0" w:type="dxa"/>
          <w:left w:w="0" w:type="dxa"/>
          <w:bottom w:w="0" w:type="dxa"/>
          <w:right w:w="0" w:type="dxa"/>
        </w:tblCellMar>
      </w:tblPr>
      <w:tr>
        <w:trPr>
          <w:trHeight w:val="256"/>
        </w:trPr>
        <w:tc>
          <w:tcPr>
            <w:tcW w:w="3600" w:type="dxa"/>
            <w:vAlign w:val="bottom"/>
          </w:tcPr>
          <w:p>
            <w:pPr>
              <w:jc w:val="center"/>
              <w:ind w:right="1067"/>
              <w:spacing w:after="0"/>
              <w:rPr>
                <w:sz w:val="20"/>
                <w:szCs w:val="20"/>
                <w:color w:val="auto"/>
              </w:rPr>
            </w:pPr>
            <w:r>
              <w:rPr>
                <w:rFonts w:ascii="Arial" w:cs="Arial" w:eastAsia="Arial" w:hAnsi="Arial"/>
                <w:sz w:val="20"/>
                <w:szCs w:val="20"/>
                <w:b w:val="1"/>
                <w:bCs w:val="1"/>
                <w:color w:val="auto"/>
                <w:w w:val="91"/>
              </w:rPr>
              <w:t>Delaware</w:t>
            </w:r>
          </w:p>
        </w:tc>
        <w:tc>
          <w:tcPr>
            <w:tcW w:w="2600" w:type="dxa"/>
            <w:vAlign w:val="bottom"/>
          </w:tcPr>
          <w:p>
            <w:pPr>
              <w:jc w:val="center"/>
              <w:ind w:left="1087"/>
              <w:spacing w:after="0"/>
              <w:rPr>
                <w:sz w:val="20"/>
                <w:szCs w:val="20"/>
                <w:color w:val="auto"/>
              </w:rPr>
            </w:pPr>
            <w:r>
              <w:rPr>
                <w:rFonts w:ascii="Arial" w:cs="Arial" w:eastAsia="Arial" w:hAnsi="Arial"/>
                <w:sz w:val="20"/>
                <w:szCs w:val="20"/>
                <w:b w:val="1"/>
                <w:bCs w:val="1"/>
                <w:color w:val="auto"/>
                <w:w w:val="88"/>
              </w:rPr>
              <w:t>33-0204817</w:t>
            </w:r>
          </w:p>
        </w:tc>
      </w:tr>
      <w:tr>
        <w:trPr>
          <w:trHeight w:val="185"/>
        </w:trPr>
        <w:tc>
          <w:tcPr>
            <w:tcW w:w="3600" w:type="dxa"/>
            <w:vAlign w:val="bottom"/>
          </w:tcPr>
          <w:p>
            <w:pPr>
              <w:jc w:val="center"/>
              <w:ind w:right="1087"/>
              <w:spacing w:after="0" w:line="185" w:lineRule="exact"/>
              <w:rPr>
                <w:sz w:val="20"/>
                <w:szCs w:val="20"/>
                <w:color w:val="auto"/>
              </w:rPr>
            </w:pPr>
            <w:r>
              <w:rPr>
                <w:rFonts w:ascii="Arial" w:cs="Arial" w:eastAsia="Arial" w:hAnsi="Arial"/>
                <w:sz w:val="18"/>
                <w:szCs w:val="18"/>
                <w:b w:val="1"/>
                <w:bCs w:val="1"/>
                <w:color w:val="auto"/>
                <w:w w:val="91"/>
              </w:rPr>
              <w:t>(State or Other Jurisdiction of</w:t>
            </w:r>
          </w:p>
        </w:tc>
        <w:tc>
          <w:tcPr>
            <w:tcW w:w="2600" w:type="dxa"/>
            <w:vAlign w:val="bottom"/>
          </w:tcPr>
          <w:p>
            <w:pPr>
              <w:jc w:val="center"/>
              <w:ind w:left="1087"/>
              <w:spacing w:after="0" w:line="185"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3600" w:type="dxa"/>
            <w:vAlign w:val="bottom"/>
          </w:tcPr>
          <w:p>
            <w:pPr>
              <w:jc w:val="center"/>
              <w:ind w:right="1087"/>
              <w:spacing w:after="0"/>
              <w:rPr>
                <w:sz w:val="20"/>
                <w:szCs w:val="20"/>
                <w:color w:val="auto"/>
              </w:rPr>
            </w:pPr>
            <w:r>
              <w:rPr>
                <w:rFonts w:ascii="Arial" w:cs="Arial" w:eastAsia="Arial" w:hAnsi="Arial"/>
                <w:sz w:val="18"/>
                <w:szCs w:val="18"/>
                <w:b w:val="1"/>
                <w:bCs w:val="1"/>
                <w:color w:val="auto"/>
                <w:w w:val="93"/>
              </w:rPr>
              <w:t>Incorporation or Organization)</w:t>
            </w:r>
          </w:p>
        </w:tc>
        <w:tc>
          <w:tcPr>
            <w:tcW w:w="2600" w:type="dxa"/>
            <w:vAlign w:val="bottom"/>
          </w:tcPr>
          <w:p>
            <w:pPr>
              <w:jc w:val="center"/>
              <w:ind w:left="1087"/>
              <w:spacing w:after="0"/>
              <w:rPr>
                <w:sz w:val="20"/>
                <w:szCs w:val="20"/>
                <w:color w:val="auto"/>
              </w:rPr>
            </w:pPr>
            <w:r>
              <w:rPr>
                <w:rFonts w:ascii="Arial" w:cs="Arial" w:eastAsia="Arial" w:hAnsi="Arial"/>
                <w:sz w:val="18"/>
                <w:szCs w:val="18"/>
                <w:b w:val="1"/>
                <w:bCs w:val="1"/>
                <w:color w:val="auto"/>
                <w:w w:val="93"/>
              </w:rPr>
              <w:t>Identification No.)</w:t>
            </w:r>
          </w:p>
        </w:tc>
      </w:tr>
    </w:tbl>
    <w:p>
      <w:pPr>
        <w:spacing w:after="0" w:line="121"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15147 N. Scottsdale Road, Suite H300, Scottsdale, Arizona 85254-2494</w:t>
      </w:r>
    </w:p>
    <w:p>
      <w:pPr>
        <w:spacing w:after="0" w:line="4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(Address of principal executive offices and zip code)</w:t>
      </w:r>
    </w:p>
    <w:p>
      <w:pPr>
        <w:spacing w:after="0" w:line="32"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(480) 530-3000</w:t>
      </w:r>
    </w:p>
    <w:p>
      <w:pPr>
        <w:spacing w:after="0" w:line="4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7" w:lineRule="exact"/>
        <w:rPr>
          <w:sz w:val="24"/>
          <w:szCs w:val="24"/>
          <w:color w:val="auto"/>
        </w:rPr>
      </w:pPr>
    </w:p>
    <w:p>
      <w:pPr>
        <w:ind w:left="4660"/>
        <w:spacing w:after="0"/>
        <w:rPr>
          <w:sz w:val="20"/>
          <w:szCs w:val="20"/>
          <w:color w:val="auto"/>
        </w:rPr>
      </w:pPr>
      <w:r>
        <w:rPr>
          <w:rFonts w:ascii="Arial" w:cs="Arial" w:eastAsia="Arial" w:hAnsi="Arial"/>
          <w:sz w:val="18"/>
          <w:szCs w:val="18"/>
          <w:color w:val="auto"/>
        </w:rPr>
        <w:t>_____________________</w:t>
      </w:r>
    </w:p>
    <w:p>
      <w:pPr>
        <w:spacing w:after="0" w:line="130" w:lineRule="exact"/>
        <w:rPr>
          <w:sz w:val="24"/>
          <w:szCs w:val="24"/>
          <w:color w:val="auto"/>
        </w:rPr>
      </w:pPr>
    </w:p>
    <w:p>
      <w:pPr>
        <w:ind w:left="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 w:lineRule="exact"/>
        <w:rPr>
          <w:sz w:val="24"/>
          <w:szCs w:val="24"/>
          <w:color w:val="auto"/>
        </w:rPr>
      </w:pPr>
    </w:p>
    <w:tbl>
      <w:tblPr>
        <w:tblLayout w:type="fixed"/>
        <w:tblInd w:w="10" w:type="dxa"/>
        <w:tblCellMar>
          <w:top w:w="0" w:type="dxa"/>
          <w:left w:w="0" w:type="dxa"/>
          <w:bottom w:w="0" w:type="dxa"/>
          <w:right w:w="0" w:type="dxa"/>
        </w:tblCellMar>
      </w:tblPr>
      <w:tr>
        <w:trPr>
          <w:trHeight w:val="223"/>
        </w:trPr>
        <w:tc>
          <w:tcPr>
            <w:tcW w:w="42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2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8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4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UEIC</w:t>
            </w:r>
          </w:p>
        </w:tc>
        <w:tc>
          <w:tcPr>
            <w:tcW w:w="4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121" w:lineRule="exact"/>
        <w:rPr>
          <w:sz w:val="24"/>
          <w:szCs w:val="24"/>
          <w:color w:val="auto"/>
        </w:rPr>
      </w:pPr>
    </w:p>
    <w:p>
      <w:pPr>
        <w:jc w:val="both"/>
        <w:ind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jc w:val="both"/>
        <w:ind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jc w:val="both"/>
        <w:ind w:right="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7"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19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8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ind w:left="2960"/>
              <w:spacing w:after="0"/>
              <w:rPr>
                <w:sz w:val="20"/>
                <w:szCs w:val="20"/>
                <w:color w:val="auto"/>
              </w:rPr>
            </w:pPr>
            <w:r>
              <w:rPr>
                <w:rFonts w:ascii="Arial" w:cs="Arial" w:eastAsia="Arial" w:hAnsi="Arial"/>
                <w:sz w:val="18"/>
                <w:szCs w:val="18"/>
                <w:color w:val="auto"/>
              </w:rPr>
              <w:t>Accelerated filer</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1900" w:type="dxa"/>
            <w:vAlign w:val="bottom"/>
          </w:tcPr>
          <w:p>
            <w:pPr>
              <w:spacing w:after="0"/>
              <w:rPr>
                <w:sz w:val="20"/>
                <w:szCs w:val="20"/>
                <w:color w:val="auto"/>
              </w:rPr>
            </w:pPr>
            <w:r>
              <w:rPr>
                <w:rFonts w:ascii="Arial" w:cs="Arial" w:eastAsia="Arial" w:hAnsi="Arial"/>
                <w:sz w:val="18"/>
                <w:szCs w:val="18"/>
                <w:color w:val="auto"/>
              </w:rPr>
              <w:t>Non-accelerated filer</w:t>
            </w:r>
          </w:p>
        </w:tc>
        <w:tc>
          <w:tcPr>
            <w:tcW w:w="338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ind w:left="2960"/>
              <w:spacing w:after="0"/>
              <w:rPr>
                <w:sz w:val="20"/>
                <w:szCs w:val="20"/>
                <w:color w:val="auto"/>
              </w:rPr>
            </w:pPr>
            <w:r>
              <w:rPr>
                <w:rFonts w:ascii="Arial" w:cs="Arial" w:eastAsia="Arial" w:hAnsi="Arial"/>
                <w:sz w:val="18"/>
                <w:szCs w:val="18"/>
                <w:color w:val="auto"/>
              </w:rPr>
              <w:t>Smaller reporting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9"/>
        </w:trPr>
        <w:tc>
          <w:tcPr>
            <w:tcW w:w="1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5280" w:type="dxa"/>
            <w:vAlign w:val="bottom"/>
          </w:tcPr>
          <w:p>
            <w:pPr>
              <w:ind w:left="2960"/>
              <w:spacing w:after="0"/>
              <w:rPr>
                <w:sz w:val="20"/>
                <w:szCs w:val="20"/>
                <w:color w:val="auto"/>
              </w:rPr>
            </w:pPr>
            <w:r>
              <w:rPr>
                <w:rFonts w:ascii="Arial" w:cs="Arial" w:eastAsia="Arial" w:hAnsi="Arial"/>
                <w:sz w:val="18"/>
                <w:szCs w:val="18"/>
                <w:color w:val="auto"/>
              </w:rPr>
              <w:t>Emerging growth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bl>
    <w:p>
      <w:pPr>
        <w:jc w:val="both"/>
        <w:ind w:left="20" w:right="160"/>
        <w:spacing w:after="0" w:line="205"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4"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13,764,520 shares of Common Stock, par value $0.01 per share, of the registrant were outstanding on May 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773"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60" w:type="dxa"/>
            <w:vAlign w:val="bottom"/>
            <w:gridSpan w:val="5"/>
          </w:tcPr>
          <w:p>
            <w:pPr>
              <w:jc w:val="center"/>
              <w:ind w:right="1420"/>
              <w:spacing w:after="0"/>
              <w:rPr>
                <w:sz w:val="20"/>
                <w:szCs w:val="20"/>
                <w:color w:val="auto"/>
              </w:rPr>
            </w:pPr>
            <w:r>
              <w:rPr>
                <w:rFonts w:ascii="Arial" w:cs="Arial" w:eastAsia="Arial" w:hAnsi="Arial"/>
                <w:sz w:val="18"/>
                <w:szCs w:val="18"/>
                <w:b w:val="1"/>
                <w:bCs w:val="1"/>
                <w:color w:val="auto"/>
              </w:rPr>
              <w:t>UNIVERSAL ELECTRONICS INC.</w:t>
            </w: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20" w:type="dxa"/>
            <w:vAlign w:val="bottom"/>
            <w:gridSpan w:val="2"/>
          </w:tcPr>
          <w:p>
            <w:pPr>
              <w:jc w:val="center"/>
              <w:ind w:right="2340"/>
              <w:spacing w:after="0"/>
              <w:rPr>
                <w:sz w:val="20"/>
                <w:szCs w:val="20"/>
                <w:color w:val="auto"/>
              </w:rPr>
            </w:pPr>
            <w:r>
              <w:rPr>
                <w:rFonts w:ascii="Arial" w:cs="Arial" w:eastAsia="Arial" w:hAnsi="Arial"/>
                <w:sz w:val="18"/>
                <w:szCs w:val="18"/>
                <w:b w:val="1"/>
                <w:bCs w:val="1"/>
                <w:color w:val="auto"/>
              </w:rPr>
              <w:t>INDEX</w:t>
            </w:r>
          </w:p>
        </w:tc>
        <w:tc>
          <w:tcPr>
            <w:tcW w:w="1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446"/>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4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Page</w:t>
            </w:r>
          </w:p>
        </w:tc>
      </w:tr>
      <w:tr>
        <w:trPr>
          <w:trHeight w:val="148"/>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580" w:type="dxa"/>
            <w:vAlign w:val="bottom"/>
            <w:gridSpan w:val="5"/>
          </w:tcPr>
          <w:p>
            <w:pPr>
              <w:jc w:val="right"/>
              <w:ind w:right="440"/>
              <w:spacing w:after="0" w:line="149" w:lineRule="exact"/>
              <w:rPr>
                <w:sz w:val="20"/>
                <w:szCs w:val="20"/>
                <w:color w:val="auto"/>
              </w:rPr>
            </w:pPr>
            <w:r>
              <w:rPr>
                <w:rFonts w:ascii="Arial" w:cs="Arial" w:eastAsia="Arial" w:hAnsi="Arial"/>
                <w:sz w:val="14"/>
                <w:szCs w:val="14"/>
                <w:b w:val="1"/>
                <w:bCs w:val="1"/>
                <w:color w:val="auto"/>
              </w:rPr>
              <w:t>Number</w:t>
            </w:r>
          </w:p>
        </w:tc>
      </w:tr>
      <w:tr>
        <w:trPr>
          <w:trHeight w:val="209"/>
        </w:trPr>
        <w:tc>
          <w:tcPr>
            <w:tcW w:w="20" w:type="dxa"/>
            <w:vAlign w:val="bottom"/>
          </w:tcPr>
          <w:p>
            <w:pPr>
              <w:spacing w:after="0"/>
              <w:rPr>
                <w:sz w:val="18"/>
                <w:szCs w:val="18"/>
                <w:color w:val="auto"/>
              </w:rPr>
            </w:pPr>
          </w:p>
        </w:tc>
        <w:tc>
          <w:tcPr>
            <w:tcW w:w="3020" w:type="dxa"/>
            <w:vAlign w:val="bottom"/>
            <w:gridSpan w:val="9"/>
          </w:tcPr>
          <w:p>
            <w:pPr>
              <w:spacing w:after="0"/>
              <w:rPr>
                <w:rFonts w:ascii="Arial" w:cs="Arial" w:eastAsia="Arial" w:hAnsi="Arial"/>
                <w:sz w:val="18"/>
                <w:szCs w:val="18"/>
                <w:b w:val="1"/>
                <w:bCs w:val="1"/>
                <w:color w:val="0000FF"/>
                <w:w w:val="99"/>
              </w:rPr>
            </w:pPr>
            <w:hyperlink w:anchor="page2">
              <w:r>
                <w:rPr>
                  <w:rFonts w:ascii="Arial" w:cs="Arial" w:eastAsia="Arial" w:hAnsi="Arial"/>
                  <w:sz w:val="18"/>
                  <w:szCs w:val="18"/>
                  <w:b w:val="1"/>
                  <w:bCs w:val="1"/>
                  <w:color w:val="0000FF"/>
                  <w:w w:val="99"/>
                </w:rPr>
                <w:t>PART I. FINANCIAL INFORMATION</w:t>
              </w:r>
            </w:hyperlink>
          </w:p>
        </w:tc>
        <w:tc>
          <w:tcPr>
            <w:tcW w:w="5620" w:type="dxa"/>
            <w:vAlign w:val="bottom"/>
            <w:gridSpan w:val="8"/>
          </w:tcPr>
          <w:p>
            <w:pPr>
              <w:spacing w:after="0"/>
              <w:rPr>
                <w:sz w:val="18"/>
                <w:szCs w:val="18"/>
                <w:color w:val="auto"/>
              </w:rPr>
            </w:pPr>
          </w:p>
        </w:tc>
        <w:tc>
          <w:tcPr>
            <w:tcW w:w="1640" w:type="dxa"/>
            <w:vAlign w:val="bottom"/>
          </w:tcPr>
          <w:p>
            <w:pPr>
              <w:spacing w:after="0"/>
              <w:rPr>
                <w:sz w:val="18"/>
                <w:szCs w:val="18"/>
                <w:color w:val="auto"/>
              </w:rPr>
            </w:pPr>
          </w:p>
        </w:tc>
        <w:tc>
          <w:tcPr>
            <w:tcW w:w="500" w:type="dxa"/>
            <w:vAlign w:val="bottom"/>
            <w:tcBorders>
              <w:top w:val="single" w:sz="8" w:color="auto"/>
            </w:tcBorders>
            <w:gridSpan w:val="3"/>
          </w:tcPr>
          <w:p>
            <w:pPr>
              <w:jc w:val="right"/>
              <w:spacing w:after="0"/>
              <w:rPr>
                <w:rFonts w:ascii="Arial" w:cs="Arial" w:eastAsia="Arial" w:hAnsi="Arial"/>
                <w:sz w:val="18"/>
                <w:szCs w:val="18"/>
                <w:color w:val="0000FF"/>
              </w:rPr>
            </w:pPr>
            <w:hyperlink w:anchor="page2">
              <w:r>
                <w:rPr>
                  <w:rFonts w:ascii="Arial" w:cs="Arial" w:eastAsia="Arial" w:hAnsi="Arial"/>
                  <w:sz w:val="18"/>
                  <w:szCs w:val="18"/>
                  <w:color w:val="0000FF"/>
                </w:rPr>
                <w:t>3</w:t>
              </w:r>
            </w:hyperlink>
          </w:p>
        </w:tc>
        <w:tc>
          <w:tcPr>
            <w:tcW w:w="4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gridSpan w:val="12"/>
          </w:tcPr>
          <w:p>
            <w:pPr>
              <w:spacing w:after="0"/>
              <w:rPr>
                <w:rFonts w:ascii="Arial" w:cs="Arial" w:eastAsia="Arial" w:hAnsi="Arial"/>
                <w:sz w:val="18"/>
                <w:szCs w:val="18"/>
                <w:color w:val="0000FF"/>
                <w:w w:val="90"/>
              </w:rPr>
            </w:pPr>
            <w:hyperlink w:anchor="page3">
              <w:r>
                <w:rPr>
                  <w:rFonts w:ascii="Arial" w:cs="Arial" w:eastAsia="Arial" w:hAnsi="Arial"/>
                  <w:sz w:val="18"/>
                  <w:szCs w:val="18"/>
                  <w:color w:val="0000FF"/>
                  <w:w w:val="90"/>
                </w:rPr>
                <w:t>Item 1. Consolidated Financial Statements (Unaudited)</w:t>
              </w:r>
            </w:hyperlink>
          </w:p>
        </w:tc>
        <w:tc>
          <w:tcPr>
            <w:tcW w:w="4660" w:type="dxa"/>
            <w:vAlign w:val="bottom"/>
            <w:gridSpan w:val="5"/>
          </w:tcPr>
          <w:p>
            <w:pPr>
              <w:spacing w:after="0"/>
              <w:rPr>
                <w:sz w:val="18"/>
                <w:szCs w:val="18"/>
                <w:color w:val="auto"/>
              </w:rPr>
            </w:pPr>
          </w:p>
        </w:tc>
        <w:tc>
          <w:tcPr>
            <w:tcW w:w="2140" w:type="dxa"/>
            <w:vAlign w:val="bottom"/>
            <w:gridSpan w:val="4"/>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c>
          <w:tcPr>
            <w:tcW w:w="4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gridSpan w:val="5"/>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Consolidated Balance Sheets</w:t>
              </w:r>
            </w:hyperlink>
          </w:p>
        </w:tc>
        <w:tc>
          <w:tcPr>
            <w:tcW w:w="1680" w:type="dxa"/>
            <w:vAlign w:val="bottom"/>
            <w:gridSpan w:val="6"/>
          </w:tcPr>
          <w:p>
            <w:pPr>
              <w:spacing w:after="0"/>
              <w:rPr>
                <w:sz w:val="18"/>
                <w:szCs w:val="18"/>
                <w:color w:val="auto"/>
              </w:rPr>
            </w:pPr>
          </w:p>
        </w:tc>
        <w:tc>
          <w:tcPr>
            <w:tcW w:w="4660" w:type="dxa"/>
            <w:vAlign w:val="bottom"/>
            <w:gridSpan w:val="5"/>
          </w:tcPr>
          <w:p>
            <w:pPr>
              <w:spacing w:after="0"/>
              <w:rPr>
                <w:sz w:val="18"/>
                <w:szCs w:val="18"/>
                <w:color w:val="auto"/>
              </w:rPr>
            </w:pPr>
          </w:p>
        </w:tc>
        <w:tc>
          <w:tcPr>
            <w:tcW w:w="2140" w:type="dxa"/>
            <w:vAlign w:val="bottom"/>
            <w:gridSpan w:val="4"/>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c>
          <w:tcPr>
            <w:tcW w:w="4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40" w:type="dxa"/>
            <w:vAlign w:val="bottom"/>
            <w:gridSpan w:val="16"/>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Consolidated Statements of Operations</w:t>
              </w:r>
            </w:hyperlink>
          </w:p>
        </w:tc>
        <w:tc>
          <w:tcPr>
            <w:tcW w:w="2140" w:type="dxa"/>
            <w:vAlign w:val="bottom"/>
            <w:gridSpan w:val="4"/>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c>
          <w:tcPr>
            <w:tcW w:w="4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60" w:type="dxa"/>
            <w:vAlign w:val="bottom"/>
            <w:gridSpan w:val="12"/>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Consolidated Comprehensive Income (Loss) Statements</w:t>
              </w:r>
            </w:hyperlink>
          </w:p>
        </w:tc>
        <w:tc>
          <w:tcPr>
            <w:tcW w:w="4380" w:type="dxa"/>
            <w:vAlign w:val="bottom"/>
            <w:gridSpan w:val="4"/>
          </w:tcPr>
          <w:p>
            <w:pPr>
              <w:spacing w:after="0"/>
              <w:rPr>
                <w:sz w:val="18"/>
                <w:szCs w:val="18"/>
                <w:color w:val="auto"/>
              </w:rPr>
            </w:pPr>
          </w:p>
        </w:tc>
        <w:tc>
          <w:tcPr>
            <w:tcW w:w="2140" w:type="dxa"/>
            <w:vAlign w:val="bottom"/>
            <w:gridSpan w:val="4"/>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c>
          <w:tcPr>
            <w:tcW w:w="4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60" w:type="dxa"/>
            <w:vAlign w:val="bottom"/>
            <w:gridSpan w:val="12"/>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Consolidated Statements of Stockholders' Equity</w:t>
              </w:r>
            </w:hyperlink>
          </w:p>
        </w:tc>
        <w:tc>
          <w:tcPr>
            <w:tcW w:w="4380" w:type="dxa"/>
            <w:vAlign w:val="bottom"/>
            <w:gridSpan w:val="4"/>
          </w:tcPr>
          <w:p>
            <w:pPr>
              <w:spacing w:after="0"/>
              <w:rPr>
                <w:sz w:val="18"/>
                <w:szCs w:val="18"/>
                <w:color w:val="auto"/>
              </w:rPr>
            </w:pPr>
          </w:p>
        </w:tc>
        <w:tc>
          <w:tcPr>
            <w:tcW w:w="2140" w:type="dxa"/>
            <w:vAlign w:val="bottom"/>
            <w:gridSpan w:val="4"/>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c>
          <w:tcPr>
            <w:tcW w:w="4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gridSpan w:val="8"/>
          </w:tcPr>
          <w:p>
            <w:pPr>
              <w:spacing w:after="0"/>
              <w:rPr>
                <w:rFonts w:ascii="Arial" w:cs="Arial" w:eastAsia="Arial" w:hAnsi="Arial"/>
                <w:sz w:val="18"/>
                <w:szCs w:val="18"/>
                <w:color w:val="0000FF"/>
                <w:w w:val="86"/>
              </w:rPr>
            </w:pPr>
            <w:hyperlink w:anchor="page6">
              <w:r>
                <w:rPr>
                  <w:rFonts w:ascii="Arial" w:cs="Arial" w:eastAsia="Arial" w:hAnsi="Arial"/>
                  <w:sz w:val="18"/>
                  <w:szCs w:val="18"/>
                  <w:color w:val="0000FF"/>
                  <w:w w:val="86"/>
                </w:rPr>
                <w:t>Consolidated Statements of Cash Flows</w:t>
              </w:r>
            </w:hyperlink>
          </w:p>
        </w:tc>
        <w:tc>
          <w:tcPr>
            <w:tcW w:w="700" w:type="dxa"/>
            <w:vAlign w:val="bottom"/>
            <w:gridSpan w:val="2"/>
          </w:tcPr>
          <w:p>
            <w:pPr>
              <w:spacing w:after="0"/>
              <w:rPr>
                <w:sz w:val="18"/>
                <w:szCs w:val="18"/>
                <w:color w:val="auto"/>
              </w:rPr>
            </w:pPr>
          </w:p>
        </w:tc>
        <w:tc>
          <w:tcPr>
            <w:tcW w:w="4920" w:type="dxa"/>
            <w:vAlign w:val="bottom"/>
            <w:gridSpan w:val="6"/>
          </w:tcPr>
          <w:p>
            <w:pPr>
              <w:spacing w:after="0"/>
              <w:rPr>
                <w:sz w:val="18"/>
                <w:szCs w:val="18"/>
                <w:color w:val="auto"/>
              </w:rPr>
            </w:pPr>
          </w:p>
        </w:tc>
        <w:tc>
          <w:tcPr>
            <w:tcW w:w="2140" w:type="dxa"/>
            <w:vAlign w:val="bottom"/>
            <w:gridSpan w:val="4"/>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c>
          <w:tcPr>
            <w:tcW w:w="4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60" w:type="dxa"/>
            <w:vAlign w:val="bottom"/>
            <w:gridSpan w:val="9"/>
          </w:tcPr>
          <w:p>
            <w:pPr>
              <w:spacing w:after="0"/>
              <w:rPr>
                <w:rFonts w:ascii="Arial" w:cs="Arial" w:eastAsia="Arial" w:hAnsi="Arial"/>
                <w:sz w:val="18"/>
                <w:szCs w:val="18"/>
                <w:color w:val="0000FF"/>
                <w:w w:val="89"/>
              </w:rPr>
            </w:pPr>
            <w:hyperlink w:anchor="page7">
              <w:r>
                <w:rPr>
                  <w:rFonts w:ascii="Arial" w:cs="Arial" w:eastAsia="Arial" w:hAnsi="Arial"/>
                  <w:sz w:val="18"/>
                  <w:szCs w:val="18"/>
                  <w:color w:val="0000FF"/>
                  <w:w w:val="89"/>
                </w:rPr>
                <w:t>Notes to Consolidated Financial Statements</w:t>
              </w:r>
            </w:hyperlink>
          </w:p>
        </w:tc>
        <w:tc>
          <w:tcPr>
            <w:tcW w:w="5280" w:type="dxa"/>
            <w:vAlign w:val="bottom"/>
            <w:gridSpan w:val="7"/>
          </w:tcPr>
          <w:p>
            <w:pPr>
              <w:spacing w:after="0"/>
              <w:rPr>
                <w:sz w:val="18"/>
                <w:szCs w:val="18"/>
                <w:color w:val="auto"/>
              </w:rPr>
            </w:pPr>
          </w:p>
        </w:tc>
        <w:tc>
          <w:tcPr>
            <w:tcW w:w="2140" w:type="dxa"/>
            <w:vAlign w:val="bottom"/>
            <w:gridSpan w:val="4"/>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8</w:t>
              </w:r>
            </w:hyperlink>
          </w:p>
        </w:tc>
        <w:tc>
          <w:tcPr>
            <w:tcW w:w="4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000" w:type="dxa"/>
            <w:vAlign w:val="bottom"/>
            <w:tcBorders>
              <w:bottom w:val="single" w:sz="8" w:color="0000FF"/>
            </w:tcBorders>
            <w:gridSpan w:val="16"/>
          </w:tcPr>
          <w:p>
            <w:pPr>
              <w:spacing w:after="0"/>
              <w:rPr>
                <w:rFonts w:ascii="Arial" w:cs="Arial" w:eastAsia="Arial" w:hAnsi="Arial"/>
                <w:sz w:val="18"/>
                <w:szCs w:val="18"/>
                <w:color w:val="0000FF"/>
                <w:w w:val="90"/>
              </w:rPr>
            </w:pPr>
            <w:hyperlink w:anchor="page22">
              <w:r>
                <w:rPr>
                  <w:rFonts w:ascii="Arial" w:cs="Arial" w:eastAsia="Arial" w:hAnsi="Arial"/>
                  <w:sz w:val="18"/>
                  <w:szCs w:val="18"/>
                  <w:color w:val="0000FF"/>
                  <w:w w:val="90"/>
                </w:rPr>
                <w:t>Item 2. Management's Discussion and Analysis of Financial Condition and Results of Operations</w:t>
              </w:r>
            </w:hyperlink>
          </w:p>
        </w:tc>
        <w:tc>
          <w:tcPr>
            <w:tcW w:w="1640" w:type="dxa"/>
            <w:vAlign w:val="bottom"/>
          </w:tcPr>
          <w:p>
            <w:pPr>
              <w:spacing w:after="0"/>
              <w:rPr>
                <w:sz w:val="18"/>
                <w:szCs w:val="18"/>
                <w:color w:val="auto"/>
              </w:rPr>
            </w:pPr>
          </w:p>
        </w:tc>
        <w:tc>
          <w:tcPr>
            <w:tcW w:w="196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2">
              <w:r>
                <w:rPr>
                  <w:rFonts w:ascii="Arial" w:cs="Arial" w:eastAsia="Arial" w:hAnsi="Arial"/>
                  <w:sz w:val="18"/>
                  <w:szCs w:val="18"/>
                  <w:color w:val="0000FF"/>
                  <w:w w:val="79"/>
                </w:rPr>
                <w:t>23</w:t>
              </w:r>
            </w:hyperlink>
          </w:p>
        </w:tc>
        <w:tc>
          <w:tcPr>
            <w:tcW w:w="4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920" w:type="dxa"/>
            <w:vAlign w:val="bottom"/>
            <w:tcBorders>
              <w:bottom w:val="single" w:sz="8" w:color="0000FF"/>
            </w:tcBorders>
            <w:gridSpan w:val="15"/>
          </w:tcPr>
          <w:p>
            <w:pPr>
              <w:spacing w:after="0"/>
              <w:rPr>
                <w:rFonts w:ascii="Arial" w:cs="Arial" w:eastAsia="Arial" w:hAnsi="Arial"/>
                <w:sz w:val="18"/>
                <w:szCs w:val="18"/>
                <w:color w:val="0000FF"/>
                <w:w w:val="92"/>
              </w:rPr>
            </w:pPr>
            <w:hyperlink w:anchor="page30">
              <w:r>
                <w:rPr>
                  <w:rFonts w:ascii="Arial" w:cs="Arial" w:eastAsia="Arial" w:hAnsi="Arial"/>
                  <w:sz w:val="18"/>
                  <w:szCs w:val="18"/>
                  <w:color w:val="0000FF"/>
                  <w:w w:val="92"/>
                </w:rPr>
                <w:t>Item 3. Quantitative and Qualitative Disclosures About Market Risk</w:t>
              </w:r>
            </w:hyperlink>
          </w:p>
        </w:tc>
        <w:tc>
          <w:tcPr>
            <w:tcW w:w="3720" w:type="dxa"/>
            <w:vAlign w:val="bottom"/>
            <w:gridSpan w:val="2"/>
          </w:tcPr>
          <w:p>
            <w:pPr>
              <w:spacing w:after="0"/>
              <w:rPr>
                <w:sz w:val="18"/>
                <w:szCs w:val="18"/>
                <w:color w:val="auto"/>
              </w:rPr>
            </w:pPr>
          </w:p>
        </w:tc>
        <w:tc>
          <w:tcPr>
            <w:tcW w:w="196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0">
              <w:r>
                <w:rPr>
                  <w:rFonts w:ascii="Arial" w:cs="Arial" w:eastAsia="Arial" w:hAnsi="Arial"/>
                  <w:sz w:val="18"/>
                  <w:szCs w:val="18"/>
                  <w:color w:val="0000FF"/>
                  <w:w w:val="79"/>
                </w:rPr>
                <w:t>30</w:t>
              </w:r>
            </w:hyperlink>
          </w:p>
        </w:tc>
        <w:tc>
          <w:tcPr>
            <w:tcW w:w="4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640" w:type="dxa"/>
            <w:vAlign w:val="bottom"/>
            <w:gridSpan w:val="17"/>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Item 4. Controls and Procedures</w:t>
              </w:r>
            </w:hyperlink>
          </w:p>
        </w:tc>
        <w:tc>
          <w:tcPr>
            <w:tcW w:w="2140" w:type="dxa"/>
            <w:vAlign w:val="bottom"/>
            <w:gridSpan w:val="4"/>
          </w:tcPr>
          <w:p>
            <w:pPr>
              <w:jc w:val="right"/>
              <w:spacing w:after="0"/>
              <w:rPr>
                <w:rFonts w:ascii="Arial" w:cs="Arial" w:eastAsia="Arial" w:hAnsi="Arial"/>
                <w:sz w:val="18"/>
                <w:szCs w:val="18"/>
                <w:color w:val="0000FF"/>
              </w:rPr>
            </w:pPr>
            <w:hyperlink w:anchor="page31">
              <w:r>
                <w:rPr>
                  <w:rFonts w:ascii="Arial" w:cs="Arial" w:eastAsia="Arial" w:hAnsi="Arial"/>
                  <w:sz w:val="18"/>
                  <w:szCs w:val="18"/>
                  <w:color w:val="0000FF"/>
                </w:rPr>
                <w:t>31</w:t>
              </w:r>
            </w:hyperlink>
          </w:p>
        </w:tc>
        <w:tc>
          <w:tcPr>
            <w:tcW w:w="4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20" w:type="dxa"/>
            <w:vAlign w:val="bottom"/>
            <w:gridSpan w:val="6"/>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780" w:type="dxa"/>
            <w:vAlign w:val="bottom"/>
            <w:tcBorders>
              <w:bottom w:val="single" w:sz="8" w:color="0000FF"/>
            </w:tcBorders>
            <w:gridSpan w:val="8"/>
          </w:tcPr>
          <w:p>
            <w:pPr>
              <w:spacing w:after="0"/>
              <w:rPr>
                <w:rFonts w:ascii="Arial" w:cs="Arial" w:eastAsia="Arial" w:hAnsi="Arial"/>
                <w:sz w:val="18"/>
                <w:szCs w:val="18"/>
                <w:b w:val="1"/>
                <w:bCs w:val="1"/>
                <w:color w:val="0000FF"/>
              </w:rPr>
            </w:pPr>
            <w:hyperlink w:anchor="page31">
              <w:r>
                <w:rPr>
                  <w:rFonts w:ascii="Arial" w:cs="Arial" w:eastAsia="Arial" w:hAnsi="Arial"/>
                  <w:sz w:val="18"/>
                  <w:szCs w:val="18"/>
                  <w:b w:val="1"/>
                  <w:bCs w:val="1"/>
                  <w:color w:val="0000FF"/>
                </w:rPr>
                <w:t>PART II. OTHER INFORMATION</w:t>
              </w:r>
            </w:hyperlink>
          </w:p>
        </w:tc>
        <w:tc>
          <w:tcPr>
            <w:tcW w:w="5860" w:type="dxa"/>
            <w:vAlign w:val="bottom"/>
            <w:gridSpan w:val="9"/>
          </w:tcPr>
          <w:p>
            <w:pPr>
              <w:spacing w:after="0"/>
              <w:rPr>
                <w:sz w:val="18"/>
                <w:szCs w:val="18"/>
                <w:color w:val="auto"/>
              </w:rPr>
            </w:pPr>
          </w:p>
        </w:tc>
        <w:tc>
          <w:tcPr>
            <w:tcW w:w="196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1">
              <w:r>
                <w:rPr>
                  <w:rFonts w:ascii="Arial" w:cs="Arial" w:eastAsia="Arial" w:hAnsi="Arial"/>
                  <w:sz w:val="18"/>
                  <w:szCs w:val="18"/>
                  <w:color w:val="0000FF"/>
                  <w:w w:val="79"/>
                </w:rPr>
                <w:t>31</w:t>
              </w:r>
            </w:hyperlink>
          </w:p>
        </w:tc>
        <w:tc>
          <w:tcPr>
            <w:tcW w:w="4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900" w:type="dxa"/>
            <w:vAlign w:val="bottom"/>
            <w:tcBorders>
              <w:bottom w:val="single" w:sz="8" w:color="0000FF"/>
            </w:tcBorders>
            <w:gridSpan w:val="5"/>
          </w:tcPr>
          <w:p>
            <w:pPr>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Item 1. Legal Proceedings</w:t>
              </w:r>
            </w:hyperlink>
          </w:p>
        </w:tc>
        <w:tc>
          <w:tcPr>
            <w:tcW w:w="6740" w:type="dxa"/>
            <w:vAlign w:val="bottom"/>
            <w:gridSpan w:val="12"/>
          </w:tcPr>
          <w:p>
            <w:pPr>
              <w:spacing w:after="0"/>
              <w:rPr>
                <w:sz w:val="18"/>
                <w:szCs w:val="18"/>
                <w:color w:val="auto"/>
              </w:rPr>
            </w:pPr>
          </w:p>
        </w:tc>
        <w:tc>
          <w:tcPr>
            <w:tcW w:w="196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1">
              <w:r>
                <w:rPr>
                  <w:rFonts w:ascii="Arial" w:cs="Arial" w:eastAsia="Arial" w:hAnsi="Arial"/>
                  <w:sz w:val="18"/>
                  <w:szCs w:val="18"/>
                  <w:color w:val="0000FF"/>
                  <w:w w:val="79"/>
                </w:rPr>
                <w:t>31</w:t>
              </w:r>
            </w:hyperlink>
          </w:p>
        </w:tc>
        <w:tc>
          <w:tcPr>
            <w:tcW w:w="4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600" w:type="dxa"/>
            <w:vAlign w:val="bottom"/>
            <w:tcBorders>
              <w:bottom w:val="single" w:sz="8" w:color="0000FF"/>
            </w:tcBorders>
            <w:gridSpan w:val="4"/>
          </w:tcPr>
          <w:p>
            <w:pPr>
              <w:spacing w:after="0"/>
              <w:rPr>
                <w:rFonts w:ascii="Arial" w:cs="Arial" w:eastAsia="Arial" w:hAnsi="Arial"/>
                <w:sz w:val="18"/>
                <w:szCs w:val="18"/>
                <w:color w:val="0000FF"/>
                <w:w w:val="91"/>
              </w:rPr>
            </w:pPr>
            <w:hyperlink w:anchor="page31">
              <w:r>
                <w:rPr>
                  <w:rFonts w:ascii="Arial" w:cs="Arial" w:eastAsia="Arial" w:hAnsi="Arial"/>
                  <w:sz w:val="18"/>
                  <w:szCs w:val="18"/>
                  <w:color w:val="0000FF"/>
                  <w:w w:val="91"/>
                </w:rPr>
                <w:t>Item 1A. Risk Factors</w:t>
              </w:r>
            </w:hyperlink>
          </w:p>
        </w:tc>
        <w:tc>
          <w:tcPr>
            <w:tcW w:w="7040" w:type="dxa"/>
            <w:vAlign w:val="bottom"/>
            <w:gridSpan w:val="13"/>
          </w:tcPr>
          <w:p>
            <w:pPr>
              <w:spacing w:after="0"/>
              <w:rPr>
                <w:sz w:val="18"/>
                <w:szCs w:val="18"/>
                <w:color w:val="auto"/>
              </w:rPr>
            </w:pPr>
          </w:p>
        </w:tc>
        <w:tc>
          <w:tcPr>
            <w:tcW w:w="196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1">
              <w:r>
                <w:rPr>
                  <w:rFonts w:ascii="Arial" w:cs="Arial" w:eastAsia="Arial" w:hAnsi="Arial"/>
                  <w:sz w:val="18"/>
                  <w:szCs w:val="18"/>
                  <w:color w:val="0000FF"/>
                  <w:w w:val="79"/>
                </w:rPr>
                <w:t>31</w:t>
              </w:r>
            </w:hyperlink>
          </w:p>
        </w:tc>
        <w:tc>
          <w:tcPr>
            <w:tcW w:w="4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8640" w:type="dxa"/>
            <w:vAlign w:val="bottom"/>
            <w:gridSpan w:val="17"/>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Item 2. Unregistered Sales of Equity Securities and Use of Proceeds</w:t>
              </w:r>
            </w:hyperlink>
          </w:p>
        </w:tc>
        <w:tc>
          <w:tcPr>
            <w:tcW w:w="2140" w:type="dxa"/>
            <w:vAlign w:val="bottom"/>
            <w:gridSpan w:val="4"/>
          </w:tcPr>
          <w:p>
            <w:pPr>
              <w:jc w:val="right"/>
              <w:spacing w:after="0"/>
              <w:rPr>
                <w:rFonts w:ascii="Arial" w:cs="Arial" w:eastAsia="Arial" w:hAnsi="Arial"/>
                <w:sz w:val="18"/>
                <w:szCs w:val="18"/>
                <w:color w:val="0000FF"/>
              </w:rPr>
            </w:pPr>
            <w:hyperlink w:anchor="page32">
              <w:r>
                <w:rPr>
                  <w:rFonts w:ascii="Arial" w:cs="Arial" w:eastAsia="Arial" w:hAnsi="Arial"/>
                  <w:sz w:val="18"/>
                  <w:szCs w:val="18"/>
                  <w:color w:val="0000FF"/>
                </w:rPr>
                <w:t>32</w:t>
              </w:r>
            </w:hyperlink>
          </w:p>
        </w:tc>
        <w:tc>
          <w:tcPr>
            <w:tcW w:w="4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900" w:type="dxa"/>
            <w:vAlign w:val="bottom"/>
            <w:tcBorders>
              <w:top w:val="single" w:sz="8" w:color="0000FF"/>
            </w:tcBorders>
            <w:gridSpan w:val="14"/>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Item 6. Exhibits</w:t>
              </w:r>
            </w:hyperlink>
          </w:p>
        </w:tc>
        <w:tc>
          <w:tcPr>
            <w:tcW w:w="3740" w:type="dxa"/>
            <w:vAlign w:val="bottom"/>
            <w:gridSpan w:val="3"/>
          </w:tcPr>
          <w:p>
            <w:pPr>
              <w:spacing w:after="0"/>
              <w:rPr>
                <w:sz w:val="18"/>
                <w:szCs w:val="18"/>
                <w:color w:val="auto"/>
              </w:rPr>
            </w:pPr>
          </w:p>
        </w:tc>
        <w:tc>
          <w:tcPr>
            <w:tcW w:w="1960" w:type="dxa"/>
            <w:vAlign w:val="bottom"/>
            <w:gridSpan w:val="2"/>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32">
              <w:r>
                <w:rPr>
                  <w:rFonts w:ascii="Arial" w:cs="Arial" w:eastAsia="Arial" w:hAnsi="Arial"/>
                  <w:sz w:val="18"/>
                  <w:szCs w:val="18"/>
                  <w:color w:val="0000FF"/>
                  <w:w w:val="79"/>
                </w:rPr>
                <w:t>33</w:t>
              </w:r>
            </w:hyperlink>
          </w:p>
        </w:tc>
        <w:tc>
          <w:tcPr>
            <w:tcW w:w="4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160" w:type="dxa"/>
            <w:vAlign w:val="bottom"/>
            <w:tcBorders>
              <w:top w:val="single" w:sz="8" w:color="0000FF"/>
            </w:tcBorders>
            <w:gridSpan w:val="3"/>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Signatures</w:t>
              </w:r>
            </w:hyperlink>
          </w:p>
        </w:tc>
        <w:tc>
          <w:tcPr>
            <w:tcW w:w="7480" w:type="dxa"/>
            <w:vAlign w:val="bottom"/>
            <w:gridSpan w:val="14"/>
          </w:tcPr>
          <w:p>
            <w:pPr>
              <w:spacing w:after="0"/>
              <w:rPr>
                <w:sz w:val="18"/>
                <w:szCs w:val="18"/>
                <w:color w:val="auto"/>
              </w:rPr>
            </w:pPr>
          </w:p>
        </w:tc>
        <w:tc>
          <w:tcPr>
            <w:tcW w:w="1960" w:type="dxa"/>
            <w:vAlign w:val="bottom"/>
            <w:gridSpan w:val="2"/>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33">
              <w:r>
                <w:rPr>
                  <w:rFonts w:ascii="Arial" w:cs="Arial" w:eastAsia="Arial" w:hAnsi="Arial"/>
                  <w:sz w:val="18"/>
                  <w:szCs w:val="18"/>
                  <w:color w:val="0000FF"/>
                  <w:w w:val="79"/>
                </w:rPr>
                <w:t>34</w:t>
              </w:r>
            </w:hyperlink>
          </w:p>
        </w:tc>
        <w:tc>
          <w:tcPr>
            <w:tcW w:w="440" w:type="dxa"/>
            <w:vAlign w:val="bottom"/>
          </w:tcPr>
          <w:p>
            <w:pPr>
              <w:spacing w:after="0"/>
              <w:rPr>
                <w:sz w:val="18"/>
                <w:szCs w:val="18"/>
                <w:color w:val="auto"/>
              </w:rPr>
            </w:pPr>
          </w:p>
        </w:tc>
      </w:tr>
      <w:tr>
        <w:trPr>
          <w:trHeight w:val="1877"/>
        </w:trPr>
        <w:tc>
          <w:tcPr>
            <w:tcW w:w="20" w:type="dxa"/>
            <w:vAlign w:val="bottom"/>
            <w:tcBorders>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 (Unaudited)</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share-related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 2021</w:t>
            </w:r>
          </w:p>
        </w:tc>
        <w:tc>
          <w:tcPr>
            <w:tcW w:w="180" w:type="dxa"/>
            <w:vAlign w:val="bottom"/>
          </w:tcPr>
          <w:p>
            <w:pPr>
              <w:spacing w:after="0"/>
              <w:rPr>
                <w:sz w:val="18"/>
                <w:szCs w:val="18"/>
                <w:color w:val="auto"/>
              </w:rPr>
            </w:pPr>
          </w:p>
        </w:tc>
        <w:tc>
          <w:tcPr>
            <w:tcW w:w="1640" w:type="dxa"/>
            <w:vAlign w:val="bottom"/>
          </w:tcPr>
          <w:p>
            <w:pPr>
              <w:jc w:val="right"/>
              <w:ind w:right="179"/>
              <w:spacing w:after="0"/>
              <w:rPr>
                <w:sz w:val="20"/>
                <w:szCs w:val="20"/>
                <w:color w:val="auto"/>
              </w:rPr>
            </w:pPr>
            <w:r>
              <w:rPr>
                <w:rFonts w:ascii="Arial" w:cs="Arial" w:eastAsia="Arial" w:hAnsi="Arial"/>
                <w:sz w:val="16"/>
                <w:szCs w:val="16"/>
                <w:b w:val="1"/>
                <w:bCs w:val="1"/>
                <w:color w:val="auto"/>
                <w:w w:val="94"/>
              </w:rPr>
              <w:t>December 31, 2020</w:t>
            </w:r>
          </w:p>
        </w:tc>
        <w:tc>
          <w:tcPr>
            <w:tcW w:w="0" w:type="dxa"/>
            <w:vAlign w:val="bottom"/>
          </w:tcPr>
          <w:p>
            <w:pPr>
              <w:spacing w:after="0"/>
              <w:rPr>
                <w:sz w:val="1"/>
                <w:szCs w:val="1"/>
                <w:color w:val="auto"/>
              </w:rPr>
            </w:pPr>
          </w:p>
        </w:tc>
      </w:tr>
      <w:tr>
        <w:trPr>
          <w:trHeight w:val="199"/>
        </w:trPr>
        <w:tc>
          <w:tcPr>
            <w:tcW w:w="7480" w:type="dxa"/>
            <w:vAlign w:val="bottom"/>
            <w:tcBorders>
              <w:top w:val="single" w:sz="8" w:color="CCEEFF"/>
            </w:tcBorders>
            <w:shd w:val="clear" w:color="auto" w:fill="CCEEFF"/>
          </w:tcPr>
          <w:p>
            <w:pPr>
              <w:ind w:left="344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55,363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57,153</w:t>
            </w: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Arial" w:cs="Arial" w:eastAsia="Arial" w:hAnsi="Arial"/>
                <w:sz w:val="16"/>
                <w:szCs w:val="16"/>
                <w:color w:val="auto"/>
              </w:rPr>
              <w:t>Accounts receivable, net</w:t>
            </w: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139,708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129,433</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Contract assets</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9,685</w:t>
            </w: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Arial" w:cs="Arial" w:eastAsia="Arial" w:hAnsi="Arial"/>
                <w:sz w:val="16"/>
                <w:szCs w:val="16"/>
                <w:color w:val="auto"/>
              </w:rPr>
              <w:t>Inventories</w:t>
            </w: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117,892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120,430</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7,984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6,828</w:t>
            </w:r>
          </w:p>
        </w:tc>
        <w:tc>
          <w:tcPr>
            <w:tcW w:w="0" w:type="dxa"/>
            <w:vAlign w:val="bottom"/>
          </w:tcPr>
          <w:p>
            <w:pPr>
              <w:spacing w:after="0"/>
              <w:rPr>
                <w:sz w:val="1"/>
                <w:szCs w:val="1"/>
                <w:color w:val="auto"/>
              </w:rPr>
            </w:pPr>
          </w:p>
        </w:tc>
      </w:tr>
      <w:tr>
        <w:trPr>
          <w:trHeight w:val="213"/>
        </w:trPr>
        <w:tc>
          <w:tcPr>
            <w:tcW w:w="74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Income tax receivable</w:t>
            </w: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3,314</w:t>
            </w:r>
          </w:p>
        </w:tc>
        <w:tc>
          <w:tcPr>
            <w:tcW w:w="0" w:type="dxa"/>
            <w:vAlign w:val="bottom"/>
          </w:tcPr>
          <w:p>
            <w:pPr>
              <w:spacing w:after="0"/>
              <w:rPr>
                <w:sz w:val="1"/>
                <w:szCs w:val="1"/>
                <w:color w:val="auto"/>
              </w:rPr>
            </w:pPr>
          </w:p>
        </w:tc>
      </w:tr>
      <w:tr>
        <w:trPr>
          <w:trHeight w:val="213"/>
        </w:trPr>
        <w:tc>
          <w:tcPr>
            <w:tcW w:w="7480" w:type="dxa"/>
            <w:vAlign w:val="bottom"/>
            <w:shd w:val="clear" w:color="auto" w:fill="CCEEFF"/>
          </w:tcPr>
          <w:p>
            <w:pPr>
              <w:ind w:left="800"/>
              <w:spacing w:after="0"/>
              <w:rPr>
                <w:sz w:val="20"/>
                <w:szCs w:val="20"/>
                <w:color w:val="auto"/>
              </w:rPr>
            </w:pPr>
            <w:r>
              <w:rPr>
                <w:rFonts w:ascii="Arial" w:cs="Arial" w:eastAsia="Arial" w:hAnsi="Arial"/>
                <w:sz w:val="16"/>
                <w:szCs w:val="16"/>
                <w:color w:val="auto"/>
              </w:rPr>
              <w:t>Total current assets</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332,129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326,843</w:t>
            </w: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Property, plant and equipment, net</w:t>
            </w: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84,869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87,285</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48,527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48,614</w:t>
            </w: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19,973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19,710</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17,702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19,522</w:t>
            </w: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4,899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5,564</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2,687</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2,752</w:t>
            </w:r>
          </w:p>
        </w:tc>
        <w:tc>
          <w:tcPr>
            <w:tcW w:w="0" w:type="dxa"/>
            <w:vAlign w:val="bottom"/>
          </w:tcPr>
          <w:p>
            <w:pPr>
              <w:spacing w:after="0"/>
              <w:rPr>
                <w:sz w:val="1"/>
                <w:szCs w:val="1"/>
                <w:color w:val="auto"/>
              </w:rPr>
            </w:pPr>
          </w:p>
        </w:tc>
      </w:tr>
      <w:tr>
        <w:trPr>
          <w:trHeight w:val="213"/>
        </w:trPr>
        <w:tc>
          <w:tcPr>
            <w:tcW w:w="7480" w:type="dxa"/>
            <w:vAlign w:val="bottom"/>
          </w:tcPr>
          <w:p>
            <w:pPr>
              <w:ind w:left="80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510,786</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510,290</w:t>
            </w:r>
          </w:p>
        </w:tc>
        <w:tc>
          <w:tcPr>
            <w:tcW w:w="0" w:type="dxa"/>
            <w:vAlign w:val="bottom"/>
          </w:tcPr>
          <w:p>
            <w:pPr>
              <w:spacing w:after="0"/>
              <w:rPr>
                <w:sz w:val="1"/>
                <w:szCs w:val="1"/>
                <w:color w:val="auto"/>
              </w:rPr>
            </w:pP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480" w:type="dxa"/>
            <w:vAlign w:val="bottom"/>
            <w:shd w:val="clear" w:color="auto" w:fill="CCEEFF"/>
          </w:tcPr>
          <w:p>
            <w:pPr>
              <w:ind w:left="200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payable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79,922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83,229</w:t>
            </w: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Arial" w:cs="Arial" w:eastAsia="Arial" w:hAnsi="Arial"/>
                <w:sz w:val="16"/>
                <w:szCs w:val="16"/>
                <w:color w:val="auto"/>
              </w:rPr>
              <w:t>Line of credit</w:t>
            </w: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40,000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20,000</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Accrued compensation</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22,802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28,931</w:t>
            </w: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Arial" w:cs="Arial" w:eastAsia="Arial" w:hAnsi="Arial"/>
                <w:sz w:val="16"/>
                <w:szCs w:val="16"/>
                <w:color w:val="auto"/>
              </w:rPr>
              <w:t>Accrued sales discounts, rebates and royalties</w:t>
            </w: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8,108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10,758</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Accrued income taxes</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3,535</w:t>
            </w:r>
          </w:p>
        </w:tc>
        <w:tc>
          <w:tcPr>
            <w:tcW w:w="0" w:type="dxa"/>
            <w:vAlign w:val="bottom"/>
          </w:tcPr>
          <w:p>
            <w:pPr>
              <w:spacing w:after="0"/>
              <w:rPr>
                <w:sz w:val="1"/>
                <w:szCs w:val="1"/>
                <w:color w:val="auto"/>
              </w:rPr>
            </w:pPr>
          </w:p>
        </w:tc>
      </w:tr>
      <w:tr>
        <w:trPr>
          <w:trHeight w:val="213"/>
        </w:trPr>
        <w:tc>
          <w:tcPr>
            <w:tcW w:w="74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accrued liabilities</w:t>
            </w: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33,725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33,057</w:t>
            </w:r>
          </w:p>
        </w:tc>
        <w:tc>
          <w:tcPr>
            <w:tcW w:w="0" w:type="dxa"/>
            <w:vAlign w:val="bottom"/>
          </w:tcPr>
          <w:p>
            <w:pPr>
              <w:spacing w:after="0"/>
              <w:rPr>
                <w:sz w:val="1"/>
                <w:szCs w:val="1"/>
                <w:color w:val="auto"/>
              </w:rPr>
            </w:pPr>
          </w:p>
        </w:tc>
      </w:tr>
      <w:tr>
        <w:trPr>
          <w:trHeight w:val="213"/>
        </w:trPr>
        <w:tc>
          <w:tcPr>
            <w:tcW w:w="7480" w:type="dxa"/>
            <w:vAlign w:val="bottom"/>
            <w:shd w:val="clear" w:color="auto" w:fill="CCEEFF"/>
          </w:tcPr>
          <w:p>
            <w:pPr>
              <w:ind w:left="800"/>
              <w:spacing w:after="0"/>
              <w:rPr>
                <w:sz w:val="20"/>
                <w:szCs w:val="20"/>
                <w:color w:val="auto"/>
              </w:rPr>
            </w:pPr>
            <w:r>
              <w:rPr>
                <w:rFonts w:ascii="Arial" w:cs="Arial" w:eastAsia="Arial" w:hAnsi="Arial"/>
                <w:sz w:val="16"/>
                <w:szCs w:val="16"/>
                <w:color w:val="auto"/>
              </w:rPr>
              <w:t>Total current liabilities</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185,154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179,510</w:t>
            </w: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Long-term liabilities:</w:t>
            </w: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lease obligations</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11,292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13,681</w:t>
            </w: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Arial" w:cs="Arial" w:eastAsia="Arial" w:hAnsi="Arial"/>
                <w:sz w:val="16"/>
                <w:szCs w:val="16"/>
                <w:color w:val="auto"/>
              </w:rPr>
              <w:t>Contingent consideration</w:t>
            </w: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292</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income taxes</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1,913</w:t>
            </w: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Arial" w:cs="Arial" w:eastAsia="Arial" w:hAnsi="Arial"/>
                <w:sz w:val="16"/>
                <w:szCs w:val="16"/>
                <w:color w:val="auto"/>
              </w:rPr>
              <w:t>Income tax payable</w:t>
            </w: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1,054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1,054</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long-term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539</w:t>
            </w:r>
          </w:p>
        </w:tc>
        <w:tc>
          <w:tcPr>
            <w:tcW w:w="0" w:type="dxa"/>
            <w:vAlign w:val="bottom"/>
          </w:tcPr>
          <w:p>
            <w:pPr>
              <w:spacing w:after="0"/>
              <w:rPr>
                <w:sz w:val="1"/>
                <w:szCs w:val="1"/>
                <w:color w:val="auto"/>
              </w:rPr>
            </w:pPr>
          </w:p>
        </w:tc>
      </w:tr>
      <w:tr>
        <w:trPr>
          <w:trHeight w:val="207"/>
        </w:trPr>
        <w:tc>
          <w:tcPr>
            <w:tcW w:w="7480" w:type="dxa"/>
            <w:vAlign w:val="bottom"/>
          </w:tcPr>
          <w:p>
            <w:pPr>
              <w:ind w:left="800"/>
              <w:spacing w:after="0"/>
              <w:rPr>
                <w:sz w:val="20"/>
                <w:szCs w:val="20"/>
                <w:color w:val="auto"/>
              </w:rPr>
            </w:pPr>
            <w:r>
              <w:rPr>
                <w:rFonts w:ascii="Arial" w:cs="Arial" w:eastAsia="Arial" w:hAnsi="Arial"/>
                <w:sz w:val="16"/>
                <w:szCs w:val="16"/>
                <w:color w:val="auto"/>
              </w:rPr>
              <w:t>Total liabilities</w:t>
            </w:r>
          </w:p>
        </w:tc>
        <w:tc>
          <w:tcPr>
            <w:tcW w:w="24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200,167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196,989</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Preferred stock, $0.01 par value, 5,000,000 shares authorized; none issued or outstanding</w:t>
            </w:r>
          </w:p>
        </w:tc>
        <w:tc>
          <w:tcPr>
            <w:tcW w:w="2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7480" w:type="dxa"/>
            <w:vAlign w:val="bottom"/>
          </w:tcPr>
          <w:p>
            <w:pPr>
              <w:ind w:left="360"/>
              <w:spacing w:after="0" w:line="166" w:lineRule="exact"/>
              <w:rPr>
                <w:sz w:val="20"/>
                <w:szCs w:val="20"/>
                <w:color w:val="auto"/>
              </w:rPr>
            </w:pPr>
            <w:r>
              <w:rPr>
                <w:rFonts w:ascii="Arial" w:cs="Arial" w:eastAsia="Arial" w:hAnsi="Arial"/>
                <w:sz w:val="16"/>
                <w:szCs w:val="16"/>
                <w:color w:val="auto"/>
                <w:w w:val="91"/>
              </w:rPr>
              <w:t>Common stock, $0.01 par value, 50,000,000 shares authorized; 24,581,162 and 24,391,595 shares issued on</w:t>
            </w:r>
          </w:p>
        </w:tc>
        <w:tc>
          <w:tcPr>
            <w:tcW w:w="240" w:type="dxa"/>
            <w:vAlign w:val="bottom"/>
          </w:tcPr>
          <w:p>
            <w:pPr>
              <w:spacing w:after="0"/>
              <w:rPr>
                <w:sz w:val="14"/>
                <w:szCs w:val="14"/>
                <w:color w:val="auto"/>
              </w:rPr>
            </w:pPr>
          </w:p>
        </w:tc>
        <w:tc>
          <w:tcPr>
            <w:tcW w:w="1580" w:type="dxa"/>
            <w:vAlign w:val="bottom"/>
            <w:vMerge w:val="restart"/>
          </w:tcPr>
          <w:p>
            <w:pPr>
              <w:jc w:val="right"/>
              <w:spacing w:after="0"/>
              <w:rPr>
                <w:sz w:val="20"/>
                <w:szCs w:val="20"/>
                <w:color w:val="auto"/>
              </w:rPr>
            </w:pPr>
            <w:r>
              <w:rPr>
                <w:rFonts w:ascii="Arial" w:cs="Arial" w:eastAsia="Arial" w:hAnsi="Arial"/>
                <w:sz w:val="16"/>
                <w:szCs w:val="16"/>
                <w:color w:val="auto"/>
              </w:rPr>
              <w:t>246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vMerge w:val="restart"/>
          </w:tcPr>
          <w:p>
            <w:pPr>
              <w:jc w:val="right"/>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209"/>
        </w:trPr>
        <w:tc>
          <w:tcPr>
            <w:tcW w:w="7480" w:type="dxa"/>
            <w:vAlign w:val="bottom"/>
          </w:tcPr>
          <w:p>
            <w:pPr>
              <w:ind w:left="360"/>
              <w:spacing w:after="0"/>
              <w:rPr>
                <w:sz w:val="20"/>
                <w:szCs w:val="20"/>
                <w:color w:val="auto"/>
              </w:rPr>
            </w:pPr>
            <w:r>
              <w:rPr>
                <w:rFonts w:ascii="Arial" w:cs="Arial" w:eastAsia="Arial" w:hAnsi="Arial"/>
                <w:sz w:val="16"/>
                <w:szCs w:val="16"/>
                <w:color w:val="auto"/>
              </w:rPr>
              <w:t>March 31, 2021 and December 31, 2020, respectively</w:t>
            </w:r>
          </w:p>
        </w:tc>
        <w:tc>
          <w:tcPr>
            <w:tcW w:w="24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Paid-in capital</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306,226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302,084</w:t>
            </w:r>
          </w:p>
        </w:tc>
        <w:tc>
          <w:tcPr>
            <w:tcW w:w="0" w:type="dxa"/>
            <w:vAlign w:val="bottom"/>
          </w:tcPr>
          <w:p>
            <w:pPr>
              <w:spacing w:after="0"/>
              <w:rPr>
                <w:sz w:val="1"/>
                <w:szCs w:val="1"/>
                <w:color w:val="auto"/>
              </w:rPr>
            </w:pPr>
          </w:p>
        </w:tc>
      </w:tr>
      <w:tr>
        <w:trPr>
          <w:trHeight w:val="166"/>
        </w:trPr>
        <w:tc>
          <w:tcPr>
            <w:tcW w:w="7480" w:type="dxa"/>
            <w:vAlign w:val="bottom"/>
          </w:tcPr>
          <w:p>
            <w:pPr>
              <w:ind w:left="360"/>
              <w:spacing w:after="0" w:line="166" w:lineRule="exact"/>
              <w:rPr>
                <w:sz w:val="20"/>
                <w:szCs w:val="20"/>
                <w:color w:val="auto"/>
              </w:rPr>
            </w:pPr>
            <w:r>
              <w:rPr>
                <w:rFonts w:ascii="Arial" w:cs="Arial" w:eastAsia="Arial" w:hAnsi="Arial"/>
                <w:sz w:val="16"/>
                <w:szCs w:val="16"/>
                <w:color w:val="auto"/>
                <w:w w:val="96"/>
              </w:rPr>
              <w:t>Treasury stock, at cost, 10,808,525 and 10,618,002 shares on March 31, 2021 and December 31, 2020,</w:t>
            </w:r>
          </w:p>
        </w:tc>
        <w:tc>
          <w:tcPr>
            <w:tcW w:w="240" w:type="dxa"/>
            <w:vAlign w:val="bottom"/>
          </w:tcPr>
          <w:p>
            <w:pPr>
              <w:spacing w:after="0"/>
              <w:rPr>
                <w:sz w:val="14"/>
                <w:szCs w:val="14"/>
                <w:color w:val="auto"/>
              </w:rPr>
            </w:pPr>
          </w:p>
        </w:tc>
        <w:tc>
          <w:tcPr>
            <w:tcW w:w="1580" w:type="dxa"/>
            <w:vAlign w:val="bottom"/>
            <w:vMerge w:val="restart"/>
          </w:tcPr>
          <w:p>
            <w:pPr>
              <w:jc w:val="right"/>
              <w:spacing w:after="0"/>
              <w:rPr>
                <w:sz w:val="20"/>
                <w:szCs w:val="20"/>
                <w:color w:val="auto"/>
              </w:rPr>
            </w:pPr>
            <w:r>
              <w:rPr>
                <w:rFonts w:ascii="Arial" w:cs="Arial" w:eastAsia="Arial" w:hAnsi="Arial"/>
                <w:sz w:val="16"/>
                <w:szCs w:val="16"/>
                <w:color w:val="auto"/>
              </w:rPr>
              <w:t>(306,446)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vMerge w:val="restart"/>
          </w:tcPr>
          <w:p>
            <w:pPr>
              <w:jc w:val="right"/>
              <w:spacing w:after="0"/>
              <w:rPr>
                <w:sz w:val="20"/>
                <w:szCs w:val="20"/>
                <w:color w:val="auto"/>
              </w:rPr>
            </w:pPr>
            <w:r>
              <w:rPr>
                <w:rFonts w:ascii="Arial" w:cs="Arial" w:eastAsia="Arial" w:hAnsi="Arial"/>
                <w:sz w:val="16"/>
                <w:szCs w:val="16"/>
                <w:color w:val="auto"/>
              </w:rPr>
              <w:t>(295,495)</w:t>
            </w:r>
          </w:p>
        </w:tc>
        <w:tc>
          <w:tcPr>
            <w:tcW w:w="0" w:type="dxa"/>
            <w:vAlign w:val="bottom"/>
          </w:tcPr>
          <w:p>
            <w:pPr>
              <w:spacing w:after="0"/>
              <w:rPr>
                <w:sz w:val="1"/>
                <w:szCs w:val="1"/>
                <w:color w:val="auto"/>
              </w:rPr>
            </w:pPr>
          </w:p>
        </w:tc>
      </w:tr>
      <w:tr>
        <w:trPr>
          <w:trHeight w:val="209"/>
        </w:trPr>
        <w:tc>
          <w:tcPr>
            <w:tcW w:w="7480" w:type="dxa"/>
            <w:vAlign w:val="bottom"/>
          </w:tcPr>
          <w:p>
            <w:pPr>
              <w:ind w:left="360"/>
              <w:spacing w:after="0"/>
              <w:rPr>
                <w:sz w:val="20"/>
                <w:szCs w:val="20"/>
                <w:color w:val="auto"/>
              </w:rPr>
            </w:pPr>
            <w:r>
              <w:rPr>
                <w:rFonts w:ascii="Arial" w:cs="Arial" w:eastAsia="Arial" w:hAnsi="Arial"/>
                <w:sz w:val="16"/>
                <w:szCs w:val="16"/>
                <w:color w:val="auto"/>
              </w:rPr>
              <w:t>respectively</w:t>
            </w:r>
          </w:p>
        </w:tc>
        <w:tc>
          <w:tcPr>
            <w:tcW w:w="24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Accumulated other comprehensive income (loss)</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(21,390)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(18,522)</w:t>
            </w:r>
          </w:p>
        </w:tc>
        <w:tc>
          <w:tcPr>
            <w:tcW w:w="0" w:type="dxa"/>
            <w:vAlign w:val="bottom"/>
          </w:tcPr>
          <w:p>
            <w:pPr>
              <w:spacing w:after="0"/>
              <w:rPr>
                <w:sz w:val="1"/>
                <w:szCs w:val="1"/>
                <w:color w:val="auto"/>
              </w:rPr>
            </w:pPr>
          </w:p>
        </w:tc>
      </w:tr>
      <w:tr>
        <w:trPr>
          <w:trHeight w:val="213"/>
        </w:trPr>
        <w:tc>
          <w:tcPr>
            <w:tcW w:w="74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Retained earnings</w:t>
            </w: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331,983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324,990</w:t>
            </w: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ind w:left="80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310,619</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313,301</w:t>
            </w:r>
          </w:p>
        </w:tc>
        <w:tc>
          <w:tcPr>
            <w:tcW w:w="0" w:type="dxa"/>
            <w:vAlign w:val="bottom"/>
          </w:tcPr>
          <w:p>
            <w:pPr>
              <w:spacing w:after="0"/>
              <w:rPr>
                <w:sz w:val="1"/>
                <w:szCs w:val="1"/>
                <w:color w:val="auto"/>
              </w:rPr>
            </w:pPr>
          </w:p>
        </w:tc>
      </w:tr>
      <w:tr>
        <w:trPr>
          <w:trHeight w:val="213"/>
        </w:trPr>
        <w:tc>
          <w:tcPr>
            <w:tcW w:w="7480" w:type="dxa"/>
            <w:vAlign w:val="bottom"/>
          </w:tcPr>
          <w:p>
            <w:pPr>
              <w:ind w:left="800"/>
              <w:spacing w:after="0"/>
              <w:rPr>
                <w:sz w:val="20"/>
                <w:szCs w:val="20"/>
                <w:color w:val="auto"/>
              </w:rPr>
            </w:pPr>
            <w:r>
              <w:rPr>
                <w:rFonts w:ascii="Arial" w:cs="Arial" w:eastAsia="Arial" w:hAnsi="Arial"/>
                <w:sz w:val="16"/>
                <w:szCs w:val="16"/>
                <w:color w:val="auto"/>
              </w:rPr>
              <w:t>Total liabilities and stockholders' equity</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510,786</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510,290</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80" w:type="dxa"/>
            <w:vAlign w:val="bottom"/>
          </w:tcPr>
          <w:p>
            <w:pPr>
              <w:spacing w:after="0"/>
              <w:rPr>
                <w:sz w:val="18"/>
                <w:szCs w:val="18"/>
                <w:color w:val="auto"/>
              </w:rPr>
            </w:pPr>
          </w:p>
        </w:tc>
        <w:tc>
          <w:tcPr>
            <w:tcW w:w="30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8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160" w:type="dxa"/>
            <w:vAlign w:val="bottom"/>
            <w:shd w:val="clear" w:color="auto" w:fill="CCEEFF"/>
          </w:tcPr>
          <w:p>
            <w:pPr>
              <w:jc w:val="right"/>
              <w:ind w:right="97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150,542</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151,778</w:t>
            </w:r>
          </w:p>
        </w:tc>
        <w:tc>
          <w:tcPr>
            <w:tcW w:w="0" w:type="dxa"/>
            <w:vAlign w:val="bottom"/>
          </w:tcPr>
          <w:p>
            <w:pPr>
              <w:spacing w:after="0"/>
              <w:rPr>
                <w:sz w:val="1"/>
                <w:szCs w:val="1"/>
                <w:color w:val="auto"/>
              </w:rPr>
            </w:pPr>
          </w:p>
        </w:tc>
      </w:tr>
      <w:tr>
        <w:trPr>
          <w:trHeight w:val="213"/>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sales</w:t>
            </w:r>
          </w:p>
        </w:tc>
        <w:tc>
          <w:tcPr>
            <w:tcW w:w="1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104,143</w:t>
            </w: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108,837</w:t>
            </w:r>
          </w:p>
        </w:tc>
        <w:tc>
          <w:tcPr>
            <w:tcW w:w="0" w:type="dxa"/>
            <w:vAlign w:val="bottom"/>
          </w:tcPr>
          <w:p>
            <w:pPr>
              <w:spacing w:after="0"/>
              <w:rPr>
                <w:sz w:val="1"/>
                <w:szCs w:val="1"/>
                <w:color w:val="auto"/>
              </w:rPr>
            </w:pPr>
          </w:p>
        </w:tc>
      </w:tr>
      <w:tr>
        <w:trPr>
          <w:trHeight w:val="213"/>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46,399</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42,941</w:t>
            </w: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Research and development expenses</w:t>
            </w:r>
          </w:p>
        </w:tc>
        <w:tc>
          <w:tcPr>
            <w:tcW w:w="1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7,942</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7,898</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29,846</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26,997</w:t>
            </w:r>
          </w:p>
        </w:tc>
        <w:tc>
          <w:tcPr>
            <w:tcW w:w="0" w:type="dxa"/>
            <w:vAlign w:val="bottom"/>
          </w:tcPr>
          <w:p>
            <w:pPr>
              <w:spacing w:after="0"/>
              <w:rPr>
                <w:sz w:val="1"/>
                <w:szCs w:val="1"/>
                <w:color w:val="auto"/>
              </w:rPr>
            </w:pPr>
          </w:p>
        </w:tc>
      </w:tr>
      <w:tr>
        <w:trPr>
          <w:trHeight w:val="207"/>
        </w:trPr>
        <w:tc>
          <w:tcPr>
            <w:tcW w:w="748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1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8,611</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8,046</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 (expense), net</w:t>
            </w:r>
          </w:p>
        </w:tc>
        <w:tc>
          <w:tcPr>
            <w:tcW w:w="1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w:t>
            </w:r>
          </w:p>
        </w:tc>
        <w:tc>
          <w:tcPr>
            <w:tcW w:w="0" w:type="dxa"/>
            <w:vAlign w:val="bottom"/>
          </w:tcPr>
          <w:p>
            <w:pPr>
              <w:spacing w:after="0"/>
              <w:rPr>
                <w:sz w:val="1"/>
                <w:szCs w:val="1"/>
                <w:color w:val="auto"/>
              </w:rPr>
            </w:pPr>
          </w:p>
        </w:tc>
      </w:tr>
      <w:tr>
        <w:trPr>
          <w:trHeight w:val="213"/>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income (expense), net</w:t>
            </w:r>
          </w:p>
        </w:tc>
        <w:tc>
          <w:tcPr>
            <w:tcW w:w="1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w:t>
            </w:r>
          </w:p>
        </w:tc>
        <w:tc>
          <w:tcPr>
            <w:tcW w:w="0" w:type="dxa"/>
            <w:vAlign w:val="bottom"/>
          </w:tcPr>
          <w:p>
            <w:pPr>
              <w:spacing w:after="0"/>
              <w:rPr>
                <w:sz w:val="1"/>
                <w:szCs w:val="1"/>
                <w:color w:val="auto"/>
              </w:rPr>
            </w:pPr>
          </w:p>
        </w:tc>
      </w:tr>
      <w:tr>
        <w:trPr>
          <w:trHeight w:val="213"/>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provision for income taxes</w:t>
            </w:r>
          </w:p>
        </w:tc>
        <w:tc>
          <w:tcPr>
            <w:tcW w:w="1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8,526</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7,066</w:t>
            </w:r>
          </w:p>
        </w:tc>
        <w:tc>
          <w:tcPr>
            <w:tcW w:w="0" w:type="dxa"/>
            <w:vAlign w:val="bottom"/>
          </w:tcPr>
          <w:p>
            <w:pPr>
              <w:spacing w:after="0"/>
              <w:rPr>
                <w:sz w:val="1"/>
                <w:szCs w:val="1"/>
                <w:color w:val="auto"/>
              </w:rPr>
            </w:pPr>
          </w:p>
        </w:tc>
      </w:tr>
      <w:tr>
        <w:trPr>
          <w:trHeight w:val="213"/>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taxes</w:t>
            </w:r>
          </w:p>
        </w:tc>
        <w:tc>
          <w:tcPr>
            <w:tcW w:w="1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1,533</w:t>
            </w: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1,220</w:t>
            </w:r>
          </w:p>
        </w:tc>
        <w:tc>
          <w:tcPr>
            <w:tcW w:w="0" w:type="dxa"/>
            <w:vAlign w:val="bottom"/>
          </w:tcPr>
          <w:p>
            <w:pPr>
              <w:spacing w:after="0"/>
              <w:rPr>
                <w:sz w:val="1"/>
                <w:szCs w:val="1"/>
                <w:color w:val="auto"/>
              </w:rPr>
            </w:pPr>
          </w:p>
        </w:tc>
      </w:tr>
      <w:tr>
        <w:trPr>
          <w:trHeight w:val="238"/>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160" w:type="dxa"/>
            <w:vAlign w:val="bottom"/>
            <w:tcBorders>
              <w:bottom w:val="single" w:sz="8" w:color="auto"/>
            </w:tcBorders>
            <w:shd w:val="clear" w:color="auto" w:fill="CCEEFF"/>
          </w:tcPr>
          <w:p>
            <w:pPr>
              <w:jc w:val="right"/>
              <w:ind w:right="9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6,993</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5,846</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per share:</w:t>
            </w:r>
          </w:p>
        </w:tc>
        <w:tc>
          <w:tcPr>
            <w:tcW w:w="1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360"/>
              <w:spacing w:after="0"/>
              <w:rPr>
                <w:sz w:val="20"/>
                <w:szCs w:val="20"/>
                <w:color w:val="auto"/>
              </w:rPr>
            </w:pPr>
            <w:r>
              <w:rPr>
                <w:rFonts w:ascii="Arial" w:cs="Arial" w:eastAsia="Arial" w:hAnsi="Arial"/>
                <w:sz w:val="16"/>
                <w:szCs w:val="16"/>
                <w:color w:val="auto"/>
              </w:rPr>
              <w:t>Basic</w:t>
            </w:r>
          </w:p>
        </w:tc>
        <w:tc>
          <w:tcPr>
            <w:tcW w:w="116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0.51</w:t>
            </w: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right"/>
              <w:ind w:right="9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0.42</w:t>
            </w:r>
          </w:p>
        </w:tc>
        <w:tc>
          <w:tcPr>
            <w:tcW w:w="0" w:type="dxa"/>
            <w:vAlign w:val="bottom"/>
          </w:tcPr>
          <w:p>
            <w:pPr>
              <w:spacing w:after="0"/>
              <w:rPr>
                <w:sz w:val="1"/>
                <w:szCs w:val="1"/>
                <w:color w:val="auto"/>
              </w:rPr>
            </w:pP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7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Diluted</w:t>
            </w:r>
          </w:p>
        </w:tc>
        <w:tc>
          <w:tcPr>
            <w:tcW w:w="1160" w:type="dxa"/>
            <w:vAlign w:val="bottom"/>
            <w:tcBorders>
              <w:bottom w:val="single" w:sz="8" w:color="auto"/>
            </w:tcBorders>
            <w:shd w:val="clear" w:color="auto" w:fill="CCEEFF"/>
          </w:tcPr>
          <w:p>
            <w:pPr>
              <w:jc w:val="right"/>
              <w:ind w:right="9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0.49</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0.41</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Shares used in computing earnings per share:</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480" w:type="dxa"/>
            <w:vAlign w:val="bottom"/>
            <w:vMerge w:val="continue"/>
          </w:tcPr>
          <w:p>
            <w:pPr>
              <w:spacing w:after="0"/>
              <w:rPr>
                <w:sz w:val="13"/>
                <w:szCs w:val="13"/>
                <w:color w:val="auto"/>
              </w:rPr>
            </w:pPr>
          </w:p>
        </w:tc>
        <w:tc>
          <w:tcPr>
            <w:tcW w:w="1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7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Basic</w:t>
            </w:r>
          </w:p>
        </w:tc>
        <w:tc>
          <w:tcPr>
            <w:tcW w:w="116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13,803</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13,960</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480" w:type="dxa"/>
            <w:vAlign w:val="bottom"/>
          </w:tcPr>
          <w:p>
            <w:pPr>
              <w:ind w:left="360"/>
              <w:spacing w:after="0"/>
              <w:rPr>
                <w:sz w:val="20"/>
                <w:szCs w:val="20"/>
                <w:color w:val="auto"/>
              </w:rPr>
            </w:pPr>
            <w:r>
              <w:rPr>
                <w:rFonts w:ascii="Arial" w:cs="Arial" w:eastAsia="Arial" w:hAnsi="Arial"/>
                <w:sz w:val="16"/>
                <w:szCs w:val="16"/>
                <w:color w:val="auto"/>
              </w:rPr>
              <w:t>Diluted</w:t>
            </w:r>
          </w:p>
        </w:tc>
        <w:tc>
          <w:tcPr>
            <w:tcW w:w="1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14,199</w:t>
            </w:r>
          </w:p>
        </w:tc>
        <w:tc>
          <w:tcPr>
            <w:tcW w:w="1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14,211</w:t>
            </w:r>
          </w:p>
        </w:tc>
        <w:tc>
          <w:tcPr>
            <w:tcW w:w="0" w:type="dxa"/>
            <w:vAlign w:val="bottom"/>
          </w:tcPr>
          <w:p>
            <w:pPr>
              <w:spacing w:after="0"/>
              <w:rPr>
                <w:sz w:val="1"/>
                <w:szCs w:val="1"/>
                <w:color w:val="auto"/>
              </w:rPr>
            </w:pPr>
          </w:p>
        </w:tc>
      </w:tr>
      <w:tr>
        <w:trPr>
          <w:trHeight w:val="21"/>
        </w:trPr>
        <w:tc>
          <w:tcPr>
            <w:tcW w:w="74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COMPREHENSIVE INCOME (LOSS) STATEMENTS</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80" w:type="dxa"/>
            <w:vAlign w:val="bottom"/>
          </w:tcPr>
          <w:p>
            <w:pPr>
              <w:spacing w:after="0"/>
              <w:rPr>
                <w:sz w:val="18"/>
                <w:szCs w:val="18"/>
                <w:color w:val="auto"/>
              </w:rPr>
            </w:pPr>
          </w:p>
        </w:tc>
        <w:tc>
          <w:tcPr>
            <w:tcW w:w="314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6"/>
                <w:szCs w:val="16"/>
                <w:b w:val="1"/>
                <w:bCs w:val="1"/>
                <w:color w:val="auto"/>
              </w:rPr>
              <w:t>Three Months Ended March 31,</w:t>
            </w:r>
          </w:p>
        </w:tc>
        <w:tc>
          <w:tcPr>
            <w:tcW w:w="620" w:type="dxa"/>
            <w:vAlign w:val="bottom"/>
            <w:tcBorders>
              <w:bottom w:val="single" w:sz="8" w:color="auto"/>
            </w:tcBorders>
          </w:tcPr>
          <w:p>
            <w:pPr>
              <w:spacing w:after="0"/>
              <w:rPr>
                <w:sz w:val="18"/>
                <w:szCs w:val="18"/>
                <w:color w:val="auto"/>
              </w:rPr>
            </w:pPr>
          </w:p>
        </w:tc>
      </w:tr>
      <w:tr>
        <w:trPr>
          <w:trHeight w:val="210"/>
        </w:trPr>
        <w:tc>
          <w:tcPr>
            <w:tcW w:w="748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2021</w:t>
            </w: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2020</w:t>
            </w:r>
          </w:p>
        </w:tc>
        <w:tc>
          <w:tcPr>
            <w:tcW w:w="620" w:type="dxa"/>
            <w:vAlign w:val="bottom"/>
            <w:tcBorders>
              <w:bottom w:val="single" w:sz="8" w:color="auto"/>
            </w:tcBorders>
          </w:tcPr>
          <w:p>
            <w:pPr>
              <w:spacing w:after="0"/>
              <w:rPr>
                <w:sz w:val="18"/>
                <w:szCs w:val="18"/>
                <w:color w:val="auto"/>
              </w:rPr>
            </w:pPr>
          </w:p>
        </w:tc>
      </w:tr>
      <w:tr>
        <w:trPr>
          <w:trHeight w:val="212"/>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200" w:type="dxa"/>
            <w:vAlign w:val="bottom"/>
            <w:shd w:val="clear" w:color="auto" w:fill="CCEEFF"/>
          </w:tcPr>
          <w:p>
            <w:pPr>
              <w:jc w:val="right"/>
              <w:ind w:right="101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center"/>
              <w:ind w:left="59"/>
              <w:spacing w:after="0"/>
              <w:rPr>
                <w:sz w:val="20"/>
                <w:szCs w:val="20"/>
                <w:color w:val="auto"/>
              </w:rPr>
            </w:pPr>
            <w:r>
              <w:rPr>
                <w:rFonts w:ascii="Arial" w:cs="Arial" w:eastAsia="Arial" w:hAnsi="Arial"/>
                <w:sz w:val="16"/>
                <w:szCs w:val="16"/>
                <w:color w:val="auto"/>
                <w:w w:val="89"/>
              </w:rPr>
              <w:t>6,993</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1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w w:val="94"/>
              </w:rPr>
              <w:t>5,846</w:t>
            </w: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1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 in foreign currency translation adjustment</w:t>
            </w:r>
          </w:p>
        </w:tc>
        <w:tc>
          <w:tcPr>
            <w:tcW w:w="1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center"/>
              <w:ind w:left="39"/>
              <w:spacing w:after="0"/>
              <w:rPr>
                <w:sz w:val="20"/>
                <w:szCs w:val="20"/>
                <w:color w:val="auto"/>
              </w:rPr>
            </w:pPr>
            <w:r>
              <w:rPr>
                <w:rFonts w:ascii="Arial" w:cs="Arial" w:eastAsia="Arial" w:hAnsi="Arial"/>
                <w:sz w:val="16"/>
                <w:szCs w:val="16"/>
                <w:color w:val="auto"/>
                <w:w w:val="90"/>
              </w:rPr>
              <w:t>(2,868)</w:t>
            </w:r>
          </w:p>
        </w:tc>
        <w:tc>
          <w:tcPr>
            <w:tcW w:w="12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center"/>
              <w:ind w:left="19"/>
              <w:spacing w:after="0"/>
              <w:rPr>
                <w:sz w:val="20"/>
                <w:szCs w:val="20"/>
                <w:color w:val="auto"/>
              </w:rPr>
            </w:pPr>
            <w:r>
              <w:rPr>
                <w:rFonts w:ascii="Arial" w:cs="Arial" w:eastAsia="Arial" w:hAnsi="Arial"/>
                <w:sz w:val="16"/>
                <w:szCs w:val="16"/>
                <w:color w:val="auto"/>
                <w:w w:val="94"/>
              </w:rPr>
              <w:t>(7,009)</w:t>
            </w:r>
          </w:p>
        </w:tc>
      </w:tr>
      <w:tr>
        <w:trPr>
          <w:trHeight w:val="212"/>
        </w:trPr>
        <w:tc>
          <w:tcPr>
            <w:tcW w:w="7480" w:type="dxa"/>
            <w:vAlign w:val="bottom"/>
          </w:tcPr>
          <w:p>
            <w:pPr>
              <w:ind w:left="20"/>
              <w:spacing w:after="0"/>
              <w:rPr>
                <w:sz w:val="20"/>
                <w:szCs w:val="20"/>
                <w:color w:val="auto"/>
              </w:rPr>
            </w:pPr>
            <w:r>
              <w:rPr>
                <w:rFonts w:ascii="Arial" w:cs="Arial" w:eastAsia="Arial" w:hAnsi="Arial"/>
                <w:sz w:val="16"/>
                <w:szCs w:val="16"/>
                <w:color w:val="auto"/>
              </w:rPr>
              <w:t>Comprehensive income (loss)</w:t>
            </w:r>
          </w:p>
        </w:tc>
        <w:tc>
          <w:tcPr>
            <w:tcW w:w="1200" w:type="dxa"/>
            <w:vAlign w:val="bottom"/>
            <w:tcBorders>
              <w:bottom w:val="single" w:sz="8" w:color="auto"/>
            </w:tcBorders>
          </w:tcPr>
          <w:p>
            <w:pPr>
              <w:jc w:val="right"/>
              <w:ind w:right="10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center"/>
              <w:ind w:left="59"/>
              <w:spacing w:after="0"/>
              <w:rPr>
                <w:sz w:val="20"/>
                <w:szCs w:val="20"/>
                <w:color w:val="auto"/>
              </w:rPr>
            </w:pPr>
            <w:r>
              <w:rPr>
                <w:rFonts w:ascii="Arial" w:cs="Arial" w:eastAsia="Arial" w:hAnsi="Arial"/>
                <w:sz w:val="16"/>
                <w:szCs w:val="16"/>
                <w:color w:val="auto"/>
                <w:w w:val="89"/>
              </w:rPr>
              <w:t>4,125</w:t>
            </w:r>
          </w:p>
        </w:tc>
        <w:tc>
          <w:tcPr>
            <w:tcW w:w="120" w:type="dxa"/>
            <w:vAlign w:val="bottom"/>
          </w:tcPr>
          <w:p>
            <w:pPr>
              <w:spacing w:after="0"/>
              <w:rPr>
                <w:sz w:val="18"/>
                <w:szCs w:val="18"/>
                <w:color w:val="auto"/>
              </w:rPr>
            </w:pPr>
          </w:p>
        </w:tc>
        <w:tc>
          <w:tcPr>
            <w:tcW w:w="1200" w:type="dxa"/>
            <w:vAlign w:val="bottom"/>
            <w:tcBorders>
              <w:bottom w:val="single" w:sz="8" w:color="auto"/>
            </w:tcBorders>
          </w:tcPr>
          <w:p>
            <w:pPr>
              <w:jc w:val="right"/>
              <w:ind w:right="10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color w:val="auto"/>
                <w:w w:val="94"/>
              </w:rPr>
              <w:t>(1,163)</w:t>
            </w:r>
          </w:p>
        </w:tc>
      </w:tr>
      <w:tr>
        <w:trPr>
          <w:trHeight w:val="21"/>
        </w:trPr>
        <w:tc>
          <w:tcPr>
            <w:tcW w:w="74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440" w:type="dxa"/>
            <w:vAlign w:val="bottom"/>
            <w:gridSpan w:val="9"/>
          </w:tcPr>
          <w:p>
            <w:pPr>
              <w:spacing w:after="0"/>
              <w:rPr>
                <w:sz w:val="20"/>
                <w:szCs w:val="20"/>
                <w:color w:val="auto"/>
              </w:rPr>
            </w:pPr>
            <w:r>
              <w:rPr>
                <w:rFonts w:ascii="Arial" w:cs="Arial" w:eastAsia="Arial" w:hAnsi="Arial"/>
                <w:sz w:val="16"/>
                <w:szCs w:val="16"/>
                <w:color w:val="auto"/>
                <w:w w:val="92"/>
              </w:rPr>
              <w:t>The following summarizes the changes in total equity for the three months ended March 31, 2021:</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3580" w:type="dxa"/>
            <w:vAlign w:val="bottom"/>
          </w:tcPr>
          <w:p>
            <w:pPr>
              <w:spacing w:after="0"/>
              <w:rPr>
                <w:sz w:val="22"/>
                <w:szCs w:val="22"/>
                <w:color w:val="auto"/>
              </w:rPr>
            </w:pPr>
          </w:p>
        </w:tc>
        <w:tc>
          <w:tcPr>
            <w:tcW w:w="142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Common Stock</w:t>
            </w: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40" w:type="dxa"/>
            <w:vAlign w:val="bottom"/>
            <w:gridSpan w:val="5"/>
            <w:vMerge w:val="restart"/>
          </w:tcPr>
          <w:p>
            <w:pPr>
              <w:ind w:left="360"/>
              <w:spacing w:after="0"/>
              <w:rPr>
                <w:sz w:val="20"/>
                <w:szCs w:val="20"/>
                <w:color w:val="auto"/>
              </w:rPr>
            </w:pPr>
            <w:r>
              <w:rPr>
                <w:rFonts w:ascii="Arial" w:cs="Arial" w:eastAsia="Arial" w:hAnsi="Arial"/>
                <w:sz w:val="16"/>
                <w:szCs w:val="16"/>
                <w:b w:val="1"/>
                <w:bCs w:val="1"/>
                <w:color w:val="auto"/>
              </w:rPr>
              <w:t>Common Stock</w:t>
            </w: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9"/>
              </w:rPr>
              <w:t>Accumulated</w:t>
            </w: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4"/>
        </w:trPr>
        <w:tc>
          <w:tcPr>
            <w:tcW w:w="3580" w:type="dxa"/>
            <w:vAlign w:val="bottom"/>
          </w:tcPr>
          <w:p>
            <w:pPr>
              <w:spacing w:after="0"/>
              <w:rPr>
                <w:sz w:val="8"/>
                <w:szCs w:val="8"/>
                <w:color w:val="auto"/>
              </w:rPr>
            </w:pPr>
          </w:p>
        </w:tc>
        <w:tc>
          <w:tcPr>
            <w:tcW w:w="1420" w:type="dxa"/>
            <w:vAlign w:val="bottom"/>
            <w:gridSpan w:val="3"/>
            <w:vMerge w:val="continue"/>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40" w:type="dxa"/>
            <w:vAlign w:val="bottom"/>
            <w:gridSpan w:val="5"/>
            <w:vMerge w:val="continue"/>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gridSpan w:val="2"/>
            <w:vMerge w:val="restart"/>
          </w:tcPr>
          <w:p>
            <w:pPr>
              <w:jc w:val="center"/>
              <w:ind w:right="180"/>
              <w:spacing w:after="0" w:line="162" w:lineRule="exact"/>
              <w:rPr>
                <w:sz w:val="20"/>
                <w:szCs w:val="20"/>
                <w:color w:val="auto"/>
              </w:rPr>
            </w:pPr>
            <w:r>
              <w:rPr>
                <w:rFonts w:ascii="Arial" w:cs="Arial" w:eastAsia="Arial" w:hAnsi="Arial"/>
                <w:sz w:val="16"/>
                <w:szCs w:val="16"/>
                <w:b w:val="1"/>
                <w:bCs w:val="1"/>
                <w:color w:val="auto"/>
                <w:w w:val="98"/>
              </w:rPr>
              <w:t>Other</w:t>
            </w: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3580" w:type="dxa"/>
            <w:vAlign w:val="bottom"/>
          </w:tcPr>
          <w:p>
            <w:pPr>
              <w:spacing w:after="0"/>
              <w:rPr>
                <w:sz w:val="5"/>
                <w:szCs w:val="5"/>
                <w:color w:val="auto"/>
              </w:rPr>
            </w:pPr>
          </w:p>
        </w:tc>
        <w:tc>
          <w:tcPr>
            <w:tcW w:w="1420" w:type="dxa"/>
            <w:vAlign w:val="bottom"/>
            <w:gridSpan w:val="3"/>
            <w:vMerge w:val="restart"/>
          </w:tcPr>
          <w:p>
            <w:pPr>
              <w:jc w:val="right"/>
              <w:ind w:right="239"/>
              <w:spacing w:after="0"/>
              <w:rPr>
                <w:sz w:val="20"/>
                <w:szCs w:val="20"/>
                <w:color w:val="auto"/>
              </w:rPr>
            </w:pPr>
            <w:r>
              <w:rPr>
                <w:rFonts w:ascii="Arial" w:cs="Arial" w:eastAsia="Arial" w:hAnsi="Arial"/>
                <w:sz w:val="16"/>
                <w:szCs w:val="16"/>
                <w:b w:val="1"/>
                <w:bCs w:val="1"/>
                <w:color w:val="auto"/>
              </w:rPr>
              <w:t>Issued</w:t>
            </w: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760" w:type="dxa"/>
            <w:vAlign w:val="bottom"/>
            <w:gridSpan w:val="4"/>
            <w:vMerge w:val="restart"/>
          </w:tcPr>
          <w:p>
            <w:pPr>
              <w:jc w:val="right"/>
              <w:ind w:right="399"/>
              <w:spacing w:after="0"/>
              <w:rPr>
                <w:sz w:val="20"/>
                <w:szCs w:val="20"/>
                <w:color w:val="auto"/>
              </w:rPr>
            </w:pPr>
            <w:r>
              <w:rPr>
                <w:rFonts w:ascii="Arial" w:cs="Arial" w:eastAsia="Arial" w:hAnsi="Arial"/>
                <w:sz w:val="16"/>
                <w:szCs w:val="16"/>
                <w:b w:val="1"/>
                <w:bCs w:val="1"/>
                <w:color w:val="auto"/>
              </w:rPr>
              <w:t>in Treasury</w:t>
            </w:r>
          </w:p>
        </w:tc>
        <w:tc>
          <w:tcPr>
            <w:tcW w:w="8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1420" w:type="dxa"/>
            <w:vAlign w:val="bottom"/>
            <w:tcBorders>
              <w:bottom w:val="single" w:sz="8" w:color="auto"/>
            </w:tcBorders>
            <w:gridSpan w:val="3"/>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tcBorders>
              <w:bottom w:val="single" w:sz="8" w:color="auto"/>
            </w:tcBorders>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ind w:left="20"/>
              <w:spacing w:after="0" w:line="142" w:lineRule="exact"/>
              <w:rPr>
                <w:sz w:val="20"/>
                <w:szCs w:val="20"/>
                <w:color w:val="auto"/>
              </w:rPr>
            </w:pPr>
            <w:r>
              <w:rPr>
                <w:rFonts w:ascii="Arial" w:cs="Arial" w:eastAsia="Arial" w:hAnsi="Arial"/>
                <w:sz w:val="16"/>
                <w:szCs w:val="16"/>
                <w:b w:val="1"/>
                <w:bCs w:val="1"/>
                <w:color w:val="auto"/>
              </w:rPr>
              <w:t>Paid-in</w:t>
            </w:r>
          </w:p>
        </w:tc>
        <w:tc>
          <w:tcPr>
            <w:tcW w:w="1220" w:type="dxa"/>
            <w:vAlign w:val="bottom"/>
            <w:gridSpan w:val="3"/>
          </w:tcPr>
          <w:p>
            <w:pPr>
              <w:jc w:val="center"/>
              <w:ind w:right="80"/>
              <w:spacing w:after="0" w:line="142" w:lineRule="exact"/>
              <w:rPr>
                <w:sz w:val="20"/>
                <w:szCs w:val="20"/>
                <w:color w:val="auto"/>
              </w:rPr>
            </w:pPr>
            <w:r>
              <w:rPr>
                <w:rFonts w:ascii="Arial" w:cs="Arial" w:eastAsia="Arial" w:hAnsi="Arial"/>
                <w:sz w:val="16"/>
                <w:szCs w:val="16"/>
                <w:b w:val="1"/>
                <w:bCs w:val="1"/>
                <w:color w:val="auto"/>
                <w:w w:val="88"/>
              </w:rPr>
              <w:t>Comprehensive</w:t>
            </w:r>
          </w:p>
        </w:tc>
        <w:tc>
          <w:tcPr>
            <w:tcW w:w="100" w:type="dxa"/>
            <w:vAlign w:val="bottom"/>
          </w:tcPr>
          <w:p>
            <w:pPr>
              <w:spacing w:after="0"/>
              <w:rPr>
                <w:sz w:val="12"/>
                <w:szCs w:val="12"/>
                <w:color w:val="auto"/>
              </w:rPr>
            </w:pPr>
          </w:p>
        </w:tc>
        <w:tc>
          <w:tcPr>
            <w:tcW w:w="840" w:type="dxa"/>
            <w:vAlign w:val="bottom"/>
            <w:gridSpan w:val="2"/>
          </w:tcPr>
          <w:p>
            <w:pPr>
              <w:ind w:left="20"/>
              <w:spacing w:after="0" w:line="142" w:lineRule="exact"/>
              <w:rPr>
                <w:sz w:val="20"/>
                <w:szCs w:val="20"/>
                <w:color w:val="auto"/>
              </w:rPr>
            </w:pPr>
            <w:r>
              <w:rPr>
                <w:rFonts w:ascii="Arial" w:cs="Arial" w:eastAsia="Arial" w:hAnsi="Arial"/>
                <w:sz w:val="16"/>
                <w:szCs w:val="16"/>
                <w:b w:val="1"/>
                <w:bCs w:val="1"/>
                <w:color w:val="auto"/>
              </w:rPr>
              <w:t>Retained</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3580" w:type="dxa"/>
            <w:vAlign w:val="bottom"/>
          </w:tcPr>
          <w:p>
            <w:pPr>
              <w:spacing w:after="0"/>
              <w:rPr>
                <w:sz w:val="17"/>
                <w:szCs w:val="17"/>
                <w:color w:val="auto"/>
              </w:rPr>
            </w:pPr>
          </w:p>
        </w:tc>
        <w:tc>
          <w:tcPr>
            <w:tcW w:w="900" w:type="dxa"/>
            <w:vAlign w:val="bottom"/>
            <w:gridSpan w:val="2"/>
          </w:tcPr>
          <w:p>
            <w:pPr>
              <w:ind w:left="180"/>
              <w:spacing w:after="0"/>
              <w:rPr>
                <w:sz w:val="20"/>
                <w:szCs w:val="20"/>
                <w:color w:val="auto"/>
              </w:rPr>
            </w:pPr>
            <w:r>
              <w:rPr>
                <w:rFonts w:ascii="Arial" w:cs="Arial" w:eastAsia="Arial" w:hAnsi="Arial"/>
                <w:sz w:val="16"/>
                <w:szCs w:val="16"/>
                <w:b w:val="1"/>
                <w:bCs w:val="1"/>
                <w:color w:val="auto"/>
              </w:rPr>
              <w:t>Shares</w:t>
            </w:r>
          </w:p>
        </w:tc>
        <w:tc>
          <w:tcPr>
            <w:tcW w:w="920" w:type="dxa"/>
            <w:vAlign w:val="bottom"/>
            <w:gridSpan w:val="3"/>
          </w:tcPr>
          <w:p>
            <w:pPr>
              <w:ind w:left="140"/>
              <w:spacing w:after="0"/>
              <w:rPr>
                <w:sz w:val="20"/>
                <w:szCs w:val="20"/>
                <w:color w:val="auto"/>
              </w:rPr>
            </w:pPr>
            <w:r>
              <w:rPr>
                <w:rFonts w:ascii="Arial" w:cs="Arial" w:eastAsia="Arial" w:hAnsi="Arial"/>
                <w:sz w:val="16"/>
                <w:szCs w:val="16"/>
                <w:b w:val="1"/>
                <w:bCs w:val="1"/>
                <w:color w:val="auto"/>
              </w:rPr>
              <w:t>Amount</w:t>
            </w:r>
          </w:p>
        </w:tc>
        <w:tc>
          <w:tcPr>
            <w:tcW w:w="920" w:type="dxa"/>
            <w:vAlign w:val="bottom"/>
            <w:gridSpan w:val="2"/>
          </w:tcPr>
          <w:p>
            <w:pPr>
              <w:ind w:left="200"/>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7"/>
                <w:szCs w:val="17"/>
                <w:color w:val="auto"/>
              </w:rPr>
            </w:pPr>
          </w:p>
        </w:tc>
        <w:tc>
          <w:tcPr>
            <w:tcW w:w="800" w:type="dxa"/>
            <w:vAlign w:val="bottom"/>
            <w:gridSpan w:val="2"/>
          </w:tcPr>
          <w:p>
            <w:pPr>
              <w:ind w:left="2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7"/>
                <w:szCs w:val="17"/>
                <w:color w:val="auto"/>
              </w:rPr>
            </w:pPr>
          </w:p>
        </w:tc>
        <w:tc>
          <w:tcPr>
            <w:tcW w:w="800" w:type="dxa"/>
            <w:vAlign w:val="bottom"/>
            <w:gridSpan w:val="2"/>
          </w:tcPr>
          <w:p>
            <w:pPr>
              <w:ind w:left="40"/>
              <w:spacing w:after="0"/>
              <w:rPr>
                <w:sz w:val="20"/>
                <w:szCs w:val="20"/>
                <w:color w:val="auto"/>
              </w:rPr>
            </w:pPr>
            <w:r>
              <w:rPr>
                <w:rFonts w:ascii="Arial" w:cs="Arial" w:eastAsia="Arial" w:hAnsi="Arial"/>
                <w:sz w:val="16"/>
                <w:szCs w:val="16"/>
                <w:b w:val="1"/>
                <w:bCs w:val="1"/>
                <w:color w:val="auto"/>
              </w:rPr>
              <w:t>Capital</w:t>
            </w:r>
          </w:p>
        </w:tc>
        <w:tc>
          <w:tcPr>
            <w:tcW w:w="122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0"/>
              </w:rPr>
              <w:t>Income (Loss)</w:t>
            </w:r>
          </w:p>
        </w:tc>
        <w:tc>
          <w:tcPr>
            <w:tcW w:w="100" w:type="dxa"/>
            <w:vAlign w:val="bottom"/>
          </w:tcPr>
          <w:p>
            <w:pPr>
              <w:spacing w:after="0"/>
              <w:rPr>
                <w:sz w:val="17"/>
                <w:szCs w:val="17"/>
                <w:color w:val="auto"/>
              </w:rPr>
            </w:pPr>
          </w:p>
        </w:tc>
        <w:tc>
          <w:tcPr>
            <w:tcW w:w="840" w:type="dxa"/>
            <w:vAlign w:val="bottom"/>
            <w:gridSpan w:val="2"/>
          </w:tcPr>
          <w:p>
            <w:pPr>
              <w:spacing w:after="0"/>
              <w:rPr>
                <w:sz w:val="20"/>
                <w:szCs w:val="20"/>
                <w:color w:val="auto"/>
              </w:rPr>
            </w:pPr>
            <w:r>
              <w:rPr>
                <w:rFonts w:ascii="Arial" w:cs="Arial" w:eastAsia="Arial" w:hAnsi="Arial"/>
                <w:sz w:val="16"/>
                <w:szCs w:val="16"/>
                <w:b w:val="1"/>
                <w:bCs w:val="1"/>
                <w:color w:val="auto"/>
              </w:rPr>
              <w:t>Earnings</w:t>
            </w:r>
          </w:p>
        </w:tc>
        <w:tc>
          <w:tcPr>
            <w:tcW w:w="160" w:type="dxa"/>
            <w:vAlign w:val="bottom"/>
          </w:tcPr>
          <w:p>
            <w:pPr>
              <w:spacing w:after="0"/>
              <w:rPr>
                <w:sz w:val="17"/>
                <w:szCs w:val="17"/>
                <w:color w:val="auto"/>
              </w:rPr>
            </w:pPr>
          </w:p>
        </w:tc>
        <w:tc>
          <w:tcPr>
            <w:tcW w:w="700" w:type="dxa"/>
            <w:vAlign w:val="bottom"/>
          </w:tcPr>
          <w:p>
            <w:pPr>
              <w:jc w:val="right"/>
              <w:ind w:right="139"/>
              <w:spacing w:after="0"/>
              <w:rPr>
                <w:sz w:val="20"/>
                <w:szCs w:val="20"/>
                <w:color w:val="auto"/>
              </w:rPr>
            </w:pPr>
            <w:r>
              <w:rPr>
                <w:rFonts w:ascii="Arial" w:cs="Arial" w:eastAsia="Arial" w:hAnsi="Arial"/>
                <w:sz w:val="16"/>
                <w:szCs w:val="16"/>
                <w:b w:val="1"/>
                <w:bCs w:val="1"/>
                <w:color w:val="auto"/>
                <w:w w:val="97"/>
              </w:rPr>
              <w:t>Totals</w:t>
            </w:r>
          </w:p>
        </w:tc>
        <w:tc>
          <w:tcPr>
            <w:tcW w:w="0" w:type="dxa"/>
            <w:vAlign w:val="bottom"/>
          </w:tcPr>
          <w:p>
            <w:pPr>
              <w:spacing w:after="0"/>
              <w:rPr>
                <w:sz w:val="1"/>
                <w:szCs w:val="1"/>
                <w:color w:val="auto"/>
              </w:rPr>
            </w:pPr>
          </w:p>
        </w:tc>
      </w:tr>
      <w:tr>
        <w:trPr>
          <w:trHeight w:val="212"/>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 2020</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24,392</w:t>
            </w: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244</w:t>
            </w: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(10,618)</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(295,495)</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302,084</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(18,522)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324,990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313,301</w:t>
            </w:r>
          </w:p>
        </w:tc>
        <w:tc>
          <w:tcPr>
            <w:tcW w:w="0" w:type="dxa"/>
            <w:vAlign w:val="bottom"/>
          </w:tcPr>
          <w:p>
            <w:pPr>
              <w:spacing w:after="0"/>
              <w:rPr>
                <w:sz w:val="1"/>
                <w:szCs w:val="1"/>
                <w:color w:val="auto"/>
              </w:rPr>
            </w:pPr>
          </w:p>
        </w:tc>
      </w:tr>
      <w:tr>
        <w:trPr>
          <w:trHeight w:val="213"/>
        </w:trPr>
        <w:tc>
          <w:tcPr>
            <w:tcW w:w="35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6,993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6,993</w:t>
            </w: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Currency translation adjustment</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(2,868)</w:t>
            </w:r>
          </w:p>
        </w:tc>
        <w:tc>
          <w:tcPr>
            <w:tcW w:w="0" w:type="dxa"/>
            <w:vAlign w:val="bottom"/>
          </w:tcPr>
          <w:p>
            <w:pPr>
              <w:spacing w:after="0"/>
              <w:rPr>
                <w:sz w:val="1"/>
                <w:szCs w:val="1"/>
                <w:color w:val="auto"/>
              </w:rPr>
            </w:pPr>
          </w:p>
        </w:tc>
      </w:tr>
      <w:tr>
        <w:trPr>
          <w:trHeight w:val="166"/>
        </w:trPr>
        <w:tc>
          <w:tcPr>
            <w:tcW w:w="3580" w:type="dxa"/>
            <w:vAlign w:val="bottom"/>
          </w:tcPr>
          <w:p>
            <w:pPr>
              <w:ind w:left="20"/>
              <w:spacing w:after="0" w:line="166" w:lineRule="exact"/>
              <w:rPr>
                <w:sz w:val="20"/>
                <w:szCs w:val="20"/>
                <w:color w:val="auto"/>
              </w:rPr>
            </w:pPr>
            <w:r>
              <w:rPr>
                <w:rFonts w:ascii="Arial" w:cs="Arial" w:eastAsia="Arial" w:hAnsi="Arial"/>
                <w:sz w:val="16"/>
                <w:szCs w:val="16"/>
                <w:color w:val="auto"/>
              </w:rPr>
              <w:t>Shares issued for employee benefit plan and</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160</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408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410</w:t>
            </w:r>
          </w:p>
        </w:tc>
        <w:tc>
          <w:tcPr>
            <w:tcW w:w="0" w:type="dxa"/>
            <w:vAlign w:val="bottom"/>
          </w:tcPr>
          <w:p>
            <w:pPr>
              <w:spacing w:after="0"/>
              <w:rPr>
                <w:sz w:val="1"/>
                <w:szCs w:val="1"/>
                <w:color w:val="auto"/>
              </w:rPr>
            </w:pPr>
          </w:p>
        </w:tc>
      </w:tr>
      <w:tr>
        <w:trPr>
          <w:trHeight w:val="209"/>
        </w:trPr>
        <w:tc>
          <w:tcPr>
            <w:tcW w:w="3580" w:type="dxa"/>
            <w:vAlign w:val="bottom"/>
          </w:tcPr>
          <w:p>
            <w:pPr>
              <w:ind w:left="20"/>
              <w:spacing w:after="0"/>
              <w:rPr>
                <w:sz w:val="20"/>
                <w:szCs w:val="20"/>
                <w:color w:val="auto"/>
              </w:rPr>
            </w:pPr>
            <w:r>
              <w:rPr>
                <w:rFonts w:ascii="Arial" w:cs="Arial" w:eastAsia="Arial" w:hAnsi="Arial"/>
                <w:sz w:val="16"/>
                <w:szCs w:val="16"/>
                <w:color w:val="auto"/>
              </w:rPr>
              <w:t>compensation</w:t>
            </w: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treasury shares</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(10,951)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(10,951)</w:t>
            </w:r>
          </w:p>
        </w:tc>
        <w:tc>
          <w:tcPr>
            <w:tcW w:w="0" w:type="dxa"/>
            <w:vAlign w:val="bottom"/>
          </w:tcPr>
          <w:p>
            <w:pPr>
              <w:spacing w:after="0"/>
              <w:rPr>
                <w:sz w:val="1"/>
                <w:szCs w:val="1"/>
                <w:color w:val="auto"/>
              </w:rPr>
            </w:pPr>
          </w:p>
        </w:tc>
      </w:tr>
      <w:tr>
        <w:trPr>
          <w:trHeight w:val="213"/>
        </w:trPr>
        <w:tc>
          <w:tcPr>
            <w:tcW w:w="3580" w:type="dxa"/>
            <w:vAlign w:val="bottom"/>
          </w:tcPr>
          <w:p>
            <w:pPr>
              <w:ind w:left="20"/>
              <w:spacing w:after="0"/>
              <w:rPr>
                <w:sz w:val="20"/>
                <w:szCs w:val="20"/>
                <w:color w:val="auto"/>
              </w:rPr>
            </w:pPr>
            <w:r>
              <w:rPr>
                <w:rFonts w:ascii="Arial" w:cs="Arial" w:eastAsia="Arial" w:hAnsi="Arial"/>
                <w:sz w:val="16"/>
                <w:szCs w:val="16"/>
                <w:color w:val="auto"/>
              </w:rPr>
              <w:t>Stock options exercised</w:t>
            </w:r>
          </w:p>
        </w:tc>
        <w:tc>
          <w:tcPr>
            <w:tcW w:w="820" w:type="dxa"/>
            <w:vAlign w:val="bottom"/>
          </w:tcPr>
          <w:p>
            <w:pPr>
              <w:jc w:val="right"/>
              <w:spacing w:after="0"/>
              <w:rPr>
                <w:sz w:val="20"/>
                <w:szCs w:val="20"/>
                <w:color w:val="auto"/>
              </w:rPr>
            </w:pPr>
            <w:r>
              <w:rPr>
                <w:rFonts w:ascii="Arial" w:cs="Arial" w:eastAsia="Arial" w:hAnsi="Arial"/>
                <w:sz w:val="16"/>
                <w:szCs w:val="16"/>
                <w:color w:val="auto"/>
              </w:rPr>
              <w:t>22</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991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991</w:t>
            </w: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issued to directors</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580" w:type="dxa"/>
            <w:vAlign w:val="bottom"/>
          </w:tcPr>
          <w:p>
            <w:pPr>
              <w:ind w:left="20"/>
              <w:spacing w:after="0"/>
              <w:rPr>
                <w:sz w:val="20"/>
                <w:szCs w:val="20"/>
                <w:color w:val="auto"/>
              </w:rPr>
            </w:pPr>
            <w:r>
              <w:rPr>
                <w:rFonts w:ascii="Arial" w:cs="Arial" w:eastAsia="Arial" w:hAnsi="Arial"/>
                <w:sz w:val="16"/>
                <w:szCs w:val="16"/>
                <w:color w:val="auto"/>
                <w:w w:val="99"/>
              </w:rPr>
              <w:t>Employee and director stock-based compensation</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2,600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2,600</w:t>
            </w:r>
          </w:p>
        </w:tc>
        <w:tc>
          <w:tcPr>
            <w:tcW w:w="0" w:type="dxa"/>
            <w:vAlign w:val="bottom"/>
          </w:tcPr>
          <w:p>
            <w:pPr>
              <w:spacing w:after="0"/>
              <w:rPr>
                <w:sz w:val="1"/>
                <w:szCs w:val="1"/>
                <w:color w:val="auto"/>
              </w:rPr>
            </w:pPr>
          </w:p>
        </w:tc>
      </w:tr>
      <w:tr>
        <w:trPr>
          <w:trHeight w:val="219"/>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Performance-based common stock warrants</w:t>
            </w:r>
          </w:p>
        </w:tc>
        <w:tc>
          <w:tcPr>
            <w:tcW w:w="8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03"/>
        </w:trPr>
        <w:tc>
          <w:tcPr>
            <w:tcW w:w="3580" w:type="dxa"/>
            <w:vAlign w:val="bottom"/>
          </w:tcPr>
          <w:p>
            <w:pPr>
              <w:ind w:left="20"/>
              <w:spacing w:after="0"/>
              <w:rPr>
                <w:sz w:val="20"/>
                <w:szCs w:val="20"/>
                <w:color w:val="auto"/>
              </w:rPr>
            </w:pPr>
            <w:r>
              <w:rPr>
                <w:rFonts w:ascii="Arial" w:cs="Arial" w:eastAsia="Arial" w:hAnsi="Arial"/>
                <w:sz w:val="16"/>
                <w:szCs w:val="16"/>
                <w:color w:val="auto"/>
              </w:rPr>
              <w:t>Balance at March 31, 2021</w:t>
            </w:r>
          </w:p>
        </w:tc>
        <w:tc>
          <w:tcPr>
            <w:tcW w:w="820" w:type="dxa"/>
            <w:vAlign w:val="bottom"/>
          </w:tcPr>
          <w:p>
            <w:pPr>
              <w:jc w:val="right"/>
              <w:spacing w:after="0"/>
              <w:rPr>
                <w:sz w:val="20"/>
                <w:szCs w:val="20"/>
                <w:color w:val="auto"/>
              </w:rPr>
            </w:pPr>
            <w:r>
              <w:rPr>
                <w:rFonts w:ascii="Arial" w:cs="Arial" w:eastAsia="Arial" w:hAnsi="Arial"/>
                <w:sz w:val="16"/>
                <w:szCs w:val="16"/>
                <w:color w:val="auto"/>
              </w:rPr>
              <w:t>24,581</w:t>
            </w:r>
          </w:p>
        </w:tc>
        <w:tc>
          <w:tcPr>
            <w:tcW w:w="80" w:type="dxa"/>
            <w:vAlign w:val="bottom"/>
          </w:tcPr>
          <w:p>
            <w:pPr>
              <w:spacing w:after="0"/>
              <w:rPr>
                <w:sz w:val="17"/>
                <w:szCs w:val="17"/>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320" w:type="dxa"/>
            <w:vAlign w:val="bottom"/>
          </w:tcPr>
          <w:p>
            <w:pPr>
              <w:jc w:val="right"/>
              <w:spacing w:after="0"/>
              <w:rPr>
                <w:sz w:val="20"/>
                <w:szCs w:val="20"/>
                <w:color w:val="auto"/>
              </w:rPr>
            </w:pPr>
            <w:r>
              <w:rPr>
                <w:rFonts w:ascii="Arial" w:cs="Arial" w:eastAsia="Arial" w:hAnsi="Arial"/>
                <w:sz w:val="16"/>
                <w:szCs w:val="16"/>
                <w:color w:val="auto"/>
                <w:w w:val="89"/>
              </w:rPr>
              <w:t>246</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(10,809)</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99"/>
              </w:rPr>
              <w:t>(306,446)</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306,226</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(21,390)</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331,983</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310,619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summarizes the changes in total equity for the three months ended March 31, 2020:</w:t>
      </w: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560" w:type="dxa"/>
            <w:vAlign w:val="bottom"/>
          </w:tcPr>
          <w:p>
            <w:pPr>
              <w:spacing w:after="0"/>
              <w:rPr>
                <w:sz w:val="16"/>
                <w:szCs w:val="16"/>
                <w:color w:val="auto"/>
              </w:rPr>
            </w:pPr>
          </w:p>
        </w:tc>
        <w:tc>
          <w:tcPr>
            <w:tcW w:w="142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Common Stock</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gridSpan w:val="5"/>
            <w:vMerge w:val="restart"/>
          </w:tcPr>
          <w:p>
            <w:pPr>
              <w:ind w:left="340"/>
              <w:spacing w:after="0"/>
              <w:rPr>
                <w:sz w:val="20"/>
                <w:szCs w:val="20"/>
                <w:color w:val="auto"/>
              </w:rPr>
            </w:pPr>
            <w:r>
              <w:rPr>
                <w:rFonts w:ascii="Arial" w:cs="Arial" w:eastAsia="Arial" w:hAnsi="Arial"/>
                <w:sz w:val="16"/>
                <w:szCs w:val="16"/>
                <w:b w:val="1"/>
                <w:bCs w:val="1"/>
                <w:color w:val="auto"/>
              </w:rPr>
              <w:t>Common Stock</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9"/>
              </w:rPr>
              <w:t>Accumulated</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3560" w:type="dxa"/>
            <w:vAlign w:val="bottom"/>
          </w:tcPr>
          <w:p>
            <w:pPr>
              <w:spacing w:after="0"/>
              <w:rPr>
                <w:sz w:val="8"/>
                <w:szCs w:val="8"/>
                <w:color w:val="auto"/>
              </w:rPr>
            </w:pPr>
          </w:p>
        </w:tc>
        <w:tc>
          <w:tcPr>
            <w:tcW w:w="1420" w:type="dxa"/>
            <w:vAlign w:val="bottom"/>
            <w:gridSpan w:val="3"/>
            <w:vMerge w:val="continue"/>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40" w:type="dxa"/>
            <w:vAlign w:val="bottom"/>
            <w:gridSpan w:val="5"/>
            <w:vMerge w:val="continue"/>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gridSpan w:val="2"/>
            <w:vMerge w:val="restart"/>
          </w:tcPr>
          <w:p>
            <w:pPr>
              <w:jc w:val="center"/>
              <w:ind w:right="180"/>
              <w:spacing w:after="0" w:line="162" w:lineRule="exact"/>
              <w:rPr>
                <w:sz w:val="20"/>
                <w:szCs w:val="20"/>
                <w:color w:val="auto"/>
              </w:rPr>
            </w:pPr>
            <w:r>
              <w:rPr>
                <w:rFonts w:ascii="Arial" w:cs="Arial" w:eastAsia="Arial" w:hAnsi="Arial"/>
                <w:sz w:val="16"/>
                <w:szCs w:val="16"/>
                <w:b w:val="1"/>
                <w:bCs w:val="1"/>
                <w:color w:val="auto"/>
                <w:w w:val="98"/>
              </w:rPr>
              <w:t>Other</w:t>
            </w: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3560" w:type="dxa"/>
            <w:vAlign w:val="bottom"/>
          </w:tcPr>
          <w:p>
            <w:pPr>
              <w:spacing w:after="0"/>
              <w:rPr>
                <w:sz w:val="5"/>
                <w:szCs w:val="5"/>
                <w:color w:val="auto"/>
              </w:rPr>
            </w:pPr>
          </w:p>
        </w:tc>
        <w:tc>
          <w:tcPr>
            <w:tcW w:w="1420" w:type="dxa"/>
            <w:vAlign w:val="bottom"/>
            <w:gridSpan w:val="3"/>
            <w:vMerge w:val="restart"/>
          </w:tcPr>
          <w:p>
            <w:pPr>
              <w:jc w:val="right"/>
              <w:ind w:right="239"/>
              <w:spacing w:after="0"/>
              <w:rPr>
                <w:sz w:val="20"/>
                <w:szCs w:val="20"/>
                <w:color w:val="auto"/>
              </w:rPr>
            </w:pPr>
            <w:r>
              <w:rPr>
                <w:rFonts w:ascii="Arial" w:cs="Arial" w:eastAsia="Arial" w:hAnsi="Arial"/>
                <w:sz w:val="16"/>
                <w:szCs w:val="16"/>
                <w:b w:val="1"/>
                <w:bCs w:val="1"/>
                <w:color w:val="auto"/>
              </w:rPr>
              <w:t>Issued</w:t>
            </w: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740" w:type="dxa"/>
            <w:vAlign w:val="bottom"/>
            <w:gridSpan w:val="4"/>
            <w:vMerge w:val="restart"/>
          </w:tcPr>
          <w:p>
            <w:pPr>
              <w:jc w:val="right"/>
              <w:ind w:right="399"/>
              <w:spacing w:after="0"/>
              <w:rPr>
                <w:sz w:val="20"/>
                <w:szCs w:val="20"/>
                <w:color w:val="auto"/>
              </w:rPr>
            </w:pPr>
            <w:r>
              <w:rPr>
                <w:rFonts w:ascii="Arial" w:cs="Arial" w:eastAsia="Arial" w:hAnsi="Arial"/>
                <w:sz w:val="16"/>
                <w:szCs w:val="16"/>
                <w:b w:val="1"/>
                <w:bCs w:val="1"/>
                <w:color w:val="auto"/>
              </w:rPr>
              <w:t>in Treasury</w:t>
            </w:r>
          </w:p>
        </w:tc>
        <w:tc>
          <w:tcPr>
            <w:tcW w:w="10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420" w:type="dxa"/>
            <w:vAlign w:val="bottom"/>
            <w:tcBorders>
              <w:bottom w:val="single" w:sz="8" w:color="auto"/>
            </w:tcBorders>
            <w:gridSpan w:val="3"/>
            <w:vMerge w:val="continue"/>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Borders>
              <w:bottom w:val="single" w:sz="8" w:color="auto"/>
            </w:tcBorders>
            <w:gridSpan w:val="4"/>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20"/>
              <w:spacing w:after="0" w:line="142" w:lineRule="exact"/>
              <w:rPr>
                <w:sz w:val="20"/>
                <w:szCs w:val="20"/>
                <w:color w:val="auto"/>
              </w:rPr>
            </w:pPr>
            <w:r>
              <w:rPr>
                <w:rFonts w:ascii="Arial" w:cs="Arial" w:eastAsia="Arial" w:hAnsi="Arial"/>
                <w:sz w:val="16"/>
                <w:szCs w:val="16"/>
                <w:b w:val="1"/>
                <w:bCs w:val="1"/>
                <w:color w:val="auto"/>
              </w:rPr>
              <w:t>Paid-in</w:t>
            </w:r>
          </w:p>
        </w:tc>
        <w:tc>
          <w:tcPr>
            <w:tcW w:w="1200" w:type="dxa"/>
            <w:vAlign w:val="bottom"/>
            <w:gridSpan w:val="3"/>
          </w:tcPr>
          <w:p>
            <w:pPr>
              <w:jc w:val="center"/>
              <w:ind w:right="100"/>
              <w:spacing w:after="0" w:line="142" w:lineRule="exact"/>
              <w:rPr>
                <w:sz w:val="20"/>
                <w:szCs w:val="20"/>
                <w:color w:val="auto"/>
              </w:rPr>
            </w:pPr>
            <w:r>
              <w:rPr>
                <w:rFonts w:ascii="Arial" w:cs="Arial" w:eastAsia="Arial" w:hAnsi="Arial"/>
                <w:sz w:val="16"/>
                <w:szCs w:val="16"/>
                <w:b w:val="1"/>
                <w:bCs w:val="1"/>
                <w:color w:val="auto"/>
                <w:w w:val="88"/>
              </w:rPr>
              <w:t>Comprehensive</w:t>
            </w:r>
          </w:p>
        </w:tc>
        <w:tc>
          <w:tcPr>
            <w:tcW w:w="100" w:type="dxa"/>
            <w:vAlign w:val="bottom"/>
          </w:tcPr>
          <w:p>
            <w:pPr>
              <w:spacing w:after="0"/>
              <w:rPr>
                <w:sz w:val="12"/>
                <w:szCs w:val="12"/>
                <w:color w:val="auto"/>
              </w:rPr>
            </w:pPr>
          </w:p>
        </w:tc>
        <w:tc>
          <w:tcPr>
            <w:tcW w:w="840" w:type="dxa"/>
            <w:vAlign w:val="bottom"/>
            <w:gridSpan w:val="2"/>
          </w:tcPr>
          <w:p>
            <w:pPr>
              <w:ind w:left="20"/>
              <w:spacing w:after="0" w:line="142" w:lineRule="exact"/>
              <w:rPr>
                <w:sz w:val="20"/>
                <w:szCs w:val="20"/>
                <w:color w:val="auto"/>
              </w:rPr>
            </w:pPr>
            <w:r>
              <w:rPr>
                <w:rFonts w:ascii="Arial" w:cs="Arial" w:eastAsia="Arial" w:hAnsi="Arial"/>
                <w:sz w:val="16"/>
                <w:szCs w:val="16"/>
                <w:b w:val="1"/>
                <w:bCs w:val="1"/>
                <w:color w:val="auto"/>
              </w:rPr>
              <w:t>Retained</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3560" w:type="dxa"/>
            <w:vAlign w:val="bottom"/>
          </w:tcPr>
          <w:p>
            <w:pPr>
              <w:spacing w:after="0"/>
              <w:rPr>
                <w:sz w:val="17"/>
                <w:szCs w:val="17"/>
                <w:color w:val="auto"/>
              </w:rPr>
            </w:pPr>
          </w:p>
        </w:tc>
        <w:tc>
          <w:tcPr>
            <w:tcW w:w="900" w:type="dxa"/>
            <w:vAlign w:val="bottom"/>
            <w:gridSpan w:val="2"/>
          </w:tcPr>
          <w:p>
            <w:pPr>
              <w:ind w:left="180"/>
              <w:spacing w:after="0"/>
              <w:rPr>
                <w:sz w:val="20"/>
                <w:szCs w:val="20"/>
                <w:color w:val="auto"/>
              </w:rPr>
            </w:pPr>
            <w:r>
              <w:rPr>
                <w:rFonts w:ascii="Arial" w:cs="Arial" w:eastAsia="Arial" w:hAnsi="Arial"/>
                <w:sz w:val="16"/>
                <w:szCs w:val="16"/>
                <w:b w:val="1"/>
                <w:bCs w:val="1"/>
                <w:color w:val="auto"/>
              </w:rPr>
              <w:t>Shares</w:t>
            </w:r>
          </w:p>
        </w:tc>
        <w:tc>
          <w:tcPr>
            <w:tcW w:w="940" w:type="dxa"/>
            <w:vAlign w:val="bottom"/>
            <w:gridSpan w:val="3"/>
          </w:tcPr>
          <w:p>
            <w:pPr>
              <w:ind w:left="140"/>
              <w:spacing w:after="0"/>
              <w:rPr>
                <w:sz w:val="20"/>
                <w:szCs w:val="20"/>
                <w:color w:val="auto"/>
              </w:rPr>
            </w:pPr>
            <w:r>
              <w:rPr>
                <w:rFonts w:ascii="Arial" w:cs="Arial" w:eastAsia="Arial" w:hAnsi="Arial"/>
                <w:sz w:val="16"/>
                <w:szCs w:val="16"/>
                <w:b w:val="1"/>
                <w:bCs w:val="1"/>
                <w:color w:val="auto"/>
              </w:rPr>
              <w:t>Amount</w:t>
            </w:r>
          </w:p>
        </w:tc>
        <w:tc>
          <w:tcPr>
            <w:tcW w:w="920" w:type="dxa"/>
            <w:vAlign w:val="bottom"/>
            <w:gridSpan w:val="2"/>
          </w:tcPr>
          <w:p>
            <w:pPr>
              <w:ind w:left="180"/>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7"/>
                <w:szCs w:val="17"/>
                <w:color w:val="auto"/>
              </w:rPr>
            </w:pPr>
          </w:p>
        </w:tc>
        <w:tc>
          <w:tcPr>
            <w:tcW w:w="820" w:type="dxa"/>
            <w:vAlign w:val="bottom"/>
            <w:gridSpan w:val="2"/>
          </w:tcPr>
          <w:p>
            <w:pPr>
              <w:ind w:left="2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7"/>
                <w:szCs w:val="17"/>
                <w:color w:val="auto"/>
              </w:rPr>
            </w:pPr>
          </w:p>
        </w:tc>
        <w:tc>
          <w:tcPr>
            <w:tcW w:w="820" w:type="dxa"/>
            <w:vAlign w:val="bottom"/>
            <w:gridSpan w:val="2"/>
          </w:tcPr>
          <w:p>
            <w:pPr>
              <w:ind w:left="40"/>
              <w:spacing w:after="0"/>
              <w:rPr>
                <w:sz w:val="20"/>
                <w:szCs w:val="20"/>
                <w:color w:val="auto"/>
              </w:rPr>
            </w:pPr>
            <w:r>
              <w:rPr>
                <w:rFonts w:ascii="Arial" w:cs="Arial" w:eastAsia="Arial" w:hAnsi="Arial"/>
                <w:sz w:val="16"/>
                <w:szCs w:val="16"/>
                <w:b w:val="1"/>
                <w:bCs w:val="1"/>
                <w:color w:val="auto"/>
              </w:rPr>
              <w:t>Capital</w:t>
            </w:r>
          </w:p>
        </w:tc>
        <w:tc>
          <w:tcPr>
            <w:tcW w:w="12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Income (Loss)</w:t>
            </w:r>
          </w:p>
        </w:tc>
        <w:tc>
          <w:tcPr>
            <w:tcW w:w="100" w:type="dxa"/>
            <w:vAlign w:val="bottom"/>
          </w:tcPr>
          <w:p>
            <w:pPr>
              <w:spacing w:after="0"/>
              <w:rPr>
                <w:sz w:val="17"/>
                <w:szCs w:val="17"/>
                <w:color w:val="auto"/>
              </w:rPr>
            </w:pPr>
          </w:p>
        </w:tc>
        <w:tc>
          <w:tcPr>
            <w:tcW w:w="840" w:type="dxa"/>
            <w:vAlign w:val="bottom"/>
            <w:gridSpan w:val="2"/>
          </w:tcPr>
          <w:p>
            <w:pPr>
              <w:spacing w:after="0"/>
              <w:rPr>
                <w:sz w:val="20"/>
                <w:szCs w:val="20"/>
                <w:color w:val="auto"/>
              </w:rPr>
            </w:pPr>
            <w:r>
              <w:rPr>
                <w:rFonts w:ascii="Arial" w:cs="Arial" w:eastAsia="Arial" w:hAnsi="Arial"/>
                <w:sz w:val="16"/>
                <w:szCs w:val="16"/>
                <w:b w:val="1"/>
                <w:bCs w:val="1"/>
                <w:color w:val="auto"/>
              </w:rPr>
              <w:t>Earnings</w:t>
            </w:r>
          </w:p>
        </w:tc>
        <w:tc>
          <w:tcPr>
            <w:tcW w:w="160" w:type="dxa"/>
            <w:vAlign w:val="bottom"/>
          </w:tcPr>
          <w:p>
            <w:pPr>
              <w:spacing w:after="0"/>
              <w:rPr>
                <w:sz w:val="17"/>
                <w:szCs w:val="17"/>
                <w:color w:val="auto"/>
              </w:rPr>
            </w:pPr>
          </w:p>
        </w:tc>
        <w:tc>
          <w:tcPr>
            <w:tcW w:w="700" w:type="dxa"/>
            <w:vAlign w:val="bottom"/>
          </w:tcPr>
          <w:p>
            <w:pPr>
              <w:jc w:val="right"/>
              <w:ind w:right="139"/>
              <w:spacing w:after="0"/>
              <w:rPr>
                <w:sz w:val="20"/>
                <w:szCs w:val="20"/>
                <w:color w:val="auto"/>
              </w:rPr>
            </w:pPr>
            <w:r>
              <w:rPr>
                <w:rFonts w:ascii="Arial" w:cs="Arial" w:eastAsia="Arial" w:hAnsi="Arial"/>
                <w:sz w:val="16"/>
                <w:szCs w:val="16"/>
                <w:b w:val="1"/>
                <w:bCs w:val="1"/>
                <w:color w:val="auto"/>
                <w:w w:val="97"/>
              </w:rPr>
              <w:t>Totals</w:t>
            </w:r>
          </w:p>
        </w:tc>
        <w:tc>
          <w:tcPr>
            <w:tcW w:w="0" w:type="dxa"/>
            <w:vAlign w:val="bottom"/>
          </w:tcPr>
          <w:p>
            <w:pPr>
              <w:spacing w:after="0"/>
              <w:rPr>
                <w:sz w:val="1"/>
                <w:szCs w:val="1"/>
                <w:color w:val="auto"/>
              </w:rPr>
            </w:pPr>
          </w:p>
        </w:tc>
      </w:tr>
      <w:tr>
        <w:trPr>
          <w:trHeight w:val="212"/>
        </w:trPr>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December 31, 2019</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24,118</w:t>
            </w: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241</w:t>
            </w: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(10,174)</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(277,817)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288,338</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(22,781)</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286,418</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274,399</w:t>
            </w:r>
          </w:p>
        </w:tc>
        <w:tc>
          <w:tcPr>
            <w:tcW w:w="0" w:type="dxa"/>
            <w:vAlign w:val="bottom"/>
          </w:tcPr>
          <w:p>
            <w:pPr>
              <w:spacing w:after="0"/>
              <w:rPr>
                <w:sz w:val="1"/>
                <w:szCs w:val="1"/>
                <w:color w:val="auto"/>
              </w:rPr>
            </w:pPr>
          </w:p>
        </w:tc>
      </w:tr>
      <w:tr>
        <w:trPr>
          <w:trHeight w:val="213"/>
        </w:trPr>
        <w:tc>
          <w:tcPr>
            <w:tcW w:w="3560" w:type="dxa"/>
            <w:vAlign w:val="bottom"/>
          </w:tcPr>
          <w:p>
            <w:pPr>
              <w:spacing w:after="0"/>
              <w:rPr>
                <w:sz w:val="20"/>
                <w:szCs w:val="20"/>
                <w:color w:val="auto"/>
              </w:rPr>
            </w:pPr>
            <w:r>
              <w:rPr>
                <w:rFonts w:ascii="Arial" w:cs="Arial" w:eastAsia="Arial" w:hAnsi="Arial"/>
                <w:sz w:val="16"/>
                <w:szCs w:val="16"/>
                <w:color w:val="auto"/>
              </w:rPr>
              <w:t>Net income</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5,846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5,846</w:t>
            </w:r>
          </w:p>
        </w:tc>
        <w:tc>
          <w:tcPr>
            <w:tcW w:w="0" w:type="dxa"/>
            <w:vAlign w:val="bottom"/>
          </w:tcPr>
          <w:p>
            <w:pPr>
              <w:spacing w:after="0"/>
              <w:rPr>
                <w:sz w:val="1"/>
                <w:szCs w:val="1"/>
                <w:color w:val="auto"/>
              </w:rPr>
            </w:pPr>
          </w:p>
        </w:tc>
      </w:tr>
      <w:tr>
        <w:trPr>
          <w:trHeight w:val="219"/>
        </w:trPr>
        <w:tc>
          <w:tcPr>
            <w:tcW w:w="3560" w:type="dxa"/>
            <w:vAlign w:val="bottom"/>
            <w:shd w:val="clear" w:color="auto" w:fill="CCEEFF"/>
          </w:tcPr>
          <w:p>
            <w:pPr>
              <w:spacing w:after="0"/>
              <w:rPr>
                <w:sz w:val="20"/>
                <w:szCs w:val="20"/>
                <w:color w:val="auto"/>
              </w:rPr>
            </w:pPr>
            <w:r>
              <w:rPr>
                <w:rFonts w:ascii="Arial" w:cs="Arial" w:eastAsia="Arial" w:hAnsi="Arial"/>
                <w:sz w:val="16"/>
                <w:szCs w:val="16"/>
                <w:color w:val="auto"/>
              </w:rPr>
              <w:t>Currency translation adjustment</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(7,009)</w:t>
            </w:r>
          </w:p>
        </w:tc>
        <w:tc>
          <w:tcPr>
            <w:tcW w:w="0" w:type="dxa"/>
            <w:vAlign w:val="bottom"/>
          </w:tcPr>
          <w:p>
            <w:pPr>
              <w:spacing w:after="0"/>
              <w:rPr>
                <w:sz w:val="1"/>
                <w:szCs w:val="1"/>
                <w:color w:val="auto"/>
              </w:rPr>
            </w:pPr>
          </w:p>
        </w:tc>
      </w:tr>
      <w:tr>
        <w:trPr>
          <w:trHeight w:val="166"/>
        </w:trPr>
        <w:tc>
          <w:tcPr>
            <w:tcW w:w="3560" w:type="dxa"/>
            <w:vAlign w:val="bottom"/>
          </w:tcPr>
          <w:p>
            <w:pPr>
              <w:spacing w:after="0" w:line="166" w:lineRule="exact"/>
              <w:rPr>
                <w:sz w:val="20"/>
                <w:szCs w:val="20"/>
                <w:color w:val="auto"/>
              </w:rPr>
            </w:pPr>
            <w:r>
              <w:rPr>
                <w:rFonts w:ascii="Arial" w:cs="Arial" w:eastAsia="Arial" w:hAnsi="Arial"/>
                <w:sz w:val="16"/>
                <w:szCs w:val="16"/>
                <w:color w:val="auto"/>
              </w:rPr>
              <w:t>Shares issued for employee benefit plan and</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129</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526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527</w:t>
            </w:r>
          </w:p>
        </w:tc>
        <w:tc>
          <w:tcPr>
            <w:tcW w:w="0" w:type="dxa"/>
            <w:vAlign w:val="bottom"/>
          </w:tcPr>
          <w:p>
            <w:pPr>
              <w:spacing w:after="0"/>
              <w:rPr>
                <w:sz w:val="1"/>
                <w:szCs w:val="1"/>
                <w:color w:val="auto"/>
              </w:rPr>
            </w:pPr>
          </w:p>
        </w:tc>
      </w:tr>
      <w:tr>
        <w:trPr>
          <w:trHeight w:val="209"/>
        </w:trPr>
        <w:tc>
          <w:tcPr>
            <w:tcW w:w="3560" w:type="dxa"/>
            <w:vAlign w:val="bottom"/>
          </w:tcPr>
          <w:p>
            <w:pPr>
              <w:spacing w:after="0"/>
              <w:rPr>
                <w:sz w:val="20"/>
                <w:szCs w:val="20"/>
                <w:color w:val="auto"/>
              </w:rPr>
            </w:pPr>
            <w:r>
              <w:rPr>
                <w:rFonts w:ascii="Arial" w:cs="Arial" w:eastAsia="Arial" w:hAnsi="Arial"/>
                <w:sz w:val="16"/>
                <w:szCs w:val="16"/>
                <w:color w:val="auto"/>
              </w:rPr>
              <w:t>compensation</w:t>
            </w: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60" w:type="dxa"/>
            <w:vAlign w:val="bottom"/>
            <w:shd w:val="clear" w:color="auto" w:fill="CCEEFF"/>
          </w:tcPr>
          <w:p>
            <w:pPr>
              <w:spacing w:after="0"/>
              <w:rPr>
                <w:sz w:val="20"/>
                <w:szCs w:val="20"/>
                <w:color w:val="auto"/>
              </w:rPr>
            </w:pPr>
            <w:r>
              <w:rPr>
                <w:rFonts w:ascii="Arial" w:cs="Arial" w:eastAsia="Arial" w:hAnsi="Arial"/>
                <w:sz w:val="16"/>
                <w:szCs w:val="16"/>
                <w:color w:val="auto"/>
              </w:rPr>
              <w:t>Purchase of treasury shares</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(6,291)</w:t>
            </w:r>
          </w:p>
        </w:tc>
        <w:tc>
          <w:tcPr>
            <w:tcW w:w="0" w:type="dxa"/>
            <w:vAlign w:val="bottom"/>
          </w:tcPr>
          <w:p>
            <w:pPr>
              <w:spacing w:after="0"/>
              <w:rPr>
                <w:sz w:val="1"/>
                <w:szCs w:val="1"/>
                <w:color w:val="auto"/>
              </w:rPr>
            </w:pPr>
          </w:p>
        </w:tc>
      </w:tr>
      <w:tr>
        <w:trPr>
          <w:trHeight w:val="213"/>
        </w:trPr>
        <w:tc>
          <w:tcPr>
            <w:tcW w:w="3560" w:type="dxa"/>
            <w:vAlign w:val="bottom"/>
          </w:tcPr>
          <w:p>
            <w:pPr>
              <w:spacing w:after="0"/>
              <w:rPr>
                <w:sz w:val="20"/>
                <w:szCs w:val="20"/>
                <w:color w:val="auto"/>
              </w:rPr>
            </w:pPr>
            <w:r>
              <w:rPr>
                <w:rFonts w:ascii="Arial" w:cs="Arial" w:eastAsia="Arial" w:hAnsi="Arial"/>
                <w:sz w:val="16"/>
                <w:szCs w:val="16"/>
                <w:color w:val="auto"/>
              </w:rPr>
              <w:t>Shares issued to directors</w:t>
            </w:r>
          </w:p>
        </w:tc>
        <w:tc>
          <w:tcPr>
            <w:tcW w:w="820" w:type="dxa"/>
            <w:vAlign w:val="bottom"/>
          </w:tcPr>
          <w:p>
            <w:pPr>
              <w:jc w:val="right"/>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560" w:type="dxa"/>
            <w:vAlign w:val="bottom"/>
            <w:shd w:val="clear" w:color="auto" w:fill="CCEEFF"/>
          </w:tcPr>
          <w:p>
            <w:pPr>
              <w:spacing w:after="0"/>
              <w:rPr>
                <w:sz w:val="20"/>
                <w:szCs w:val="20"/>
                <w:color w:val="auto"/>
              </w:rPr>
            </w:pPr>
            <w:r>
              <w:rPr>
                <w:rFonts w:ascii="Arial" w:cs="Arial" w:eastAsia="Arial" w:hAnsi="Arial"/>
                <w:sz w:val="16"/>
                <w:szCs w:val="16"/>
                <w:color w:val="auto"/>
                <w:w w:val="99"/>
              </w:rPr>
              <w:t>Employee and director stock-based compensation</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2,303</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2,303</w:t>
            </w:r>
          </w:p>
        </w:tc>
        <w:tc>
          <w:tcPr>
            <w:tcW w:w="0" w:type="dxa"/>
            <w:vAlign w:val="bottom"/>
          </w:tcPr>
          <w:p>
            <w:pPr>
              <w:spacing w:after="0"/>
              <w:rPr>
                <w:sz w:val="1"/>
                <w:szCs w:val="1"/>
                <w:color w:val="auto"/>
              </w:rPr>
            </w:pPr>
          </w:p>
        </w:tc>
      </w:tr>
      <w:tr>
        <w:trPr>
          <w:trHeight w:val="213"/>
        </w:trPr>
        <w:tc>
          <w:tcPr>
            <w:tcW w:w="35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Performance-based common stock warrants</w:t>
            </w: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r>
        <w:trPr>
          <w:trHeight w:val="213"/>
        </w:trPr>
        <w:tc>
          <w:tcPr>
            <w:tcW w:w="3560" w:type="dxa"/>
            <w:vAlign w:val="bottom"/>
            <w:shd w:val="clear" w:color="auto" w:fill="CCEEFF"/>
          </w:tcPr>
          <w:p>
            <w:pPr>
              <w:spacing w:after="0"/>
              <w:rPr>
                <w:sz w:val="20"/>
                <w:szCs w:val="20"/>
                <w:color w:val="auto"/>
              </w:rPr>
            </w:pPr>
            <w:r>
              <w:rPr>
                <w:rFonts w:ascii="Arial" w:cs="Arial" w:eastAsia="Arial" w:hAnsi="Arial"/>
                <w:sz w:val="16"/>
                <w:szCs w:val="16"/>
                <w:color w:val="auto"/>
              </w:rPr>
              <w:t>Balance at March 31, 2020</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24,256</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243</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(10,343)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(284,108)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291,350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(29,790)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292,264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269,959</w:t>
            </w:r>
          </w:p>
        </w:tc>
        <w:tc>
          <w:tcPr>
            <w:tcW w:w="0" w:type="dxa"/>
            <w:vAlign w:val="bottom"/>
          </w:tcPr>
          <w:p>
            <w:pPr>
              <w:spacing w:after="0"/>
              <w:rPr>
                <w:sz w:val="1"/>
                <w:szCs w:val="1"/>
                <w:color w:val="auto"/>
              </w:rPr>
            </w:pPr>
          </w:p>
        </w:tc>
      </w:tr>
    </w:tbl>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 w:name="page7"/>
    <w:bookmarkEnd w:id="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4"/>
          </w:tcPr>
          <w:p>
            <w:pPr>
              <w:jc w:val="right"/>
              <w:ind w:right="299"/>
              <w:spacing w:after="0"/>
              <w:rPr>
                <w:sz w:val="20"/>
                <w:szCs w:val="20"/>
                <w:color w:val="auto"/>
              </w:rPr>
            </w:pPr>
            <w:r>
              <w:rPr>
                <w:rFonts w:ascii="Arial" w:cs="Arial" w:eastAsia="Arial" w:hAnsi="Arial"/>
                <w:sz w:val="16"/>
                <w:szCs w:val="16"/>
                <w:b w:val="1"/>
                <w:bCs w:val="1"/>
                <w:color w:val="auto"/>
                <w:w w:val="98"/>
              </w:rPr>
              <w:t>Three Months Ended March 31,</w:t>
            </w:r>
          </w:p>
        </w:tc>
      </w:tr>
      <w:tr>
        <w:trPr>
          <w:trHeight w:val="210"/>
        </w:trPr>
        <w:tc>
          <w:tcPr>
            <w:tcW w:w="8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r>
      <w:tr>
        <w:trPr>
          <w:trHeight w:val="19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Net income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6,993</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5,846</w:t>
            </w: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Adjustments to reconcile net income to net cash used for operating activities: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8260" w:type="dxa"/>
            <w:vAlign w:val="bottom"/>
          </w:tcPr>
          <w:p>
            <w:pPr>
              <w:ind w:left="80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6,319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7,498</w:t>
            </w:r>
          </w:p>
        </w:tc>
      </w:tr>
      <w:tr>
        <w:trPr>
          <w:trHeight w:val="219"/>
        </w:trPr>
        <w:tc>
          <w:tcPr>
            <w:tcW w:w="8260" w:type="dxa"/>
            <w:vAlign w:val="bottom"/>
            <w:shd w:val="clear" w:color="auto" w:fill="CCEEFF"/>
          </w:tcPr>
          <w:p>
            <w:pPr>
              <w:ind w:left="800"/>
              <w:spacing w:after="0"/>
              <w:rPr>
                <w:sz w:val="20"/>
                <w:szCs w:val="20"/>
                <w:color w:val="auto"/>
              </w:rPr>
            </w:pPr>
            <w:r>
              <w:rPr>
                <w:rFonts w:ascii="Arial" w:cs="Arial" w:eastAsia="Arial" w:hAnsi="Arial"/>
                <w:sz w:val="16"/>
                <w:szCs w:val="16"/>
                <w:color w:val="auto"/>
              </w:rPr>
              <w:t>Provision for credit losses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w:t>
            </w:r>
          </w:p>
        </w:tc>
      </w:tr>
      <w:tr>
        <w:trPr>
          <w:trHeight w:val="213"/>
        </w:trPr>
        <w:tc>
          <w:tcPr>
            <w:tcW w:w="8260" w:type="dxa"/>
            <w:vAlign w:val="bottom"/>
          </w:tcPr>
          <w:p>
            <w:pPr>
              <w:ind w:left="800"/>
              <w:spacing w:after="0"/>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894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835</w:t>
            </w:r>
          </w:p>
        </w:tc>
      </w:tr>
      <w:tr>
        <w:trPr>
          <w:trHeight w:val="219"/>
        </w:trPr>
        <w:tc>
          <w:tcPr>
            <w:tcW w:w="8260" w:type="dxa"/>
            <w:vAlign w:val="bottom"/>
            <w:shd w:val="clear" w:color="auto" w:fill="CCEEFF"/>
          </w:tcPr>
          <w:p>
            <w:pPr>
              <w:ind w:left="800"/>
              <w:spacing w:after="0"/>
              <w:rPr>
                <w:sz w:val="20"/>
                <w:szCs w:val="20"/>
                <w:color w:val="auto"/>
              </w:rPr>
            </w:pPr>
            <w:r>
              <w:rPr>
                <w:rFonts w:ascii="Arial" w:cs="Arial" w:eastAsia="Arial" w:hAnsi="Arial"/>
                <w:sz w:val="16"/>
                <w:szCs w:val="16"/>
                <w:color w:val="auto"/>
              </w:rPr>
              <w:t>Shares issued for employee benefit plan</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w:t>
            </w:r>
          </w:p>
        </w:tc>
      </w:tr>
      <w:tr>
        <w:trPr>
          <w:trHeight w:val="213"/>
        </w:trPr>
        <w:tc>
          <w:tcPr>
            <w:tcW w:w="8260" w:type="dxa"/>
            <w:vAlign w:val="bottom"/>
          </w:tcPr>
          <w:p>
            <w:pPr>
              <w:ind w:left="800"/>
              <w:spacing w:after="0"/>
              <w:rPr>
                <w:sz w:val="20"/>
                <w:szCs w:val="20"/>
                <w:color w:val="auto"/>
              </w:rPr>
            </w:pPr>
            <w:r>
              <w:rPr>
                <w:rFonts w:ascii="Arial" w:cs="Arial" w:eastAsia="Arial" w:hAnsi="Arial"/>
                <w:sz w:val="16"/>
                <w:szCs w:val="16"/>
                <w:color w:val="auto"/>
              </w:rPr>
              <w:t>Employee and director stock-based compensation</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2,303</w:t>
            </w:r>
          </w:p>
        </w:tc>
      </w:tr>
      <w:tr>
        <w:trPr>
          <w:trHeight w:val="219"/>
        </w:trPr>
        <w:tc>
          <w:tcPr>
            <w:tcW w:w="8260" w:type="dxa"/>
            <w:vAlign w:val="bottom"/>
            <w:shd w:val="clear" w:color="auto" w:fill="CCEEFF"/>
          </w:tcPr>
          <w:p>
            <w:pPr>
              <w:ind w:left="800"/>
              <w:spacing w:after="0"/>
              <w:rPr>
                <w:sz w:val="20"/>
                <w:szCs w:val="20"/>
                <w:color w:val="auto"/>
              </w:rPr>
            </w:pPr>
            <w:r>
              <w:rPr>
                <w:rFonts w:ascii="Arial" w:cs="Arial" w:eastAsia="Arial" w:hAnsi="Arial"/>
                <w:sz w:val="16"/>
                <w:szCs w:val="16"/>
                <w:color w:val="auto"/>
              </w:rPr>
              <w:t>Performance-based common stock warrants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w:t>
            </w:r>
          </w:p>
        </w:tc>
      </w:tr>
      <w:tr>
        <w:trPr>
          <w:trHeight w:val="213"/>
        </w:trPr>
        <w:tc>
          <w:tcPr>
            <w:tcW w:w="8260" w:type="dxa"/>
            <w:vAlign w:val="bottom"/>
          </w:tcPr>
          <w:p>
            <w:pPr>
              <w:ind w:left="800"/>
              <w:spacing w:after="0"/>
              <w:rPr>
                <w:sz w:val="20"/>
                <w:szCs w:val="20"/>
                <w:color w:val="auto"/>
              </w:rPr>
            </w:pPr>
            <w:r>
              <w:rPr>
                <w:rFonts w:ascii="Arial" w:cs="Arial" w:eastAsia="Arial" w:hAnsi="Arial"/>
                <w:sz w:val="16"/>
                <w:szCs w:val="16"/>
                <w:color w:val="auto"/>
              </w:rPr>
              <w:t>Loss on sale of Ohio call center</w:t>
            </w:r>
          </w:p>
        </w:tc>
        <w:tc>
          <w:tcPr>
            <w:tcW w:w="2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712</w:t>
            </w:r>
          </w:p>
        </w:tc>
      </w:tr>
      <w:tr>
        <w:trPr>
          <w:trHeight w:val="219"/>
        </w:trPr>
        <w:tc>
          <w:tcPr>
            <w:tcW w:w="8260" w:type="dxa"/>
            <w:vAlign w:val="bottom"/>
            <w:shd w:val="clear" w:color="auto" w:fill="CCEEFF"/>
          </w:tcPr>
          <w:p>
            <w:pPr>
              <w:ind w:left="800"/>
              <w:spacing w:after="0"/>
              <w:rPr>
                <w:sz w:val="20"/>
                <w:szCs w:val="20"/>
                <w:color w:val="auto"/>
              </w:rPr>
            </w:pPr>
            <w:r>
              <w:rPr>
                <w:rFonts w:ascii="Arial" w:cs="Arial" w:eastAsia="Arial" w:hAnsi="Arial"/>
                <w:sz w:val="16"/>
                <w:szCs w:val="16"/>
                <w:color w:val="auto"/>
              </w:rPr>
              <w:t>Changes in operating assets and liabilities: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8260" w:type="dxa"/>
            <w:vAlign w:val="bottom"/>
          </w:tcPr>
          <w:p>
            <w:pPr>
              <w:ind w:left="1200"/>
              <w:spacing w:after="0"/>
              <w:rPr>
                <w:sz w:val="20"/>
                <w:szCs w:val="20"/>
                <w:color w:val="auto"/>
              </w:rPr>
            </w:pPr>
            <w:r>
              <w:rPr>
                <w:rFonts w:ascii="Arial" w:cs="Arial" w:eastAsia="Arial" w:hAnsi="Arial"/>
                <w:sz w:val="16"/>
                <w:szCs w:val="16"/>
                <w:color w:val="auto"/>
              </w:rPr>
              <w:t>Accounts receivable and contract assets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(10,126)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2,060</w:t>
            </w:r>
          </w:p>
        </w:tc>
      </w:tr>
      <w:tr>
        <w:trPr>
          <w:trHeight w:val="219"/>
        </w:trPr>
        <w:tc>
          <w:tcPr>
            <w:tcW w:w="8260" w:type="dxa"/>
            <w:vAlign w:val="bottom"/>
            <w:shd w:val="clear" w:color="auto" w:fill="CCEEFF"/>
          </w:tcPr>
          <w:p>
            <w:pPr>
              <w:ind w:left="1200"/>
              <w:spacing w:after="0"/>
              <w:rPr>
                <w:sz w:val="20"/>
                <w:szCs w:val="20"/>
                <w:color w:val="auto"/>
              </w:rPr>
            </w:pPr>
            <w:r>
              <w:rPr>
                <w:rFonts w:ascii="Arial" w:cs="Arial" w:eastAsia="Arial" w:hAnsi="Arial"/>
                <w:sz w:val="16"/>
                <w:szCs w:val="16"/>
                <w:color w:val="auto"/>
              </w:rPr>
              <w:t>Inventories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1,609</w:t>
            </w:r>
          </w:p>
        </w:tc>
      </w:tr>
      <w:tr>
        <w:trPr>
          <w:trHeight w:val="213"/>
        </w:trPr>
        <w:tc>
          <w:tcPr>
            <w:tcW w:w="8260" w:type="dxa"/>
            <w:vAlign w:val="bottom"/>
          </w:tcPr>
          <w:p>
            <w:pPr>
              <w:ind w:left="1200"/>
              <w:spacing w:after="0"/>
              <w:rPr>
                <w:sz w:val="20"/>
                <w:szCs w:val="20"/>
                <w:color w:val="auto"/>
              </w:rPr>
            </w:pPr>
            <w:r>
              <w:rPr>
                <w:rFonts w:ascii="Arial" w:cs="Arial" w:eastAsia="Arial" w:hAnsi="Arial"/>
                <w:sz w:val="16"/>
                <w:szCs w:val="16"/>
                <w:color w:val="auto"/>
              </w:rPr>
              <w:t>Prepaid expenses and other assets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384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118</w:t>
            </w:r>
          </w:p>
        </w:tc>
      </w:tr>
      <w:tr>
        <w:trPr>
          <w:trHeight w:val="219"/>
        </w:trPr>
        <w:tc>
          <w:tcPr>
            <w:tcW w:w="8260" w:type="dxa"/>
            <w:vAlign w:val="bottom"/>
            <w:shd w:val="clear" w:color="auto" w:fill="CCEEFF"/>
          </w:tcPr>
          <w:p>
            <w:pPr>
              <w:ind w:left="1200"/>
              <w:spacing w:after="0"/>
              <w:rPr>
                <w:sz w:val="20"/>
                <w:szCs w:val="20"/>
                <w:color w:val="auto"/>
              </w:rPr>
            </w:pPr>
            <w:r>
              <w:rPr>
                <w:rFonts w:ascii="Arial" w:cs="Arial" w:eastAsia="Arial" w:hAnsi="Arial"/>
                <w:sz w:val="16"/>
                <w:szCs w:val="16"/>
                <w:color w:val="auto"/>
              </w:rPr>
              <w:t>Accounts payable and accrued liabilities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(28,969)</w:t>
            </w:r>
          </w:p>
        </w:tc>
      </w:tr>
      <w:tr>
        <w:trPr>
          <w:trHeight w:val="213"/>
        </w:trPr>
        <w:tc>
          <w:tcPr>
            <w:tcW w:w="8260" w:type="dxa"/>
            <w:vAlign w:val="bottom"/>
            <w:tcBorders>
              <w:bottom w:val="single" w:sz="8" w:color="CCEEFF"/>
            </w:tcBorders>
          </w:tcPr>
          <w:p>
            <w:pPr>
              <w:ind w:left="1200"/>
              <w:spacing w:after="0"/>
              <w:rPr>
                <w:sz w:val="20"/>
                <w:szCs w:val="20"/>
                <w:color w:val="auto"/>
              </w:rPr>
            </w:pPr>
            <w:r>
              <w:rPr>
                <w:rFonts w:ascii="Arial" w:cs="Arial" w:eastAsia="Arial" w:hAnsi="Arial"/>
                <w:sz w:val="16"/>
                <w:szCs w:val="16"/>
                <w:color w:val="auto"/>
              </w:rPr>
              <w:t>Accrued income taxes</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(1,307)</w:t>
            </w:r>
          </w:p>
        </w:tc>
      </w:tr>
      <w:tr>
        <w:trPr>
          <w:trHeight w:val="213"/>
        </w:trPr>
        <w:tc>
          <w:tcPr>
            <w:tcW w:w="82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Net cash used for operating activities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(8,347)</w:t>
            </w: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Acquisitions of property, plant and equipment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(1,986)</w:t>
            </w: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Acquisitions of intangible assets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(1,106)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(1,270)</w:t>
            </w: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Payment on sale of Ohio call center</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r>
      <w:tr>
        <w:trPr>
          <w:trHeight w:val="206"/>
        </w:trPr>
        <w:tc>
          <w:tcPr>
            <w:tcW w:w="8260" w:type="dxa"/>
            <w:vAlign w:val="bottom"/>
          </w:tcPr>
          <w:p>
            <w:pPr>
              <w:ind w:left="560"/>
              <w:spacing w:after="0"/>
              <w:rPr>
                <w:sz w:val="20"/>
                <w:szCs w:val="20"/>
                <w:color w:val="auto"/>
              </w:rPr>
            </w:pPr>
            <w:r>
              <w:rPr>
                <w:rFonts w:ascii="Arial" w:cs="Arial" w:eastAsia="Arial" w:hAnsi="Arial"/>
                <w:sz w:val="16"/>
                <w:szCs w:val="16"/>
                <w:color w:val="auto"/>
              </w:rPr>
              <w:t>Net cash used for investing activities</w:t>
            </w:r>
          </w:p>
        </w:tc>
        <w:tc>
          <w:tcPr>
            <w:tcW w:w="2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(4,804)</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(3,756)</w:t>
            </w: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Borrowings under line of credit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25,000</w:t>
            </w: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Repayments on line of credit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Proceeds from stock options exercised</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991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Treasury stock purchased</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(6,291)</w:t>
            </w: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Contingent consideration payments in connection with business combinations</w:t>
            </w:r>
          </w:p>
        </w:tc>
        <w:tc>
          <w:tcPr>
            <w:tcW w:w="2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(3,091)</w:t>
            </w:r>
          </w:p>
        </w:tc>
      </w:tr>
      <w:tr>
        <w:trPr>
          <w:trHeight w:val="213"/>
        </w:trPr>
        <w:tc>
          <w:tcPr>
            <w:tcW w:w="8260" w:type="dxa"/>
            <w:vAlign w:val="bottom"/>
            <w:tcBorders>
              <w:top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Net cash provided by financing activities</w:t>
            </w: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10,040</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618</w:t>
            </w:r>
          </w:p>
        </w:tc>
      </w:tr>
      <w:tr>
        <w:trPr>
          <w:trHeight w:val="21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foreign currency exchange rates on cash and cash equivalents</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(3,890)</w:t>
            </w:r>
          </w:p>
        </w:tc>
      </w:tr>
      <w:tr>
        <w:trPr>
          <w:trHeight w:val="213"/>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decrease in cash and cash equivalents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(15,375)</w:t>
            </w:r>
          </w:p>
        </w:tc>
      </w:tr>
      <w:tr>
        <w:trPr>
          <w:trHeight w:val="21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57,153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74,302</w:t>
            </w:r>
          </w:p>
        </w:tc>
      </w:tr>
      <w:tr>
        <w:trPr>
          <w:trHeight w:val="23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55,363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58,927</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cash flow information:</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color w:val="auto"/>
              </w:rPr>
              <w:t>Income taxes paid</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3,473</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1,384</w:t>
            </w: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paid</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w:t>
            </w:r>
          </w:p>
        </w:tc>
      </w:tr>
    </w:tbl>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opinion of management, the accompanying consolidated financial statements of Universal Electronics Inc. and its subsidiaries contain all the adjustments necessary for a fair presentation of financial position, results of operations and cash flows for the periods presented. All such adjustments are of a normal recurring nature. Information and footnote disclosures normally included in financial statements, which are prepared in accordance with accounting principles generally accepted in the United States of America ("U.S. GAAP"), have been condensed or omitted pursuant to the rules and regulations of the Securities and Exchange Commission ("SEC"). As used herein, the terms "Company," "we," "us," and "our" refer to Universal Electronics Inc. and its subsidiaries, unless the context indicates to the contrary.</w:t>
      </w:r>
    </w:p>
    <w:p>
      <w:pPr>
        <w:spacing w:after="0" w:line="21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results of operations for the three months ended March 31, 2021 are not necessarily indicative of the results to be expected for the full year. These financial statements should be read in conjunction with the "Risk Factors," "Management's Discussion and Analysis of Financial Condition and Results of Operations," "Quantitative and Qualitative Disclosures About Market Risk," and the "Financial Statements and Supplementary Data" included in Items 1A, 7, 7A, and 8, respectively, of our Annual Report on Form 10-K for the year ended December 31, 2020.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Estimates and Assumptions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preparation of financial statements in conformity with U.S. GAAP requires us to make estimates and assumptions that affect the reported amounts of assets and liabilities, disclosure of contingent assets and liabilities at the date of the financial statements and the reported amounts of revenues and expenses during the reporting period. On an on-going basis, we evaluate our estimates and assumptions, including those related to revenue recognition; allowance for credit losses; inventory valuation; impairment of long-lived assets, intangible assets and goodwill; business combinations; income taxes and related valuation allowances; stock-based compensation expense and performance-based common stock warrants.</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coronavirus ("COVID-19") pandemic and the mitigation efforts by governments to attempt to control its spread have created uncertainties and disruptions in the economic and financial markets. While we are not currently aware of events or circumstances that would require an update to our estimates, judgments or adjustments to the carrying values of our assets or liabilities, these estimates may change as developments occur and we obtain additional information. These future developments are highly uncertain and the outcomes are unpredictable. Actual results may differ from those estimates, and such differences may be material to the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the exception of the following policy, our significant accounting policies are unchanged from those disclosed in Note 2 to the consolidated financial statements included in our Annual Report on Form 10-K for the year ended December 31, 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license our symbolic intellectual property which includes our patented technologies and database of control codes. Revenue is recognized for these licensing arrangements on an over-time basis. We record license revenue for per-unit based licenses when our customers manufacture or ship a product incorporating our intellectual property and we have a present right to payment. We record per-unit-based licenses with minimum guarantees ratably over the license period to which the minimum guarantee relates and any per-unit sales in excess of the minimum guarantee in the period in which the sale occurs. We record licenses with fixed consideration ratably over the license period. Tiered royalties are recorded on a straight-line basis according to the forecasted per-unit fees taking into account the pricing tiers.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December 2019, the FASB issued ASU 2019-12, "Simplifying the Accounting for Income Taxes", which, among other provisions, eliminates certain exceptions to existing guidance related to the approach for intra-period tax allocation, the methodology for calculating income taxes in an interim period and the recognition of deferred tax liabilities for outside basis differences. This guidance also requires an entity to reflect the effect of an enacted change in tax laws or rates in its effective income tax rate in the first interim period that includes the enactment date of the new legislation, aligning the timing of recognition of the effects from enacted tax law changes on the effective income tax rate with the effects on deferred income tax assets and liabilities. Under previous guidance, an entity recognized the effects of the enacted tax law change on the effective income tax rate in the period that included the effective date of the tax law. Our adoption on January 1, 2021 did not have a material impact on our consolidated statement of financial position, results of operations and cash flows.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Updates Not Yet Effective</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2020, the FASB issued ASU 2020-04, "Facilitation of the Effects of Reference Rate Reform on Financial Reporting" and in January 2021, the FASB issued ASU 2021-01, "Reference Rate Reform". This guidance is intended to provide temporary optional expedients and exceptions to GAAP guidance on contract modifications and hedge accounting to ease the financial reporting burden related to the expected market transition from the London Interbank Offered Rate ("LIBOR") and other interbank offered rates to alternative reference rates. The amendments in these ASUs are elective and are effective upon issuance for all entities through December 31, 2022. These amendments are not expected to have a material impact on our consolidated statement of financial position, results of operations and cash flows.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Cash and Cash Equivalents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were held in the following geographic regions: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8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March 31, 2021</w:t>
            </w: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98"/>
              </w:rPr>
              <w:t>December 31, 2020</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2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5,618</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9,812</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People's Republic of China ("PRC")</w:t>
            </w:r>
          </w:p>
        </w:tc>
        <w:tc>
          <w:tcPr>
            <w:tcW w:w="2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13,941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14,244</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(excluding the PRC)</w:t>
            </w:r>
          </w:p>
        </w:tc>
        <w:tc>
          <w:tcPr>
            <w:tcW w:w="2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12,451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13,518</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Europe</w:t>
            </w:r>
          </w:p>
        </w:tc>
        <w:tc>
          <w:tcPr>
            <w:tcW w:w="2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15,319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10,926</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South America</w:t>
            </w:r>
          </w:p>
        </w:tc>
        <w:tc>
          <w:tcPr>
            <w:tcW w:w="2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8,034</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8,653</w:t>
            </w:r>
          </w:p>
        </w:tc>
        <w:tc>
          <w:tcPr>
            <w:tcW w:w="0" w:type="dxa"/>
            <w:vAlign w:val="bottom"/>
          </w:tcPr>
          <w:p>
            <w:pPr>
              <w:spacing w:after="0"/>
              <w:rPr>
                <w:sz w:val="1"/>
                <w:szCs w:val="1"/>
                <w:color w:val="auto"/>
              </w:rPr>
            </w:pPr>
          </w:p>
        </w:tc>
      </w:tr>
      <w:tr>
        <w:trPr>
          <w:trHeight w:val="223"/>
        </w:trPr>
        <w:tc>
          <w:tcPr>
            <w:tcW w:w="4660" w:type="dxa"/>
            <w:vAlign w:val="bottom"/>
          </w:tcPr>
          <w:p>
            <w:pPr>
              <w:ind w:left="360"/>
              <w:spacing w:after="0"/>
              <w:rPr>
                <w:sz w:val="20"/>
                <w:szCs w:val="20"/>
                <w:color w:val="auto"/>
              </w:rPr>
            </w:pPr>
            <w:r>
              <w:rPr>
                <w:rFonts w:ascii="Arial" w:cs="Arial" w:eastAsia="Arial" w:hAnsi="Arial"/>
                <w:sz w:val="18"/>
                <w:szCs w:val="18"/>
                <w:color w:val="auto"/>
              </w:rPr>
              <w:t>Total cash and cash equivalents</w:t>
            </w:r>
          </w:p>
        </w:tc>
        <w:tc>
          <w:tcPr>
            <w:tcW w:w="2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55,363</w:t>
            </w:r>
          </w:p>
        </w:tc>
        <w:tc>
          <w:tcPr>
            <w:tcW w:w="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57,153</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8"/>
                <w:szCs w:val="18"/>
                <w:b w:val="1"/>
                <w:bCs w:val="1"/>
                <w:color w:val="auto"/>
              </w:rPr>
              <w:t>Note 3 — Revenue and Accounts Receivable, Net</w:t>
            </w:r>
          </w:p>
        </w:tc>
        <w:tc>
          <w:tcPr>
            <w:tcW w:w="2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5"/>
        </w:trPr>
        <w:tc>
          <w:tcPr>
            <w:tcW w:w="4660" w:type="dxa"/>
            <w:vAlign w:val="bottom"/>
            <w:vMerge w:val="continue"/>
          </w:tcPr>
          <w:p>
            <w:pPr>
              <w:spacing w:after="0"/>
              <w:rPr>
                <w:sz w:val="24"/>
                <w:szCs w:val="24"/>
                <w:color w:val="auto"/>
              </w:rPr>
            </w:pPr>
          </w:p>
        </w:tc>
        <w:tc>
          <w:tcPr>
            <w:tcW w:w="2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660" w:type="dxa"/>
            <w:vAlign w:val="bottom"/>
          </w:tcPr>
          <w:p>
            <w:pPr>
              <w:spacing w:after="0"/>
              <w:rPr>
                <w:sz w:val="20"/>
                <w:szCs w:val="20"/>
                <w:color w:val="auto"/>
              </w:rPr>
            </w:pPr>
            <w:r>
              <w:rPr>
                <w:rFonts w:ascii="Arial" w:cs="Arial" w:eastAsia="Arial" w:hAnsi="Arial"/>
                <w:sz w:val="18"/>
                <w:szCs w:val="18"/>
                <w:i w:val="1"/>
                <w:iCs w:val="1"/>
                <w:color w:val="auto"/>
              </w:rPr>
              <w:t>Revenue Details</w:t>
            </w:r>
          </w:p>
        </w:tc>
        <w:tc>
          <w:tcPr>
            <w:tcW w:w="2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660" w:type="dxa"/>
            <w:vAlign w:val="bottom"/>
          </w:tcPr>
          <w:p>
            <w:pPr>
              <w:spacing w:after="0"/>
              <w:rPr>
                <w:sz w:val="20"/>
                <w:szCs w:val="20"/>
                <w:color w:val="auto"/>
              </w:rPr>
            </w:pPr>
            <w:r>
              <w:rPr>
                <w:rFonts w:ascii="Arial" w:cs="Arial" w:eastAsia="Arial" w:hAnsi="Arial"/>
                <w:sz w:val="18"/>
                <w:szCs w:val="18"/>
                <w:color w:val="auto"/>
              </w:rPr>
              <w:t>The pattern of revenue recognition was as follows:</w:t>
            </w:r>
          </w:p>
        </w:tc>
        <w:tc>
          <w:tcPr>
            <w:tcW w:w="2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66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3380" w:type="dxa"/>
            <w:vAlign w:val="bottom"/>
            <w:tcBorders>
              <w:bottom w:val="single" w:sz="8" w:color="auto"/>
            </w:tcBorders>
            <w:gridSpan w:val="6"/>
          </w:tcPr>
          <w:p>
            <w:pPr>
              <w:jc w:val="right"/>
              <w:ind w:right="793"/>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8"/>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8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Goods and services transferred at a point in time</w:t>
            </w:r>
          </w:p>
        </w:tc>
        <w:tc>
          <w:tcPr>
            <w:tcW w:w="28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122,888</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117,058</w:t>
            </w:r>
          </w:p>
        </w:tc>
        <w:tc>
          <w:tcPr>
            <w:tcW w:w="0" w:type="dxa"/>
            <w:vAlign w:val="bottom"/>
          </w:tcPr>
          <w:p>
            <w:pPr>
              <w:spacing w:after="0"/>
              <w:rPr>
                <w:sz w:val="1"/>
                <w:szCs w:val="1"/>
                <w:color w:val="auto"/>
              </w:rPr>
            </w:pPr>
          </w:p>
        </w:tc>
      </w:tr>
      <w:tr>
        <w:trPr>
          <w:trHeight w:val="229"/>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Goods and services transferred over time</w:t>
            </w:r>
          </w:p>
        </w:tc>
        <w:tc>
          <w:tcPr>
            <w:tcW w:w="28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27,654</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34,720</w:t>
            </w:r>
          </w:p>
        </w:tc>
        <w:tc>
          <w:tcPr>
            <w:tcW w:w="0" w:type="dxa"/>
            <w:vAlign w:val="bottom"/>
          </w:tcPr>
          <w:p>
            <w:pPr>
              <w:spacing w:after="0"/>
              <w:rPr>
                <w:sz w:val="1"/>
                <w:szCs w:val="1"/>
                <w:color w:val="auto"/>
              </w:rPr>
            </w:pPr>
          </w:p>
        </w:tc>
      </w:tr>
      <w:tr>
        <w:trPr>
          <w:trHeight w:val="248"/>
        </w:trPr>
        <w:tc>
          <w:tcPr>
            <w:tcW w:w="4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sales</w:t>
            </w:r>
          </w:p>
        </w:tc>
        <w:tc>
          <w:tcPr>
            <w:tcW w:w="2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150,542</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151,778</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bottom w:val="single" w:sz="8" w:color="CCEEFF"/>
            </w:tcBorders>
            <w:vMerge w:val="restart"/>
          </w:tcPr>
          <w:p>
            <w:pPr>
              <w:jc w:val="right"/>
              <w:ind w:right="1730"/>
              <w:spacing w:after="0"/>
              <w:rPr>
                <w:sz w:val="20"/>
                <w:szCs w:val="20"/>
                <w:color w:val="auto"/>
              </w:rPr>
            </w:pPr>
            <w:r>
              <w:rPr>
                <w:rFonts w:ascii="Arial" w:cs="Arial" w:eastAsia="Arial" w:hAnsi="Arial"/>
                <w:sz w:val="18"/>
                <w:szCs w:val="18"/>
                <w:color w:val="auto"/>
              </w:rPr>
              <w:t>9</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4"/>
        </w:trPr>
        <w:tc>
          <w:tcPr>
            <w:tcW w:w="466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6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Our net sales to external customers by geographic area were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4"/>
          </w:tcPr>
          <w:p>
            <w:pPr>
              <w:jc w:val="right"/>
              <w:ind w:right="792"/>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2020</w:t>
            </w:r>
          </w:p>
        </w:tc>
      </w:tr>
      <w:tr>
        <w:trPr>
          <w:trHeight w:val="224"/>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50,292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74,381</w:t>
            </w: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Asia (excluding PRC)</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34,216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27,825</w:t>
            </w: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27,527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20,502</w:t>
            </w:r>
          </w:p>
        </w:tc>
      </w:tr>
      <w:tr>
        <w:trPr>
          <w:trHeight w:val="229"/>
        </w:trPr>
        <w:tc>
          <w:tcPr>
            <w:tcW w:w="7480" w:type="dxa"/>
            <w:vAlign w:val="bottom"/>
          </w:tcPr>
          <w:p>
            <w:pPr>
              <w:ind w:left="20"/>
              <w:spacing w:after="0"/>
              <w:rPr>
                <w:sz w:val="20"/>
                <w:szCs w:val="20"/>
                <w:color w:val="auto"/>
              </w:rPr>
            </w:pPr>
            <w:r>
              <w:rPr>
                <w:rFonts w:ascii="Arial" w:cs="Arial" w:eastAsia="Arial" w:hAnsi="Arial"/>
                <w:sz w:val="18"/>
                <w:szCs w:val="18"/>
                <w:color w:val="auto"/>
              </w:rPr>
              <w:t>People's Republic of China</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24,340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17,517</w:t>
            </w:r>
          </w:p>
        </w:tc>
      </w:tr>
      <w:tr>
        <w:trPr>
          <w:trHeight w:val="23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Latin America</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4,640</w:t>
            </w:r>
          </w:p>
        </w:tc>
      </w:tr>
      <w:tr>
        <w:trPr>
          <w:trHeight w:val="229"/>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8,023</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6,913</w:t>
            </w:r>
          </w:p>
        </w:tc>
      </w:tr>
      <w:tr>
        <w:trPr>
          <w:trHeight w:val="248"/>
        </w:trPr>
        <w:tc>
          <w:tcPr>
            <w:tcW w:w="7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net sales</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150,542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151,778</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Specific identification of the customer billing location was the basis used for attributing revenues from external customers to geographic areas.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Net sales to the following customers totaled more than 10% of our net sales: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5"/>
          </w:tcPr>
          <w:p>
            <w:pPr>
              <w:ind w:left="680"/>
              <w:spacing w:after="0"/>
              <w:rPr>
                <w:sz w:val="20"/>
                <w:szCs w:val="20"/>
                <w:color w:val="auto"/>
              </w:rPr>
            </w:pPr>
            <w:r>
              <w:rPr>
                <w:rFonts w:ascii="Arial" w:cs="Arial" w:eastAsia="Arial" w:hAnsi="Arial"/>
                <w:sz w:val="14"/>
                <w:szCs w:val="14"/>
                <w:b w:val="1"/>
                <w:bCs w:val="1"/>
                <w:color w:val="auto"/>
              </w:rPr>
              <w:t>Three Months Ended March 31,</w:t>
            </w: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r>
      <w:tr>
        <w:trPr>
          <w:trHeight w:val="187"/>
        </w:trPr>
        <w:tc>
          <w:tcPr>
            <w:tcW w:w="4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2021</w:t>
            </w:r>
          </w:p>
        </w:tc>
        <w:tc>
          <w:tcPr>
            <w:tcW w:w="132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right"/>
              <w:ind w:right="1204"/>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6"/>
                <w:szCs w:val="16"/>
                <w:color w:val="auto"/>
              </w:rPr>
            </w:pPr>
          </w:p>
        </w:tc>
      </w:tr>
      <w:tr>
        <w:trPr>
          <w:trHeight w:val="183"/>
        </w:trPr>
        <w:tc>
          <w:tcPr>
            <w:tcW w:w="42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8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w w:val="87"/>
              </w:rPr>
              <w:t>(thousands)</w:t>
            </w:r>
          </w:p>
        </w:tc>
        <w:tc>
          <w:tcPr>
            <w:tcW w:w="1320" w:type="dxa"/>
            <w:vAlign w:val="bottom"/>
          </w:tcPr>
          <w:p>
            <w:pPr>
              <w:jc w:val="right"/>
              <w:ind w:right="219"/>
              <w:spacing w:after="0"/>
              <w:rPr>
                <w:sz w:val="20"/>
                <w:szCs w:val="20"/>
                <w:color w:val="auto"/>
              </w:rPr>
            </w:pPr>
            <w:r>
              <w:rPr>
                <w:rFonts w:ascii="Arial" w:cs="Arial" w:eastAsia="Arial" w:hAnsi="Arial"/>
                <w:sz w:val="14"/>
                <w:szCs w:val="14"/>
                <w:b w:val="1"/>
                <w:bCs w:val="1"/>
                <w:color w:val="auto"/>
              </w:rPr>
              <w:t>% of Net Sales</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 (thousands)</w:t>
            </w:r>
          </w:p>
        </w:tc>
        <w:tc>
          <w:tcPr>
            <w:tcW w:w="140" w:type="dxa"/>
            <w:vAlign w:val="bottom"/>
          </w:tcPr>
          <w:p>
            <w:pPr>
              <w:spacing w:after="0"/>
              <w:rPr>
                <w:sz w:val="15"/>
                <w:szCs w:val="15"/>
                <w:color w:val="auto"/>
              </w:rPr>
            </w:pPr>
          </w:p>
        </w:tc>
        <w:tc>
          <w:tcPr>
            <w:tcW w:w="1800" w:type="dxa"/>
            <w:vAlign w:val="bottom"/>
            <w:gridSpan w:val="2"/>
          </w:tcPr>
          <w:p>
            <w:pPr>
              <w:ind w:left="280"/>
              <w:spacing w:after="0"/>
              <w:rPr>
                <w:sz w:val="20"/>
                <w:szCs w:val="20"/>
                <w:color w:val="auto"/>
              </w:rPr>
            </w:pPr>
            <w:r>
              <w:rPr>
                <w:rFonts w:ascii="Arial" w:cs="Arial" w:eastAsia="Arial" w:hAnsi="Arial"/>
                <w:sz w:val="14"/>
                <w:szCs w:val="14"/>
                <w:b w:val="1"/>
                <w:bCs w:val="1"/>
                <w:color w:val="auto"/>
              </w:rPr>
              <w:t>% of Net Sales</w:t>
            </w:r>
          </w:p>
        </w:tc>
      </w:tr>
      <w:tr>
        <w:trPr>
          <w:trHeight w:val="224"/>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Comcast Corporation</w:t>
            </w:r>
          </w:p>
        </w:tc>
        <w:tc>
          <w:tcPr>
            <w:tcW w:w="34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27,201</w:t>
            </w:r>
          </w:p>
        </w:tc>
        <w:tc>
          <w:tcPr>
            <w:tcW w:w="3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18.1 %</w:t>
            </w:r>
          </w:p>
        </w:tc>
        <w:tc>
          <w:tcPr>
            <w:tcW w:w="3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32,935</w:t>
            </w: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21.7 %</w:t>
            </w:r>
          </w:p>
        </w:tc>
        <w:tc>
          <w:tcPr>
            <w:tcW w:w="340" w:type="dxa"/>
            <w:vAlign w:val="bottom"/>
            <w:tcBorders>
              <w:top w:val="single" w:sz="8" w:color="CCEEFF"/>
            </w:tcBorders>
            <w:shd w:val="clear" w:color="auto" w:fill="CCEEFF"/>
          </w:tcPr>
          <w:p>
            <w:pPr>
              <w:spacing w:after="0"/>
              <w:rPr>
                <w:sz w:val="19"/>
                <w:szCs w:val="19"/>
                <w:color w:val="auto"/>
              </w:rPr>
            </w:pPr>
          </w:p>
        </w:tc>
      </w:tr>
      <w:tr>
        <w:trPr>
          <w:trHeight w:val="471"/>
        </w:trPr>
        <w:tc>
          <w:tcPr>
            <w:tcW w:w="4280" w:type="dxa"/>
            <w:vAlign w:val="bottom"/>
          </w:tcPr>
          <w:p>
            <w:pPr>
              <w:ind w:left="20"/>
              <w:spacing w:after="0"/>
              <w:rPr>
                <w:sz w:val="20"/>
                <w:szCs w:val="20"/>
                <w:color w:val="auto"/>
              </w:rPr>
            </w:pPr>
            <w:r>
              <w:rPr>
                <w:rFonts w:ascii="Arial" w:cs="Arial" w:eastAsia="Arial" w:hAnsi="Arial"/>
                <w:sz w:val="18"/>
                <w:szCs w:val="18"/>
                <w:color w:val="auto"/>
              </w:rPr>
              <w:t>Daikin Industries Ltd.</w:t>
            </w:r>
          </w:p>
        </w:tc>
        <w:tc>
          <w:tcPr>
            <w:tcW w:w="340" w:type="dxa"/>
            <w:vAlign w:val="bottom"/>
          </w:tcPr>
          <w:p>
            <w:pPr>
              <w:jc w:val="right"/>
              <w:ind w:right="136"/>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17,437</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11.6 %</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tcPr>
          <w:p>
            <w:pPr>
              <w:ind w:left="920"/>
              <w:spacing w:after="0"/>
              <w:rPr>
                <w:sz w:val="20"/>
                <w:szCs w:val="20"/>
                <w:color w:val="auto"/>
              </w:rPr>
            </w:pPr>
            <w:r>
              <w:rPr>
                <w:rFonts w:ascii="Arial" w:cs="Arial" w:eastAsia="Arial" w:hAnsi="Arial"/>
                <w:sz w:val="35"/>
                <w:szCs w:val="35"/>
                <w:color w:val="auto"/>
                <w:vertAlign w:val="subscript"/>
              </w:rPr>
              <w:t>—</w:t>
            </w:r>
            <w:r>
              <w:rPr>
                <w:rFonts w:ascii="Arial" w:cs="Arial" w:eastAsia="Arial" w:hAnsi="Arial"/>
                <w:sz w:val="12"/>
                <w:szCs w:val="12"/>
                <w:color w:val="auto"/>
              </w:rPr>
              <w:t xml:space="preserve"> (1)</w:t>
            </w:r>
          </w:p>
        </w:tc>
        <w:tc>
          <w:tcPr>
            <w:tcW w:w="140" w:type="dxa"/>
            <w:vAlign w:val="bottom"/>
          </w:tcPr>
          <w:p>
            <w:pPr>
              <w:spacing w:after="0"/>
              <w:rPr>
                <w:sz w:val="24"/>
                <w:szCs w:val="24"/>
                <w:color w:val="auto"/>
              </w:rPr>
            </w:pPr>
          </w:p>
        </w:tc>
        <w:tc>
          <w:tcPr>
            <w:tcW w:w="1800" w:type="dxa"/>
            <w:vAlign w:val="bottom"/>
            <w:gridSpan w:val="2"/>
          </w:tcPr>
          <w:p>
            <w:pPr>
              <w:ind w:left="1060"/>
              <w:spacing w:after="0"/>
              <w:rPr>
                <w:sz w:val="20"/>
                <w:szCs w:val="20"/>
                <w:color w:val="auto"/>
              </w:rPr>
            </w:pPr>
            <w:r>
              <w:rPr>
                <w:rFonts w:ascii="Arial" w:cs="Arial" w:eastAsia="Arial" w:hAnsi="Arial"/>
                <w:sz w:val="35"/>
                <w:szCs w:val="35"/>
                <w:color w:val="auto"/>
                <w:w w:val="95"/>
                <w:vertAlign w:val="subscript"/>
              </w:rPr>
              <w:t>—</w:t>
            </w:r>
            <w:r>
              <w:rPr>
                <w:rFonts w:ascii="Arial" w:cs="Arial" w:eastAsia="Arial" w:hAnsi="Arial"/>
                <w:sz w:val="12"/>
                <w:szCs w:val="12"/>
                <w:color w:val="auto"/>
                <w:w w:val="95"/>
              </w:rPr>
              <w:t>(1)</w:t>
            </w:r>
          </w:p>
        </w:tc>
      </w:tr>
    </w:tbl>
    <w:p>
      <w:pPr>
        <w:ind w:left="640" w:hanging="308"/>
        <w:spacing w:after="0" w:line="234" w:lineRule="auto"/>
        <w:tabs>
          <w:tab w:leader="none" w:pos="640" w:val="left"/>
        </w:tabs>
        <w:numPr>
          <w:ilvl w:val="0"/>
          <w:numId w:val="3"/>
        </w:numPr>
        <w:rPr>
          <w:rFonts w:ascii="Arial" w:cs="Arial" w:eastAsia="Arial" w:hAnsi="Arial"/>
          <w:sz w:val="23"/>
          <w:szCs w:val="23"/>
          <w:color w:val="auto"/>
          <w:vertAlign w:val="superscript"/>
        </w:rPr>
      </w:pPr>
      <w:r>
        <w:rPr>
          <w:rFonts w:ascii="Arial" w:cs="Arial" w:eastAsia="Arial" w:hAnsi="Arial"/>
          <w:sz w:val="18"/>
          <w:szCs w:val="18"/>
          <w:color w:val="auto"/>
        </w:rPr>
        <w:t>Sales associated with this customer did not total more than 10% of our net sales for the indicated period.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Net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were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6"/>
                <w:szCs w:val="16"/>
                <w:color w:val="auto"/>
              </w:rPr>
            </w:pPr>
          </w:p>
        </w:tc>
        <w:tc>
          <w:tcPr>
            <w:tcW w:w="162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 2021</w:t>
            </w:r>
          </w:p>
        </w:tc>
        <w:tc>
          <w:tcPr>
            <w:tcW w:w="200" w:type="dxa"/>
            <w:vAlign w:val="bottom"/>
          </w:tcPr>
          <w:p>
            <w:pPr>
              <w:spacing w:after="0"/>
              <w:rPr>
                <w:sz w:val="16"/>
                <w:szCs w:val="16"/>
                <w:color w:val="auto"/>
              </w:rPr>
            </w:pPr>
          </w:p>
        </w:tc>
        <w:tc>
          <w:tcPr>
            <w:tcW w:w="1560" w:type="dxa"/>
            <w:vAlign w:val="bottom"/>
          </w:tcPr>
          <w:p>
            <w:pPr>
              <w:jc w:val="right"/>
              <w:ind w:right="213"/>
              <w:spacing w:after="0"/>
              <w:rPr>
                <w:sz w:val="20"/>
                <w:szCs w:val="20"/>
                <w:color w:val="auto"/>
              </w:rPr>
            </w:pPr>
            <w:r>
              <w:rPr>
                <w:rFonts w:ascii="Arial" w:cs="Arial" w:eastAsia="Arial" w:hAnsi="Arial"/>
                <w:sz w:val="14"/>
                <w:szCs w:val="14"/>
                <w:b w:val="1"/>
                <w:bCs w:val="1"/>
                <w:color w:val="auto"/>
                <w:w w:val="98"/>
              </w:rPr>
              <w:t>December 31, 2020</w:t>
            </w:r>
          </w:p>
        </w:tc>
      </w:tr>
      <w:tr>
        <w:trPr>
          <w:trHeight w:val="229"/>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receivables, gross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134,003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122,828</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Allowance for credit losses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(1,358)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(1,412)</w:t>
            </w: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sales returns</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w:t>
            </w:r>
          </w:p>
        </w:tc>
      </w:tr>
      <w:tr>
        <w:trPr>
          <w:trHeight w:val="223"/>
        </w:trPr>
        <w:tc>
          <w:tcPr>
            <w:tcW w:w="7600" w:type="dxa"/>
            <w:vAlign w:val="bottom"/>
          </w:tcPr>
          <w:p>
            <w:pPr>
              <w:ind w:left="360"/>
              <w:spacing w:after="0"/>
              <w:rPr>
                <w:sz w:val="20"/>
                <w:szCs w:val="20"/>
                <w:color w:val="auto"/>
              </w:rPr>
            </w:pPr>
            <w:r>
              <w:rPr>
                <w:rFonts w:ascii="Arial" w:cs="Arial" w:eastAsia="Arial" w:hAnsi="Arial"/>
                <w:sz w:val="18"/>
                <w:szCs w:val="18"/>
                <w:color w:val="auto"/>
              </w:rPr>
              <w:t>Trade receivables, net</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132,237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120,655</w:t>
            </w: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8,778</w:t>
            </w:r>
          </w:p>
        </w:tc>
      </w:tr>
      <w:tr>
        <w:trPr>
          <w:trHeight w:val="223"/>
        </w:trPr>
        <w:tc>
          <w:tcPr>
            <w:tcW w:w="760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139,708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129,433</w:t>
            </w:r>
          </w:p>
        </w:tc>
      </w:tr>
      <w:tr>
        <w:trPr>
          <w:trHeight w:val="21"/>
        </w:trPr>
        <w:tc>
          <w:tcPr>
            <w:tcW w:w="7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Credit Losses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Changes in the allowance for credit losses were as follows:</w:t>
      </w:r>
    </w:p>
    <w:p>
      <w:pPr>
        <w:spacing w:after="0" w:line="34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beginning of period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Additions to costs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Write-offs/Foreign exchange effects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84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3056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2020</w:t>
            </w:r>
          </w:p>
        </w:tc>
      </w:tr>
      <w:tr>
        <w:trPr>
          <w:trHeight w:val="228"/>
        </w:trPr>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1,412</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1,492</w:t>
            </w:r>
          </w:p>
        </w:tc>
      </w:tr>
      <w:tr>
        <w:trPr>
          <w:trHeight w:val="230"/>
        </w:trPr>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237</w:t>
            </w:r>
          </w:p>
        </w:tc>
      </w:tr>
      <w:tr>
        <w:trPr>
          <w:trHeight w:val="230"/>
        </w:trPr>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r>
      <w:tr>
        <w:trPr>
          <w:trHeight w:val="223"/>
        </w:trPr>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1,358</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1,681</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880" w:space="720"/>
            <w:col w:w="3640"/>
          </w:cols>
          <w:pgMar w:left="320" w:top="11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0" w:name="page11"/>
    <w:bookmarkEnd w:id="1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Trade receivables associated with this significant customer that totaled more than 10% of our accounts receivable, net were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3"/>
          </w:tcPr>
          <w:p>
            <w:pPr>
              <w:jc w:val="right"/>
              <w:ind w:right="982"/>
              <w:spacing w:after="0"/>
              <w:rPr>
                <w:sz w:val="20"/>
                <w:szCs w:val="20"/>
                <w:color w:val="auto"/>
              </w:rPr>
            </w:pPr>
            <w:r>
              <w:rPr>
                <w:rFonts w:ascii="Arial" w:cs="Arial" w:eastAsia="Arial" w:hAnsi="Arial"/>
                <w:sz w:val="14"/>
                <w:szCs w:val="14"/>
                <w:b w:val="1"/>
                <w:bCs w:val="1"/>
                <w:color w:val="auto"/>
              </w:rPr>
              <w:t>March 31, 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7"/>
          </w:tcPr>
          <w:p>
            <w:pPr>
              <w:jc w:val="right"/>
              <w:ind w:right="128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34"/>
        </w:trPr>
        <w:tc>
          <w:tcPr>
            <w:tcW w:w="4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 (thousands)</w:t>
            </w:r>
          </w:p>
        </w:tc>
        <w:tc>
          <w:tcPr>
            <w:tcW w:w="14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 of Accounts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gridSpan w:val="3"/>
            <w:vMerge w:val="restart"/>
          </w:tcPr>
          <w:p>
            <w:pPr>
              <w:jc w:val="center"/>
              <w:ind w:right="480"/>
              <w:spacing w:after="0"/>
              <w:rPr>
                <w:sz w:val="20"/>
                <w:szCs w:val="20"/>
                <w:color w:val="auto"/>
              </w:rPr>
            </w:pPr>
            <w:r>
              <w:rPr>
                <w:rFonts w:ascii="Arial" w:cs="Arial" w:eastAsia="Arial" w:hAnsi="Arial"/>
                <w:sz w:val="14"/>
                <w:szCs w:val="14"/>
                <w:b w:val="1"/>
                <w:bCs w:val="1"/>
                <w:color w:val="auto"/>
                <w:w w:val="89"/>
              </w:rPr>
              <w:t>$ (thousands)</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gridSpan w:val="2"/>
          </w:tcPr>
          <w:p>
            <w:pPr>
              <w:jc w:val="right"/>
              <w:ind w:right="620"/>
              <w:spacing w:after="0" w:line="135" w:lineRule="exact"/>
              <w:rPr>
                <w:sz w:val="20"/>
                <w:szCs w:val="20"/>
                <w:color w:val="auto"/>
              </w:rPr>
            </w:pPr>
            <w:r>
              <w:rPr>
                <w:rFonts w:ascii="Arial" w:cs="Arial" w:eastAsia="Arial" w:hAnsi="Arial"/>
                <w:sz w:val="14"/>
                <w:szCs w:val="14"/>
                <w:b w:val="1"/>
                <w:bCs w:val="1"/>
                <w:color w:val="auto"/>
                <w:w w:val="98"/>
              </w:rPr>
              <w:t>% of Accounts</w:t>
            </w:r>
          </w:p>
        </w:tc>
        <w:tc>
          <w:tcPr>
            <w:tcW w:w="0" w:type="dxa"/>
            <w:vAlign w:val="bottom"/>
          </w:tcPr>
          <w:p>
            <w:pPr>
              <w:spacing w:after="0"/>
              <w:rPr>
                <w:sz w:val="1"/>
                <w:szCs w:val="1"/>
                <w:color w:val="auto"/>
              </w:rPr>
            </w:pPr>
          </w:p>
        </w:tc>
      </w:tr>
      <w:tr>
        <w:trPr>
          <w:trHeight w:val="188"/>
        </w:trPr>
        <w:tc>
          <w:tcPr>
            <w:tcW w:w="4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0"/>
              </w:rPr>
              <w:t>Receivable, Net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6"/>
              </w:rPr>
              <w:t>Receivable, Net</w:t>
            </w:r>
          </w:p>
        </w:tc>
        <w:tc>
          <w:tcPr>
            <w:tcW w:w="0" w:type="dxa"/>
            <w:vAlign w:val="bottom"/>
          </w:tcPr>
          <w:p>
            <w:pPr>
              <w:spacing w:after="0"/>
              <w:rPr>
                <w:sz w:val="1"/>
                <w:szCs w:val="1"/>
                <w:color w:val="auto"/>
              </w:rPr>
            </w:pPr>
          </w:p>
        </w:tc>
      </w:tr>
      <w:tr>
        <w:trPr>
          <w:trHeight w:val="224"/>
        </w:trPr>
        <w:tc>
          <w:tcPr>
            <w:tcW w:w="4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Comcast Corporation</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25,022</w:t>
            </w:r>
          </w:p>
        </w:tc>
        <w:tc>
          <w:tcPr>
            <w:tcW w:w="3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19,782</w:t>
            </w:r>
          </w:p>
        </w:tc>
        <w:tc>
          <w:tcPr>
            <w:tcW w:w="2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15.3 %</w:t>
            </w:r>
          </w:p>
        </w:tc>
        <w:tc>
          <w:tcPr>
            <w:tcW w:w="3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4420" w:type="dxa"/>
            <w:vAlign w:val="bottom"/>
          </w:tcPr>
          <w:p>
            <w:pPr>
              <w:spacing w:after="0"/>
              <w:rPr>
                <w:sz w:val="20"/>
                <w:szCs w:val="20"/>
                <w:color w:val="auto"/>
              </w:rPr>
            </w:pPr>
            <w:r>
              <w:rPr>
                <w:rFonts w:ascii="Arial" w:cs="Arial" w:eastAsia="Arial" w:hAnsi="Arial"/>
                <w:sz w:val="18"/>
                <w:szCs w:val="18"/>
                <w:b w:val="1"/>
                <w:bCs w:val="1"/>
                <w:color w:val="auto"/>
              </w:rPr>
              <w:t>Note 4 — Inventories and Significant Supplier</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420" w:type="dxa"/>
            <w:vAlign w:val="bottom"/>
          </w:tcPr>
          <w:p>
            <w:pPr>
              <w:spacing w:after="0"/>
              <w:rPr>
                <w:sz w:val="20"/>
                <w:szCs w:val="20"/>
                <w:color w:val="auto"/>
              </w:rPr>
            </w:pPr>
            <w:r>
              <w:rPr>
                <w:rFonts w:ascii="Arial" w:cs="Arial" w:eastAsia="Arial" w:hAnsi="Arial"/>
                <w:sz w:val="18"/>
                <w:szCs w:val="18"/>
                <w:color w:val="auto"/>
              </w:rPr>
              <w:t>Inventories were as follows:</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4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4"/>
              </w:rPr>
              <w:t>March 31, 2021</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229"/>
        </w:trPr>
        <w:tc>
          <w:tcPr>
            <w:tcW w:w="4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8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43,748</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44,273</w:t>
            </w:r>
          </w:p>
        </w:tc>
        <w:tc>
          <w:tcPr>
            <w:tcW w:w="0" w:type="dxa"/>
            <w:vAlign w:val="bottom"/>
          </w:tcPr>
          <w:p>
            <w:pPr>
              <w:spacing w:after="0"/>
              <w:rPr>
                <w:sz w:val="1"/>
                <w:szCs w:val="1"/>
                <w:color w:val="auto"/>
              </w:rPr>
            </w:pPr>
          </w:p>
        </w:tc>
      </w:tr>
      <w:tr>
        <w:trPr>
          <w:trHeight w:val="229"/>
        </w:trPr>
        <w:tc>
          <w:tcPr>
            <w:tcW w:w="4420" w:type="dxa"/>
            <w:vAlign w:val="bottom"/>
          </w:tcPr>
          <w:p>
            <w:pPr>
              <w:ind w:left="20"/>
              <w:spacing w:after="0"/>
              <w:rPr>
                <w:sz w:val="20"/>
                <w:szCs w:val="20"/>
                <w:color w:val="auto"/>
              </w:rPr>
            </w:pPr>
            <w:r>
              <w:rPr>
                <w:rFonts w:ascii="Arial" w:cs="Arial" w:eastAsia="Arial" w:hAnsi="Arial"/>
                <w:sz w:val="18"/>
                <w:szCs w:val="18"/>
                <w:color w:val="auto"/>
              </w:rPr>
              <w:t>Components</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20,494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16,954</w:t>
            </w: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 in process</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4,983</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6,211</w:t>
            </w:r>
          </w:p>
        </w:tc>
        <w:tc>
          <w:tcPr>
            <w:tcW w:w="0" w:type="dxa"/>
            <w:vAlign w:val="bottom"/>
          </w:tcPr>
          <w:p>
            <w:pPr>
              <w:spacing w:after="0"/>
              <w:rPr>
                <w:sz w:val="1"/>
                <w:szCs w:val="1"/>
                <w:color w:val="auto"/>
              </w:rPr>
            </w:pPr>
          </w:p>
        </w:tc>
      </w:tr>
      <w:tr>
        <w:trPr>
          <w:trHeight w:val="230"/>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Finished goods</w:t>
            </w:r>
          </w:p>
        </w:tc>
        <w:tc>
          <w:tcPr>
            <w:tcW w:w="18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48,667</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52,992</w:t>
            </w:r>
          </w:p>
        </w:tc>
        <w:tc>
          <w:tcPr>
            <w:tcW w:w="0" w:type="dxa"/>
            <w:vAlign w:val="bottom"/>
          </w:tcPr>
          <w:p>
            <w:pPr>
              <w:spacing w:after="0"/>
              <w:rPr>
                <w:sz w:val="1"/>
                <w:szCs w:val="1"/>
                <w:color w:val="auto"/>
              </w:rPr>
            </w:pPr>
          </w:p>
        </w:tc>
      </w:tr>
      <w:tr>
        <w:trPr>
          <w:trHeight w:val="248"/>
        </w:trPr>
        <w:tc>
          <w:tcPr>
            <w:tcW w:w="4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117,892</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120,430</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Supplier</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purchase integrated circuits, components and finished goods from multiple sources. Purchases from the following supplier totaled more than 10% of our total inventory purchases: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4"/>
                <w:szCs w:val="14"/>
                <w:b w:val="1"/>
                <w:bCs w:val="1"/>
                <w:color w:val="auto"/>
              </w:rPr>
              <w:t>Three Months Ended March 31,</w:t>
            </w: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right"/>
              <w:ind w:right="1184"/>
              <w:spacing w:after="0"/>
              <w:rPr>
                <w:sz w:val="20"/>
                <w:szCs w:val="20"/>
                <w:color w:val="auto"/>
              </w:rPr>
            </w:pPr>
            <w:r>
              <w:rPr>
                <w:rFonts w:ascii="Arial" w:cs="Arial" w:eastAsia="Arial" w:hAnsi="Arial"/>
                <w:sz w:val="14"/>
                <w:szCs w:val="14"/>
                <w:b w:val="1"/>
                <w:bCs w:val="1"/>
                <w:color w:val="auto"/>
                <w:w w:val="89"/>
              </w:rPr>
              <w:t>2021</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right"/>
              <w:ind w:right="1082"/>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5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w w:val="93"/>
              </w:rPr>
              <w:t>$ (thousands)</w:t>
            </w:r>
          </w:p>
        </w:tc>
        <w:tc>
          <w:tcPr>
            <w:tcW w:w="200" w:type="dxa"/>
            <w:vAlign w:val="bottom"/>
          </w:tcPr>
          <w:p>
            <w:pPr>
              <w:spacing w:after="0"/>
              <w:rPr>
                <w:sz w:val="11"/>
                <w:szCs w:val="11"/>
                <w:color w:val="auto"/>
              </w:rPr>
            </w:pPr>
          </w:p>
        </w:tc>
        <w:tc>
          <w:tcPr>
            <w:tcW w:w="136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95"/>
              </w:rPr>
              <w:t>% of Total Inventory</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w w:val="93"/>
              </w:rPr>
              <w:t>$ (thousands)</w:t>
            </w:r>
          </w:p>
        </w:tc>
        <w:tc>
          <w:tcPr>
            <w:tcW w:w="200" w:type="dxa"/>
            <w:vAlign w:val="bottom"/>
          </w:tcPr>
          <w:p>
            <w:pPr>
              <w:spacing w:after="0"/>
              <w:rPr>
                <w:sz w:val="11"/>
                <w:szCs w:val="11"/>
                <w:color w:val="auto"/>
              </w:rPr>
            </w:pPr>
          </w:p>
        </w:tc>
        <w:tc>
          <w:tcPr>
            <w:tcW w:w="1560" w:type="dxa"/>
            <w:vAlign w:val="bottom"/>
            <w:gridSpan w:val="2"/>
          </w:tcPr>
          <w:p>
            <w:pPr>
              <w:jc w:val="center"/>
              <w:ind w:right="200"/>
              <w:spacing w:after="0" w:line="130" w:lineRule="exact"/>
              <w:rPr>
                <w:sz w:val="20"/>
                <w:szCs w:val="20"/>
                <w:color w:val="auto"/>
              </w:rPr>
            </w:pPr>
            <w:r>
              <w:rPr>
                <w:rFonts w:ascii="Arial" w:cs="Arial" w:eastAsia="Arial" w:hAnsi="Arial"/>
                <w:sz w:val="14"/>
                <w:szCs w:val="14"/>
                <w:b w:val="1"/>
                <w:bCs w:val="1"/>
                <w:color w:val="auto"/>
                <w:w w:val="95"/>
              </w:rPr>
              <w:t>% of Total Inventory</w:t>
            </w:r>
          </w:p>
        </w:tc>
        <w:tc>
          <w:tcPr>
            <w:tcW w:w="0" w:type="dxa"/>
            <w:vAlign w:val="bottom"/>
          </w:tcPr>
          <w:p>
            <w:pPr>
              <w:spacing w:after="0"/>
              <w:rPr>
                <w:sz w:val="1"/>
                <w:szCs w:val="1"/>
                <w:color w:val="auto"/>
              </w:rPr>
            </w:pPr>
          </w:p>
        </w:tc>
      </w:tr>
      <w:tr>
        <w:trPr>
          <w:trHeight w:val="188"/>
        </w:trPr>
        <w:tc>
          <w:tcPr>
            <w:tcW w:w="5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Purchases</w:t>
            </w: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Purchases</w:t>
            </w:r>
          </w:p>
        </w:tc>
        <w:tc>
          <w:tcPr>
            <w:tcW w:w="0" w:type="dxa"/>
            <w:vAlign w:val="bottom"/>
          </w:tcPr>
          <w:p>
            <w:pPr>
              <w:spacing w:after="0"/>
              <w:rPr>
                <w:sz w:val="1"/>
                <w:szCs w:val="1"/>
                <w:color w:val="auto"/>
              </w:rPr>
            </w:pPr>
          </w:p>
        </w:tc>
      </w:tr>
      <w:tr>
        <w:trPr>
          <w:trHeight w:val="224"/>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Qorvo International Pte Ltd.</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9,773</w:t>
            </w:r>
          </w:p>
        </w:tc>
        <w:tc>
          <w:tcPr>
            <w:tcW w:w="2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12.8 %</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11,177</w:t>
            </w:r>
          </w:p>
        </w:tc>
        <w:tc>
          <w:tcPr>
            <w:tcW w:w="2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14.0 %</w:t>
            </w:r>
          </w:p>
        </w:tc>
        <w:tc>
          <w:tcPr>
            <w:tcW w:w="2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 supplier totaled 10% or more of our accounts payable balance at March 31, 2021 and December 31, 2020.</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Long-lived Tangible Assets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Long-lived tangible assets by geographic area, which include property, plant, and equipment, net and operating lease right-of-use assets, were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6"/>
                <w:szCs w:val="16"/>
                <w:color w:val="auto"/>
              </w:rPr>
            </w:pPr>
          </w:p>
        </w:tc>
        <w:tc>
          <w:tcPr>
            <w:tcW w:w="162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 2021</w:t>
            </w:r>
          </w:p>
        </w:tc>
        <w:tc>
          <w:tcPr>
            <w:tcW w:w="200" w:type="dxa"/>
            <w:vAlign w:val="bottom"/>
          </w:tcPr>
          <w:p>
            <w:pPr>
              <w:spacing w:after="0"/>
              <w:rPr>
                <w:sz w:val="16"/>
                <w:szCs w:val="16"/>
                <w:color w:val="auto"/>
              </w:rPr>
            </w:pPr>
          </w:p>
        </w:tc>
        <w:tc>
          <w:tcPr>
            <w:tcW w:w="1560" w:type="dxa"/>
            <w:vAlign w:val="bottom"/>
          </w:tcPr>
          <w:p>
            <w:pPr>
              <w:jc w:val="right"/>
              <w:ind w:right="213"/>
              <w:spacing w:after="0"/>
              <w:rPr>
                <w:sz w:val="20"/>
                <w:szCs w:val="20"/>
                <w:color w:val="auto"/>
              </w:rPr>
            </w:pPr>
            <w:r>
              <w:rPr>
                <w:rFonts w:ascii="Arial" w:cs="Arial" w:eastAsia="Arial" w:hAnsi="Arial"/>
                <w:sz w:val="14"/>
                <w:szCs w:val="14"/>
                <w:b w:val="1"/>
                <w:bCs w:val="1"/>
                <w:color w:val="auto"/>
                <w:w w:val="98"/>
              </w:rPr>
              <w:t>December 31, 2020</w:t>
            </w:r>
          </w:p>
        </w:tc>
      </w:tr>
      <w:tr>
        <w:trPr>
          <w:trHeight w:val="229"/>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15,411</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People's Republic of China</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62,191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64,197</w:t>
            </w: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Mexico</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22,248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22,410</w:t>
            </w:r>
          </w:p>
        </w:tc>
      </w:tr>
      <w:tr>
        <w:trPr>
          <w:trHeight w:val="230"/>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 other countries</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4,789</w:t>
            </w:r>
          </w:p>
        </w:tc>
      </w:tr>
      <w:tr>
        <w:trPr>
          <w:trHeight w:val="248"/>
        </w:trPr>
        <w:tc>
          <w:tcPr>
            <w:tcW w:w="7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long-lived tangible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106,807</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Property, plant, and equipment are shown net of accumulated depreciation of $157.3 million and $154.2 million at March 31, 2021 and December 31, 2020, respectively.</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rFonts w:ascii="Arial" w:cs="Arial" w:eastAsia="Arial" w:hAnsi="Arial"/>
          <w:sz w:val="14"/>
          <w:szCs w:val="14"/>
          <w:b w:val="1"/>
          <w:bCs w:val="1"/>
          <w:color w:val="0000FF"/>
        </w:rPr>
      </w:pPr>
      <w:hyperlink w:anchor="page1">
        <w:r>
          <w:rPr>
            <w:rFonts w:ascii="Arial" w:cs="Arial" w:eastAsia="Arial" w:hAnsi="Arial"/>
            <w:sz w:val="14"/>
            <w:szCs w:val="14"/>
            <w:b w:val="1"/>
            <w:bCs w:val="1"/>
            <w:color w:val="0000FF"/>
          </w:rPr>
          <w:t>Table of Contents</w:t>
        </w:r>
      </w:hyperlink>
    </w:p>
    <w:tbl>
      <w:tblPr>
        <w:tblLayout w:type="fixed"/>
        <w:tblInd w:w="0" w:type="dxa"/>
        <w:tblCellMar>
          <w:top w:w="0" w:type="dxa"/>
          <w:left w:w="0" w:type="dxa"/>
          <w:bottom w:w="0" w:type="dxa"/>
          <w:right w:w="0" w:type="dxa"/>
        </w:tblCellMar>
      </w:tblPr>
      <w:tr>
        <w:trPr>
          <w:trHeight w:val="205"/>
        </w:trPr>
        <w:tc>
          <w:tcPr>
            <w:tcW w:w="1080" w:type="dxa"/>
            <w:vAlign w:val="bottom"/>
            <w:tcBorders>
              <w:top w:val="single" w:sz="8" w:color="0000FF"/>
            </w:tcBorders>
          </w:tcPr>
          <w:p>
            <w:pPr>
              <w:spacing w:after="0"/>
              <w:rPr>
                <w:sz w:val="17"/>
                <w:szCs w:val="17"/>
                <w:color w:val="auto"/>
              </w:rPr>
            </w:pPr>
          </w:p>
        </w:tc>
        <w:tc>
          <w:tcPr>
            <w:tcW w:w="8400" w:type="dxa"/>
            <w:vAlign w:val="bottom"/>
          </w:tcPr>
          <w:p>
            <w:pPr>
              <w:jc w:val="center"/>
              <w:ind w:left="590"/>
              <w:spacing w:after="0" w:line="205" w:lineRule="exact"/>
              <w:rPr>
                <w:sz w:val="20"/>
                <w:szCs w:val="20"/>
                <w:color w:val="auto"/>
              </w:rPr>
            </w:pPr>
            <w:r>
              <w:rPr>
                <w:rFonts w:ascii="Arial" w:cs="Arial" w:eastAsia="Arial" w:hAnsi="Arial"/>
                <w:sz w:val="18"/>
                <w:szCs w:val="18"/>
                <w:b w:val="1"/>
                <w:bCs w:val="1"/>
                <w:color w:val="auto"/>
              </w:rPr>
              <w:t>UNIVERSAL ELECTRONICS INC.</w:t>
            </w:r>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6"/>
        </w:trPr>
        <w:tc>
          <w:tcPr>
            <w:tcW w:w="1080" w:type="dxa"/>
            <w:vAlign w:val="bottom"/>
          </w:tcPr>
          <w:p>
            <w:pPr>
              <w:spacing w:after="0"/>
              <w:rPr>
                <w:sz w:val="18"/>
                <w:szCs w:val="18"/>
                <w:color w:val="auto"/>
              </w:rPr>
            </w:pPr>
          </w:p>
        </w:tc>
        <w:tc>
          <w:tcPr>
            <w:tcW w:w="8400" w:type="dxa"/>
            <w:vAlign w:val="bottom"/>
          </w:tcPr>
          <w:p>
            <w:pPr>
              <w:jc w:val="center"/>
              <w:ind w:left="590"/>
              <w:spacing w:after="0"/>
              <w:rPr>
                <w:sz w:val="20"/>
                <w:szCs w:val="20"/>
                <w:color w:val="auto"/>
              </w:rPr>
            </w:pPr>
            <w:r>
              <w:rPr>
                <w:rFonts w:ascii="Arial" w:cs="Arial" w:eastAsia="Arial" w:hAnsi="Arial"/>
                <w:sz w:val="18"/>
                <w:szCs w:val="18"/>
                <w:b w:val="1"/>
                <w:bCs w:val="1"/>
                <w:color w:val="auto"/>
              </w:rPr>
              <w:t>NOTES TO CONSOLIDATED FINANCIAL STATEMENTS</w:t>
            </w: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8400" w:type="dxa"/>
            <w:vAlign w:val="bottom"/>
          </w:tcPr>
          <w:p>
            <w:pPr>
              <w:jc w:val="center"/>
              <w:ind w:left="610"/>
              <w:spacing w:after="0"/>
              <w:rPr>
                <w:sz w:val="20"/>
                <w:szCs w:val="20"/>
                <w:color w:val="auto"/>
              </w:rPr>
            </w:pPr>
            <w:r>
              <w:rPr>
                <w:rFonts w:ascii="Arial" w:cs="Arial" w:eastAsia="Arial" w:hAnsi="Arial"/>
                <w:sz w:val="18"/>
                <w:szCs w:val="18"/>
                <w:b w:val="1"/>
                <w:bCs w:val="1"/>
                <w:color w:val="auto"/>
                <w:w w:val="97"/>
              </w:rPr>
              <w:t>MARCH 31, 2021</w:t>
            </w: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1080" w:type="dxa"/>
            <w:vAlign w:val="bottom"/>
          </w:tcPr>
          <w:p>
            <w:pPr>
              <w:spacing w:after="0"/>
              <w:rPr>
                <w:sz w:val="20"/>
                <w:szCs w:val="20"/>
                <w:color w:val="auto"/>
              </w:rPr>
            </w:pPr>
          </w:p>
        </w:tc>
        <w:tc>
          <w:tcPr>
            <w:tcW w:w="8400" w:type="dxa"/>
            <w:vAlign w:val="bottom"/>
          </w:tcPr>
          <w:p>
            <w:pPr>
              <w:jc w:val="center"/>
              <w:ind w:left="590"/>
              <w:spacing w:after="0"/>
              <w:rPr>
                <w:sz w:val="20"/>
                <w:szCs w:val="20"/>
                <w:color w:val="auto"/>
              </w:rPr>
            </w:pPr>
            <w:r>
              <w:rPr>
                <w:rFonts w:ascii="Arial" w:cs="Arial" w:eastAsia="Arial" w:hAnsi="Arial"/>
                <w:sz w:val="18"/>
                <w:szCs w:val="18"/>
                <w:b w:val="1"/>
                <w:bCs w:val="1"/>
                <w:color w:val="auto"/>
                <w:w w:val="91"/>
              </w:rPr>
              <w:t>(Unaudited)</w:t>
            </w:r>
          </w:p>
        </w:tc>
        <w:tc>
          <w:tcPr>
            <w:tcW w:w="6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648"/>
        </w:trPr>
        <w:tc>
          <w:tcPr>
            <w:tcW w:w="9480" w:type="dxa"/>
            <w:vAlign w:val="bottom"/>
            <w:gridSpan w:val="2"/>
          </w:tcPr>
          <w:p>
            <w:pPr>
              <w:spacing w:after="0"/>
              <w:rPr>
                <w:sz w:val="20"/>
                <w:szCs w:val="20"/>
                <w:color w:val="auto"/>
              </w:rPr>
            </w:pPr>
            <w:r>
              <w:rPr>
                <w:rFonts w:ascii="Arial" w:cs="Arial" w:eastAsia="Arial" w:hAnsi="Arial"/>
                <w:sz w:val="18"/>
                <w:szCs w:val="18"/>
                <w:b w:val="1"/>
                <w:bCs w:val="1"/>
                <w:color w:val="auto"/>
              </w:rPr>
              <w:t>Note 6 — Goodwill and Intangible Assets, Net</w:t>
            </w: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59"/>
        </w:trPr>
        <w:tc>
          <w:tcPr>
            <w:tcW w:w="9480" w:type="dxa"/>
            <w:vAlign w:val="bottom"/>
            <w:gridSpan w:val="2"/>
          </w:tcPr>
          <w:p>
            <w:pPr>
              <w:spacing w:after="0"/>
              <w:rPr>
                <w:sz w:val="20"/>
                <w:szCs w:val="20"/>
                <w:color w:val="auto"/>
              </w:rPr>
            </w:pPr>
            <w:r>
              <w:rPr>
                <w:rFonts w:ascii="Arial" w:cs="Arial" w:eastAsia="Arial" w:hAnsi="Arial"/>
                <w:sz w:val="18"/>
                <w:szCs w:val="18"/>
                <w:i w:val="1"/>
                <w:iCs w:val="1"/>
                <w:color w:val="auto"/>
              </w:rPr>
              <w:t>Goodwill</w:t>
            </w: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59"/>
        </w:trPr>
        <w:tc>
          <w:tcPr>
            <w:tcW w:w="9480" w:type="dxa"/>
            <w:vAlign w:val="bottom"/>
            <w:gridSpan w:val="2"/>
          </w:tcPr>
          <w:p>
            <w:pPr>
              <w:spacing w:after="0"/>
              <w:rPr>
                <w:sz w:val="20"/>
                <w:szCs w:val="20"/>
                <w:color w:val="auto"/>
              </w:rPr>
            </w:pPr>
            <w:r>
              <w:rPr>
                <w:rFonts w:ascii="Arial" w:cs="Arial" w:eastAsia="Arial" w:hAnsi="Arial"/>
                <w:sz w:val="18"/>
                <w:szCs w:val="18"/>
                <w:color w:val="auto"/>
              </w:rPr>
              <w:t>Changes in the carrying amount of goodwill were as follows:</w:t>
            </w: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64"/>
        </w:trPr>
        <w:tc>
          <w:tcPr>
            <w:tcW w:w="94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6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36"/>
        </w:trPr>
        <w:tc>
          <w:tcPr>
            <w:tcW w:w="9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48,614</w:t>
            </w:r>
          </w:p>
        </w:tc>
      </w:tr>
      <w:tr>
        <w:trPr>
          <w:trHeight w:val="229"/>
        </w:trPr>
        <w:tc>
          <w:tcPr>
            <w:tcW w:w="948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Foreign exchange effects</w:t>
            </w:r>
          </w:p>
        </w:tc>
        <w:tc>
          <w:tcPr>
            <w:tcW w:w="6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r>
      <w:tr>
        <w:trPr>
          <w:trHeight w:val="248"/>
        </w:trPr>
        <w:tc>
          <w:tcPr>
            <w:tcW w:w="9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March 31, 2021</w:t>
            </w: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48,527</w:t>
            </w:r>
          </w:p>
        </w:tc>
      </w:tr>
      <w:tr>
        <w:trPr>
          <w:trHeight w:val="20"/>
        </w:trPr>
        <w:tc>
          <w:tcPr>
            <w:tcW w:w="1080" w:type="dxa"/>
            <w:vAlign w:val="bottom"/>
            <w:tcBorders>
              <w:top w:val="single" w:sz="8" w:color="CCEEFF"/>
            </w:tcBorders>
          </w:tcPr>
          <w:p>
            <w:pPr>
              <w:spacing w:after="0" w:line="20" w:lineRule="exact"/>
              <w:rPr>
                <w:sz w:val="1"/>
                <w:szCs w:val="1"/>
                <w:color w:val="auto"/>
              </w:rPr>
            </w:pPr>
          </w:p>
        </w:tc>
        <w:tc>
          <w:tcPr>
            <w:tcW w:w="84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Net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intangible assets, net were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6"/>
              </w:rPr>
              <w:t>March 31, 2021</w:t>
            </w: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1"/>
              </w:rPr>
              <w:t>December 31, 2020</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1"/>
                <w:szCs w:val="11"/>
                <w:color w:val="auto"/>
              </w:rPr>
            </w:pPr>
          </w:p>
        </w:tc>
        <w:tc>
          <w:tcPr>
            <w:tcW w:w="11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 xml:space="preserve">Gross </w:t>
            </w:r>
            <w:r>
              <w:rPr>
                <w:rFonts w:ascii="Arial" w:cs="Arial" w:eastAsia="Arial" w:hAnsi="Arial"/>
                <w:sz w:val="18"/>
                <w:szCs w:val="18"/>
                <w:b w:val="1"/>
                <w:bCs w:val="1"/>
                <w:color w:val="auto"/>
                <w:vertAlign w:val="superscript"/>
              </w:rPr>
              <w:t>(1)</w:t>
            </w:r>
          </w:p>
        </w:tc>
        <w:tc>
          <w:tcPr>
            <w:tcW w:w="140" w:type="dxa"/>
            <w:vAlign w:val="bottom"/>
          </w:tcPr>
          <w:p>
            <w:pPr>
              <w:spacing w:after="0"/>
              <w:rPr>
                <w:sz w:val="11"/>
                <w:szCs w:val="11"/>
                <w:color w:val="auto"/>
              </w:rPr>
            </w:pPr>
          </w:p>
        </w:tc>
        <w:tc>
          <w:tcPr>
            <w:tcW w:w="12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11"/>
                <w:szCs w:val="11"/>
                <w:color w:val="auto"/>
              </w:rPr>
            </w:pPr>
          </w:p>
        </w:tc>
        <w:tc>
          <w:tcPr>
            <w:tcW w:w="10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Net</w:t>
            </w:r>
          </w:p>
        </w:tc>
        <w:tc>
          <w:tcPr>
            <w:tcW w:w="240" w:type="dxa"/>
            <w:vAlign w:val="bottom"/>
          </w:tcPr>
          <w:p>
            <w:pPr>
              <w:spacing w:after="0"/>
              <w:rPr>
                <w:sz w:val="11"/>
                <w:szCs w:val="11"/>
                <w:color w:val="auto"/>
              </w:rPr>
            </w:pPr>
          </w:p>
        </w:tc>
        <w:tc>
          <w:tcPr>
            <w:tcW w:w="11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 xml:space="preserve">Gross </w:t>
            </w:r>
            <w:r>
              <w:rPr>
                <w:rFonts w:ascii="Arial" w:cs="Arial" w:eastAsia="Arial" w:hAnsi="Arial"/>
                <w:sz w:val="18"/>
                <w:szCs w:val="18"/>
                <w:b w:val="1"/>
                <w:bCs w:val="1"/>
                <w:color w:val="auto"/>
                <w:vertAlign w:val="superscript"/>
              </w:rPr>
              <w:t>(1)</w:t>
            </w:r>
          </w:p>
        </w:tc>
        <w:tc>
          <w:tcPr>
            <w:tcW w:w="140" w:type="dxa"/>
            <w:vAlign w:val="bottom"/>
          </w:tcPr>
          <w:p>
            <w:pPr>
              <w:spacing w:after="0"/>
              <w:rPr>
                <w:sz w:val="11"/>
                <w:szCs w:val="11"/>
                <w:color w:val="auto"/>
              </w:rPr>
            </w:pPr>
          </w:p>
        </w:tc>
        <w:tc>
          <w:tcPr>
            <w:tcW w:w="12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300" w:type="dxa"/>
            <w:vAlign w:val="bottom"/>
          </w:tcPr>
          <w:p>
            <w:pPr>
              <w:spacing w:after="0"/>
              <w:rPr>
                <w:sz w:val="11"/>
                <w:szCs w:val="11"/>
                <w:color w:val="auto"/>
              </w:rPr>
            </w:pPr>
          </w:p>
        </w:tc>
        <w:tc>
          <w:tcPr>
            <w:tcW w:w="9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89"/>
        </w:trPr>
        <w:tc>
          <w:tcPr>
            <w:tcW w:w="30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40"/>
              <w:spacing w:after="0" w:line="189" w:lineRule="exact"/>
              <w:rPr>
                <w:sz w:val="20"/>
                <w:szCs w:val="20"/>
                <w:color w:val="auto"/>
              </w:rPr>
            </w:pPr>
            <w:r>
              <w:rPr>
                <w:rFonts w:ascii="Arial" w:cs="Arial" w:eastAsia="Arial" w:hAnsi="Arial"/>
                <w:sz w:val="14"/>
                <w:szCs w:val="14"/>
                <w:b w:val="1"/>
                <w:bCs w:val="1"/>
                <w:color w:val="auto"/>
                <w:w w:val="92"/>
              </w:rPr>
              <w:t xml:space="preserve">Amortization </w:t>
            </w:r>
            <w:r>
              <w:rPr>
                <w:rFonts w:ascii="Arial" w:cs="Arial" w:eastAsia="Arial" w:hAnsi="Arial"/>
                <w:sz w:val="18"/>
                <w:szCs w:val="18"/>
                <w:b w:val="1"/>
                <w:bCs w:val="1"/>
                <w:color w:val="auto"/>
                <w:w w:val="92"/>
                <w:vertAlign w:val="superscript"/>
              </w:rPr>
              <w:t>(1)</w:t>
            </w:r>
          </w:p>
        </w:tc>
        <w:tc>
          <w:tcPr>
            <w:tcW w:w="3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40"/>
              <w:spacing w:after="0" w:line="189" w:lineRule="exact"/>
              <w:rPr>
                <w:sz w:val="20"/>
                <w:szCs w:val="20"/>
                <w:color w:val="auto"/>
              </w:rPr>
            </w:pPr>
            <w:r>
              <w:rPr>
                <w:rFonts w:ascii="Arial" w:cs="Arial" w:eastAsia="Arial" w:hAnsi="Arial"/>
                <w:sz w:val="14"/>
                <w:szCs w:val="14"/>
                <w:b w:val="1"/>
                <w:bCs w:val="1"/>
                <w:color w:val="auto"/>
                <w:w w:val="92"/>
              </w:rPr>
              <w:t xml:space="preserve">Amortization </w:t>
            </w:r>
            <w:r>
              <w:rPr>
                <w:rFonts w:ascii="Arial" w:cs="Arial" w:eastAsia="Arial" w:hAnsi="Arial"/>
                <w:sz w:val="18"/>
                <w:szCs w:val="18"/>
                <w:b w:val="1"/>
                <w:bCs w:val="1"/>
                <w:color w:val="auto"/>
                <w:w w:val="92"/>
                <w:vertAlign w:val="superscript"/>
              </w:rPr>
              <w:t>(1)</w:t>
            </w: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5"/>
              </w:rPr>
              <w:t>Capitalized software development costs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29"/>
        </w:trPr>
        <w:tc>
          <w:tcPr>
            <w:tcW w:w="308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3,594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(4,329)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3,771</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Developed and core technology</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0" w:type="dxa"/>
            <w:vAlign w:val="bottom"/>
          </w:tcPr>
          <w:p>
            <w:pPr>
              <w:spacing w:after="0"/>
              <w:rPr>
                <w:sz w:val="1"/>
                <w:szCs w:val="1"/>
                <w:color w:val="auto"/>
              </w:rPr>
            </w:pPr>
          </w:p>
        </w:tc>
      </w:tr>
      <w:tr>
        <w:trPr>
          <w:trHeight w:val="230"/>
        </w:trPr>
        <w:tc>
          <w:tcPr>
            <w:tcW w:w="3080" w:type="dxa"/>
            <w:vAlign w:val="bottom"/>
          </w:tcPr>
          <w:p>
            <w:pPr>
              <w:ind w:left="20"/>
              <w:spacing w:after="0"/>
              <w:rPr>
                <w:sz w:val="20"/>
                <w:szCs w:val="20"/>
                <w:color w:val="auto"/>
              </w:rPr>
            </w:pPr>
            <w:r>
              <w:rPr>
                <w:rFonts w:ascii="Arial" w:cs="Arial" w:eastAsia="Arial" w:hAnsi="Arial"/>
                <w:sz w:val="18"/>
                <w:szCs w:val="18"/>
                <w:color w:val="auto"/>
              </w:rPr>
              <w:t>Distribution rights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Patents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14,027</w:t>
            </w:r>
          </w:p>
        </w:tc>
        <w:tc>
          <w:tcPr>
            <w:tcW w:w="0" w:type="dxa"/>
            <w:vAlign w:val="bottom"/>
          </w:tcPr>
          <w:p>
            <w:pPr>
              <w:spacing w:after="0"/>
              <w:rPr>
                <w:sz w:val="1"/>
                <w:szCs w:val="1"/>
                <w:color w:val="auto"/>
              </w:rPr>
            </w:pPr>
          </w:p>
        </w:tc>
      </w:tr>
      <w:tr>
        <w:trPr>
          <w:trHeight w:val="230"/>
        </w:trPr>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Trademarks and trade names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48"/>
        </w:trPr>
        <w:tc>
          <w:tcPr>
            <w:tcW w:w="3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intangible assets,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19,710</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hanging="328"/>
        <w:spacing w:after="0" w:line="227" w:lineRule="auto"/>
        <w:tabs>
          <w:tab w:leader="none" w:pos="648"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This table excludes the gross value of fully amortized intangible assets totaling $42.8 million and $42.7 million at March 31, 2021 and December 31, 2020, respectively.</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Amortization expense is recorded in selling, general and administrative expenses, except amortization expense related to capitalized software development costs, which is recorded in cost of sales. Amortization expense by statement of operations caption was as follows:</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580" w:type="dxa"/>
            <w:vAlign w:val="bottom"/>
          </w:tcPr>
          <w:p>
            <w:pPr>
              <w:spacing w:after="0"/>
              <w:rPr>
                <w:sz w:val="16"/>
                <w:szCs w:val="16"/>
                <w:color w:val="auto"/>
              </w:rPr>
            </w:pPr>
          </w:p>
        </w:tc>
        <w:tc>
          <w:tcPr>
            <w:tcW w:w="3640" w:type="dxa"/>
            <w:vAlign w:val="bottom"/>
            <w:tcBorders>
              <w:bottom w:val="single" w:sz="8" w:color="auto"/>
            </w:tcBorders>
            <w:gridSpan w:val="2"/>
          </w:tcPr>
          <w:p>
            <w:pPr>
              <w:jc w:val="right"/>
              <w:ind w:right="748"/>
              <w:spacing w:after="0"/>
              <w:rPr>
                <w:sz w:val="20"/>
                <w:szCs w:val="20"/>
                <w:color w:val="auto"/>
              </w:rPr>
            </w:pPr>
            <w:r>
              <w:rPr>
                <w:rFonts w:ascii="Arial" w:cs="Arial" w:eastAsia="Arial" w:hAnsi="Arial"/>
                <w:sz w:val="14"/>
                <w:szCs w:val="14"/>
                <w:b w:val="1"/>
                <w:bCs w:val="1"/>
                <w:color w:val="auto"/>
              </w:rPr>
              <w:t>Three Months Ended March 31,</w:t>
            </w:r>
          </w:p>
        </w:tc>
      </w:tr>
      <w:tr>
        <w:trPr>
          <w:trHeight w:val="186"/>
        </w:trPr>
        <w:tc>
          <w:tcPr>
            <w:tcW w:w="75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820" w:type="dxa"/>
            <w:vAlign w:val="bottom"/>
          </w:tcPr>
          <w:p>
            <w:pPr>
              <w:jc w:val="right"/>
              <w:ind w:right="728"/>
              <w:spacing w:after="0"/>
              <w:rPr>
                <w:sz w:val="20"/>
                <w:szCs w:val="20"/>
                <w:color w:val="auto"/>
              </w:rPr>
            </w:pPr>
            <w:r>
              <w:rPr>
                <w:rFonts w:ascii="Arial" w:cs="Arial" w:eastAsia="Arial" w:hAnsi="Arial"/>
                <w:sz w:val="14"/>
                <w:szCs w:val="14"/>
                <w:b w:val="1"/>
                <w:bCs w:val="1"/>
                <w:color w:val="auto"/>
              </w:rPr>
              <w:t>2021</w:t>
            </w:r>
          </w:p>
        </w:tc>
        <w:tc>
          <w:tcPr>
            <w:tcW w:w="1820" w:type="dxa"/>
            <w:vAlign w:val="bottom"/>
          </w:tcPr>
          <w:p>
            <w:pPr>
              <w:jc w:val="right"/>
              <w:ind w:right="668"/>
              <w:spacing w:after="0"/>
              <w:rPr>
                <w:sz w:val="20"/>
                <w:szCs w:val="20"/>
                <w:color w:val="auto"/>
              </w:rPr>
            </w:pPr>
            <w:r>
              <w:rPr>
                <w:rFonts w:ascii="Arial" w:cs="Arial" w:eastAsia="Arial" w:hAnsi="Arial"/>
                <w:sz w:val="14"/>
                <w:szCs w:val="14"/>
                <w:b w:val="1"/>
                <w:bCs w:val="1"/>
                <w:color w:val="auto"/>
              </w:rPr>
              <w:t>2020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960" w:type="dxa"/>
            <w:vAlign w:val="bottom"/>
            <w:tcBorders>
              <w:top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38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29"/>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9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834</w:t>
            </w:r>
          </w:p>
        </w:tc>
        <w:tc>
          <w:tcPr>
            <w:tcW w:w="3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w:t>
            </w:r>
          </w:p>
        </w:tc>
        <w:tc>
          <w:tcPr>
            <w:tcW w:w="20" w:type="dxa"/>
            <w:vAlign w:val="bottom"/>
            <w:tcBorders>
              <w:bottom w:val="single" w:sz="8" w:color="auto"/>
            </w:tcBorders>
          </w:tcPr>
          <w:p>
            <w:pPr>
              <w:spacing w:after="0"/>
              <w:rPr>
                <w:sz w:val="19"/>
                <w:szCs w:val="19"/>
                <w:color w:val="auto"/>
              </w:rPr>
            </w:pPr>
          </w:p>
        </w:tc>
      </w:tr>
      <w:tr>
        <w:trPr>
          <w:trHeight w:val="248"/>
        </w:trPr>
        <w:tc>
          <w:tcPr>
            <w:tcW w:w="7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amortization expense</w:t>
            </w: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838</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20" w:type="dxa"/>
            <w:vAlign w:val="bottom"/>
            <w:tcBorders>
              <w:bottom w:val="single" w:sz="8" w:color="auto"/>
            </w:tcBorders>
            <w:shd w:val="clear" w:color="auto" w:fill="CCEEFF"/>
          </w:tcPr>
          <w:p>
            <w:pPr>
              <w:spacing w:after="0"/>
              <w:rPr>
                <w:sz w:val="21"/>
                <w:szCs w:val="2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460"/>
        </w:trPr>
        <w:tc>
          <w:tcPr>
            <w:tcW w:w="8560" w:type="dxa"/>
            <w:vAlign w:val="bottom"/>
            <w:gridSpan w:val="2"/>
          </w:tcPr>
          <w:p>
            <w:pPr>
              <w:spacing w:after="0"/>
              <w:rPr>
                <w:sz w:val="20"/>
                <w:szCs w:val="20"/>
                <w:color w:val="auto"/>
              </w:rPr>
            </w:pPr>
            <w:r>
              <w:rPr>
                <w:rFonts w:ascii="Arial" w:cs="Arial" w:eastAsia="Arial" w:hAnsi="Arial"/>
                <w:sz w:val="18"/>
                <w:szCs w:val="18"/>
                <w:color w:val="auto"/>
                <w:w w:val="95"/>
              </w:rPr>
              <w:t>Estimated future annual amortization expense related to our intangible assets at March 31, 2021, was as follows:</w:t>
            </w: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4"/>
        </w:trPr>
        <w:tc>
          <w:tcPr>
            <w:tcW w:w="76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35"/>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 (remaining 9 months)</w:t>
            </w:r>
          </w:p>
        </w:tc>
        <w:tc>
          <w:tcPr>
            <w:tcW w:w="9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w:t>
            </w:r>
          </w:p>
        </w:tc>
        <w:tc>
          <w:tcPr>
            <w:tcW w:w="20" w:type="dxa"/>
            <w:vAlign w:val="bottom"/>
          </w:tcPr>
          <w:p>
            <w:pPr>
              <w:spacing w:after="0"/>
              <w:rPr>
                <w:sz w:val="20"/>
                <w:szCs w:val="20"/>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2022</w:t>
            </w:r>
          </w:p>
        </w:tc>
        <w:tc>
          <w:tcPr>
            <w:tcW w:w="9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3,586</w:t>
            </w:r>
          </w:p>
        </w:tc>
        <w:tc>
          <w:tcPr>
            <w:tcW w:w="20" w:type="dxa"/>
            <w:vAlign w:val="bottom"/>
          </w:tcPr>
          <w:p>
            <w:pPr>
              <w:spacing w:after="0"/>
              <w:rPr>
                <w:sz w:val="19"/>
                <w:szCs w:val="19"/>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9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3,424</w:t>
            </w:r>
          </w:p>
        </w:tc>
        <w:tc>
          <w:tcPr>
            <w:tcW w:w="20" w:type="dxa"/>
            <w:vAlign w:val="bottom"/>
          </w:tcPr>
          <w:p>
            <w:pPr>
              <w:spacing w:after="0"/>
              <w:rPr>
                <w:sz w:val="19"/>
                <w:szCs w:val="19"/>
                <w:color w:val="auto"/>
              </w:rPr>
            </w:pP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2024</w:t>
            </w:r>
          </w:p>
        </w:tc>
        <w:tc>
          <w:tcPr>
            <w:tcW w:w="9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2,508</w:t>
            </w:r>
          </w:p>
        </w:tc>
        <w:tc>
          <w:tcPr>
            <w:tcW w:w="20" w:type="dxa"/>
            <w:vAlign w:val="bottom"/>
          </w:tcPr>
          <w:p>
            <w:pPr>
              <w:spacing w:after="0"/>
              <w:rPr>
                <w:sz w:val="19"/>
                <w:szCs w:val="19"/>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9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w:t>
            </w:r>
          </w:p>
        </w:tc>
        <w:tc>
          <w:tcPr>
            <w:tcW w:w="20" w:type="dxa"/>
            <w:vAlign w:val="bottom"/>
          </w:tcPr>
          <w:p>
            <w:pPr>
              <w:spacing w:after="0"/>
              <w:rPr>
                <w:sz w:val="19"/>
                <w:szCs w:val="19"/>
                <w:color w:val="auto"/>
              </w:rPr>
            </w:pPr>
          </w:p>
        </w:tc>
      </w:tr>
      <w:tr>
        <w:trPr>
          <w:trHeight w:val="230"/>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9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5,702</w:t>
            </w:r>
          </w:p>
        </w:tc>
        <w:tc>
          <w:tcPr>
            <w:tcW w:w="20" w:type="dxa"/>
            <w:vAlign w:val="bottom"/>
          </w:tcPr>
          <w:p>
            <w:pPr>
              <w:spacing w:after="0"/>
              <w:rPr>
                <w:sz w:val="19"/>
                <w:szCs w:val="19"/>
                <w:color w:val="auto"/>
              </w:rPr>
            </w:pPr>
          </w:p>
        </w:tc>
      </w:tr>
      <w:tr>
        <w:trPr>
          <w:trHeight w:val="248"/>
        </w:trPr>
        <w:tc>
          <w:tcPr>
            <w:tcW w:w="7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19,973</w:t>
            </w:r>
          </w:p>
        </w:tc>
        <w:tc>
          <w:tcPr>
            <w:tcW w:w="20" w:type="dxa"/>
            <w:vAlign w:val="bottom"/>
          </w:tcPr>
          <w:p>
            <w:pPr>
              <w:spacing w:after="0"/>
              <w:rPr>
                <w:sz w:val="21"/>
                <w:szCs w:val="2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 w:name="page13"/>
    <w:bookmarkEnd w:id="1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Leases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have entered into various operating lease agreements for automobiles, offices and manufacturing facilities throughout the world. At March 31, 2021, our operating leases had remaining lease terms of up to 40 years, including any reasonably probable extensions.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Lease balances within our consolidated balance sheet were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6"/>
                <w:szCs w:val="16"/>
                <w:color w:val="auto"/>
              </w:rPr>
            </w:pPr>
          </w:p>
        </w:tc>
        <w:tc>
          <w:tcPr>
            <w:tcW w:w="162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 2021</w:t>
            </w:r>
          </w:p>
        </w:tc>
        <w:tc>
          <w:tcPr>
            <w:tcW w:w="200" w:type="dxa"/>
            <w:vAlign w:val="bottom"/>
          </w:tcPr>
          <w:p>
            <w:pPr>
              <w:spacing w:after="0"/>
              <w:rPr>
                <w:sz w:val="16"/>
                <w:szCs w:val="16"/>
                <w:color w:val="auto"/>
              </w:rPr>
            </w:pPr>
          </w:p>
        </w:tc>
        <w:tc>
          <w:tcPr>
            <w:tcW w:w="1560" w:type="dxa"/>
            <w:vAlign w:val="bottom"/>
          </w:tcPr>
          <w:p>
            <w:pPr>
              <w:jc w:val="right"/>
              <w:ind w:right="214"/>
              <w:spacing w:after="0"/>
              <w:rPr>
                <w:sz w:val="20"/>
                <w:szCs w:val="20"/>
                <w:color w:val="auto"/>
              </w:rPr>
            </w:pPr>
            <w:r>
              <w:rPr>
                <w:rFonts w:ascii="Arial" w:cs="Arial" w:eastAsia="Arial" w:hAnsi="Arial"/>
                <w:sz w:val="14"/>
                <w:szCs w:val="14"/>
                <w:b w:val="1"/>
                <w:bCs w:val="1"/>
                <w:color w:val="auto"/>
                <w:w w:val="98"/>
              </w:rPr>
              <w:t>December 31, 2020</w:t>
            </w:r>
          </w:p>
        </w:tc>
      </w:tr>
      <w:tr>
        <w:trPr>
          <w:trHeight w:val="216"/>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29"/>
        </w:trPr>
        <w:tc>
          <w:tcPr>
            <w:tcW w:w="7600" w:type="dxa"/>
            <w:vAlign w:val="bottom"/>
          </w:tcPr>
          <w:p>
            <w:pPr>
              <w:ind w:left="360"/>
              <w:spacing w:after="0"/>
              <w:rPr>
                <w:sz w:val="20"/>
                <w:szCs w:val="20"/>
                <w:color w:val="auto"/>
              </w:rPr>
            </w:pPr>
            <w:r>
              <w:rPr>
                <w:rFonts w:ascii="Arial" w:cs="Arial" w:eastAsia="Arial" w:hAnsi="Arial"/>
                <w:sz w:val="18"/>
                <w:szCs w:val="18"/>
                <w:color w:val="auto"/>
              </w:rPr>
              <w:t>Operating lease right-of-use assets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17,702</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19,522</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97"/>
        </w:trPr>
        <w:tc>
          <w:tcPr>
            <w:tcW w:w="76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Liabilities:</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230"/>
        </w:trPr>
        <w:tc>
          <w:tcPr>
            <w:tcW w:w="7600" w:type="dxa"/>
            <w:vAlign w:val="bottom"/>
          </w:tcPr>
          <w:p>
            <w:pPr>
              <w:ind w:left="360"/>
              <w:spacing w:after="0"/>
              <w:rPr>
                <w:sz w:val="20"/>
                <w:szCs w:val="20"/>
                <w:color w:val="auto"/>
              </w:rPr>
            </w:pPr>
            <w:r>
              <w:rPr>
                <w:rFonts w:ascii="Arial" w:cs="Arial" w:eastAsia="Arial" w:hAnsi="Arial"/>
                <w:sz w:val="18"/>
                <w:szCs w:val="18"/>
                <w:color w:val="auto"/>
              </w:rPr>
              <w:t>Other accrued liabilities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5,838</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6,094</w:t>
            </w:r>
          </w:p>
        </w:tc>
      </w:tr>
      <w:tr>
        <w:trPr>
          <w:trHeight w:val="229"/>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operating lease obligations</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13,681</w:t>
            </w:r>
          </w:p>
        </w:tc>
      </w:tr>
      <w:tr>
        <w:trPr>
          <w:trHeight w:val="223"/>
        </w:trPr>
        <w:tc>
          <w:tcPr>
            <w:tcW w:w="7600" w:type="dxa"/>
            <w:vAlign w:val="bottom"/>
          </w:tcPr>
          <w:p>
            <w:pPr>
              <w:ind w:left="780"/>
              <w:spacing w:after="0"/>
              <w:rPr>
                <w:sz w:val="20"/>
                <w:szCs w:val="20"/>
                <w:color w:val="auto"/>
              </w:rPr>
            </w:pPr>
            <w:r>
              <w:rPr>
                <w:rFonts w:ascii="Arial" w:cs="Arial" w:eastAsia="Arial" w:hAnsi="Arial"/>
                <w:sz w:val="18"/>
                <w:szCs w:val="18"/>
                <w:color w:val="auto"/>
              </w:rPr>
              <w:t>Total lease liabilities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17,130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19,775</w:t>
            </w:r>
          </w:p>
        </w:tc>
      </w:tr>
      <w:tr>
        <w:trPr>
          <w:trHeight w:val="20"/>
        </w:trPr>
        <w:tc>
          <w:tcPr>
            <w:tcW w:w="7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lease expense, including variable and short-term lease costs which were insignificant to the total, operating lease cash flows and supplemental cash flow information were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4"/>
          </w:tcPr>
          <w:p>
            <w:pPr>
              <w:jc w:val="right"/>
              <w:ind w:right="793"/>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2020</w:t>
            </w: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r>
      <w:tr>
        <w:trPr>
          <w:trHeight w:val="230"/>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w:t>
            </w:r>
          </w:p>
        </w:tc>
      </w:tr>
      <w:tr>
        <w:trPr>
          <w:trHeight w:val="248"/>
        </w:trPr>
        <w:tc>
          <w:tcPr>
            <w:tcW w:w="7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lease expense</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1,388</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7480" w:type="dxa"/>
            <w:vAlign w:val="bottom"/>
          </w:tcPr>
          <w:p>
            <w:pPr>
              <w:ind w:left="20"/>
              <w:spacing w:after="0" w:line="203" w:lineRule="exact"/>
              <w:rPr>
                <w:sz w:val="20"/>
                <w:szCs w:val="20"/>
                <w:color w:val="auto"/>
              </w:rPr>
            </w:pPr>
            <w:r>
              <w:rPr>
                <w:rFonts w:ascii="Arial" w:cs="Arial" w:eastAsia="Arial" w:hAnsi="Arial"/>
                <w:sz w:val="18"/>
                <w:szCs w:val="18"/>
                <w:color w:val="auto"/>
              </w:rPr>
              <w:t>Operating cash outflows from operating leases</w:t>
            </w:r>
          </w:p>
        </w:tc>
        <w:tc>
          <w:tcPr>
            <w:tcW w:w="44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1,798</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50"/>
              <w:spacing w:after="0" w:line="203" w:lineRule="exact"/>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1,525</w:t>
            </w: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89"/>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 obtained in exchange for lease obligations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r>
      <w:tr>
        <w:trPr>
          <w:trHeight w:val="203"/>
        </w:trPr>
        <w:tc>
          <w:tcPr>
            <w:tcW w:w="748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18"/>
                <w:szCs w:val="18"/>
                <w:color w:val="auto"/>
              </w:rPr>
              <w:t xml:space="preserve">Non-cash release of operating lease obligations </w:t>
            </w:r>
            <w:r>
              <w:rPr>
                <w:rFonts w:ascii="Arial" w:cs="Arial" w:eastAsia="Arial" w:hAnsi="Arial"/>
                <w:sz w:val="9"/>
                <w:szCs w:val="9"/>
                <w:b w:val="1"/>
                <w:bCs w:val="1"/>
                <w:color w:val="auto"/>
              </w:rPr>
              <w:t>(1)</w:t>
            </w:r>
          </w:p>
        </w:tc>
        <w:tc>
          <w:tcPr>
            <w:tcW w:w="440" w:type="dxa"/>
            <w:vAlign w:val="bottom"/>
            <w:tcBorders>
              <w:top w:val="single" w:sz="8" w:color="auto"/>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654</w:t>
            </w:r>
          </w:p>
        </w:tc>
        <w:tc>
          <w:tcPr>
            <w:tcW w:w="120" w:type="dxa"/>
            <w:vAlign w:val="bottom"/>
            <w:tcBorders>
              <w:top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jc w:val="right"/>
              <w:ind w:right="250"/>
              <w:spacing w:after="0" w:line="203" w:lineRule="exact"/>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r>
      <w:tr>
        <w:trPr>
          <w:trHeight w:val="20"/>
        </w:trPr>
        <w:tc>
          <w:tcPr>
            <w:tcW w:w="74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660" w:hanging="328"/>
        <w:spacing w:after="0" w:line="227" w:lineRule="auto"/>
        <w:tabs>
          <w:tab w:leader="none" w:pos="648"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During the three months ended March 31, 2021, we were released from our guarantee of the lease obligation related to our Ohio call center which was sold in February 2020.</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remaining lease liability term and the weighted average discount rate were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20" w:type="dxa"/>
            <w:vAlign w:val="bottom"/>
          </w:tcPr>
          <w:p>
            <w:pPr>
              <w:spacing w:after="0"/>
              <w:rPr>
                <w:sz w:val="16"/>
                <w:szCs w:val="16"/>
                <w:color w:val="auto"/>
              </w:rPr>
            </w:pPr>
          </w:p>
        </w:tc>
        <w:tc>
          <w:tcPr>
            <w:tcW w:w="2100" w:type="dxa"/>
            <w:vAlign w:val="bottom"/>
            <w:gridSpan w:val="2"/>
          </w:tcPr>
          <w:p>
            <w:pPr>
              <w:ind w:left="520"/>
              <w:spacing w:after="0"/>
              <w:rPr>
                <w:sz w:val="20"/>
                <w:szCs w:val="20"/>
                <w:color w:val="auto"/>
              </w:rPr>
            </w:pPr>
            <w:r>
              <w:rPr>
                <w:rFonts w:ascii="Arial" w:cs="Arial" w:eastAsia="Arial" w:hAnsi="Arial"/>
                <w:sz w:val="14"/>
                <w:szCs w:val="14"/>
                <w:b w:val="1"/>
                <w:bCs w:val="1"/>
                <w:color w:val="auto"/>
              </w:rPr>
              <w:t>March 31, 2021</w:t>
            </w:r>
          </w:p>
        </w:tc>
        <w:tc>
          <w:tcPr>
            <w:tcW w:w="2020" w:type="dxa"/>
            <w:vAlign w:val="bottom"/>
          </w:tcPr>
          <w:p>
            <w:pPr>
              <w:jc w:val="right"/>
              <w:ind w:right="336"/>
              <w:spacing w:after="0"/>
              <w:rPr>
                <w:sz w:val="20"/>
                <w:szCs w:val="20"/>
                <w:color w:val="auto"/>
              </w:rPr>
            </w:pPr>
            <w:r>
              <w:rPr>
                <w:rFonts w:ascii="Arial" w:cs="Arial" w:eastAsia="Arial" w:hAnsi="Arial"/>
                <w:sz w:val="14"/>
                <w:szCs w:val="14"/>
                <w:b w:val="1"/>
                <w:bCs w:val="1"/>
                <w:color w:val="auto"/>
              </w:rPr>
              <w:t>December 31, 2020</w:t>
            </w:r>
          </w:p>
        </w:tc>
      </w:tr>
      <w:tr>
        <w:trPr>
          <w:trHeight w:val="229"/>
        </w:trPr>
        <w:tc>
          <w:tcPr>
            <w:tcW w:w="7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lease liability term (in years)</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top w:val="single" w:sz="8" w:color="CCEEFF"/>
            </w:tcBorders>
            <w:shd w:val="clear" w:color="auto" w:fill="CCEEFF"/>
          </w:tcPr>
          <w:p>
            <w:pPr>
              <w:spacing w:after="0"/>
              <w:rPr>
                <w:sz w:val="19"/>
                <w:szCs w:val="19"/>
                <w:color w:val="auto"/>
              </w:rPr>
            </w:pP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712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2000" w:type="dxa"/>
            <w:vAlign w:val="bottom"/>
          </w:tcPr>
          <w:p>
            <w:pPr>
              <w:jc w:val="right"/>
              <w:spacing w:after="0"/>
              <w:rPr>
                <w:sz w:val="20"/>
                <w:szCs w:val="20"/>
                <w:color w:val="auto"/>
              </w:rPr>
            </w:pPr>
            <w:r>
              <w:rPr>
                <w:rFonts w:ascii="Arial" w:cs="Arial" w:eastAsia="Arial" w:hAnsi="Arial"/>
                <w:sz w:val="18"/>
                <w:szCs w:val="18"/>
                <w:color w:val="auto"/>
              </w:rPr>
              <w:t>3.72 %</w:t>
            </w:r>
          </w:p>
        </w:tc>
        <w:tc>
          <w:tcPr>
            <w:tcW w:w="100" w:type="dxa"/>
            <w:vAlign w:val="bottom"/>
          </w:tcPr>
          <w:p>
            <w:pPr>
              <w:spacing w:after="0"/>
              <w:rPr>
                <w:sz w:val="20"/>
                <w:szCs w:val="20"/>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3.84 %</w:t>
            </w:r>
          </w:p>
        </w:tc>
      </w:tr>
    </w:tbl>
    <w:p>
      <w:pPr>
        <w:spacing w:after="0" w:line="22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table reconciles the undiscounted cash flows for each of the first five years and thereafter to the operating lease liabilities recognized in our consolidated balance sheet at March 31, 2021. The reconciliation excludes short-term leases that are not recorded on the balance sheet.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March 31, 2021</w:t>
            </w:r>
          </w:p>
        </w:tc>
      </w:tr>
      <w:tr>
        <w:trPr>
          <w:trHeight w:val="229"/>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 (remaining 9 months)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4,786</w:t>
            </w:r>
          </w:p>
        </w:tc>
      </w:tr>
      <w:tr>
        <w:trPr>
          <w:trHeight w:val="230"/>
        </w:trPr>
        <w:tc>
          <w:tcPr>
            <w:tcW w:w="9060" w:type="dxa"/>
            <w:vAlign w:val="bottom"/>
          </w:tcPr>
          <w:p>
            <w:pPr>
              <w:ind w:left="20"/>
              <w:spacing w:after="0"/>
              <w:rPr>
                <w:sz w:val="20"/>
                <w:szCs w:val="20"/>
                <w:color w:val="auto"/>
              </w:rPr>
            </w:pPr>
            <w:r>
              <w:rPr>
                <w:rFonts w:ascii="Arial" w:cs="Arial" w:eastAsia="Arial" w:hAnsi="Arial"/>
                <w:sz w:val="18"/>
                <w:szCs w:val="18"/>
                <w:color w:val="auto"/>
              </w:rPr>
              <w:t>2022</w:t>
            </w:r>
          </w:p>
        </w:tc>
        <w:tc>
          <w:tcPr>
            <w:tcW w:w="3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5,702</w:t>
            </w:r>
          </w:p>
        </w:tc>
      </w:tr>
      <w:tr>
        <w:trPr>
          <w:trHeight w:val="230"/>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3,321</w:t>
            </w:r>
          </w:p>
        </w:tc>
      </w:tr>
      <w:tr>
        <w:trPr>
          <w:trHeight w:val="230"/>
        </w:trPr>
        <w:tc>
          <w:tcPr>
            <w:tcW w:w="9060" w:type="dxa"/>
            <w:vAlign w:val="bottom"/>
          </w:tcPr>
          <w:p>
            <w:pPr>
              <w:ind w:left="20"/>
              <w:spacing w:after="0"/>
              <w:rPr>
                <w:sz w:val="20"/>
                <w:szCs w:val="20"/>
                <w:color w:val="auto"/>
              </w:rPr>
            </w:pPr>
            <w:r>
              <w:rPr>
                <w:rFonts w:ascii="Arial" w:cs="Arial" w:eastAsia="Arial" w:hAnsi="Arial"/>
                <w:sz w:val="18"/>
                <w:szCs w:val="18"/>
                <w:color w:val="auto"/>
              </w:rPr>
              <w:t>2024</w:t>
            </w:r>
          </w:p>
        </w:tc>
        <w:tc>
          <w:tcPr>
            <w:tcW w:w="3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2,010</w:t>
            </w:r>
          </w:p>
        </w:tc>
      </w:tr>
      <w:tr>
        <w:trPr>
          <w:trHeight w:val="229"/>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w:t>
            </w:r>
          </w:p>
        </w:tc>
      </w:tr>
      <w:tr>
        <w:trPr>
          <w:trHeight w:val="230"/>
        </w:trPr>
        <w:tc>
          <w:tcPr>
            <w:tcW w:w="9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3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w:t>
            </w:r>
          </w:p>
        </w:tc>
      </w:tr>
      <w:tr>
        <w:trPr>
          <w:trHeight w:val="223"/>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lease payments</w:t>
            </w:r>
          </w:p>
        </w:tc>
        <w:tc>
          <w:tcPr>
            <w:tcW w:w="3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18,335</w:t>
            </w:r>
          </w:p>
        </w:tc>
      </w:tr>
      <w:tr>
        <w:trPr>
          <w:trHeight w:val="229"/>
        </w:trPr>
        <w:tc>
          <w:tcPr>
            <w:tcW w:w="9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3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w:t>
            </w:r>
          </w:p>
        </w:tc>
      </w:tr>
      <w:tr>
        <w:trPr>
          <w:trHeight w:val="248"/>
        </w:trPr>
        <w:tc>
          <w:tcPr>
            <w:tcW w:w="9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lease liabilities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17,130</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3" w:name="page14"/>
    <w:bookmarkEnd w:id="1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March 31, 2021, we had one operating lease with a four-year term that had not yet commenced. The total initial lease liability, which is immaterial to the balance sheet, is not reflected within the above maturity schedule.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Line of Credit</w:t>
      </w:r>
    </w:p>
    <w:p>
      <w:pPr>
        <w:spacing w:after="0" w:line="2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Second Amended and Restated Credit Agreement ("Second Amended Credit Agreement") with U.S. Bank National Association ("U.S. Bank") provides for a $125.0 million revolving line of credit ("Credit Line") that expires on November 1, 2022. The Credit Line may be used for working capital and other general corporate purposes including acquisitions, share repurchases and capital expenditures. Amounts available for borrowing under the Credit Line are reduced by the balance of any outstanding letters of credit, of which there were $2.7 million at March 31, 2021 and December 31, 2020.</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All obligations under the Credit Line are secured by substantially all of our U.S. personal property and tangible and intangible assets as well as 65% of our ownership interest in Enson Assets Limited, our wholly-owned subsidiary which controls our manufacturing factories in the PRC.</w:t>
      </w:r>
    </w:p>
    <w:p>
      <w:pPr>
        <w:spacing w:after="0" w:line="17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Under the Second Amended Credit Agreement, we may elect to pay interest on the Credit Line based on LIBOR plus an applicable margin (varying from 1.25% to 1.75%) or base rate (based on the prime rate of U.S. Bank or as otherwise specified in the Second Amended Credit Agreement) plus an applicable margin (varying from 0.00% to 0.50%). The applicable margins are calculated quarterly and vary based on our cash flow leverage ratio as set forth in the Second Amended Credit Agreement. The interest rates in effect at March 31, 2021 and December 31, 2020 were 1.37% and 1.39%, respectively. There are no commitment fees or unused line fees under the Second Amended Credit Agreement.</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31, 2021, the process of cessation of LIBOR as a reference rate will begin. LIBOR may continue to be used for new and existing borrowings on the Credit Line through December 31, 2021. After that date, new borrowings will no longer use LIBOR as a reference rate. Instead, these borrowings will be subject to an interest rate based on either the Secured Overnight Financing Rate ("SOFR"), which is deemed a replacement benchmark for LIBOR under the Second Amended Credit Agreement, or an alternate index to be agreed upon. Between December 31, 2021 and June 30, 2023, any legacy borrowings may continue to use LIBOR as the basis for interest rates. After June 30, 2023, however, all borrowings will be based on SOFR or the alternate index.</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Second Amended Credit Agreement includes financial covenants requiring a minimum fixed charge coverage ratio and a maximum cash flow leverage ratio. In addition, the Second Amended Credit Agreement contains other customary affirmative and negative covenants and events of default. At March 31, 2021, we were in compliance with the covenants and conditions of the Second Amended Credit Agreement.</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March 31, 2021 and December 31, 2020, we had $40.0 million and $20.0 million outstanding under the Credit Line, respectively. Our total interest expense on borrowings was $0.1 million and $0.7 million during the three months ended March 31, 2021 and 2020,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Income Taxes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utilize our estimated annual effective tax rate to determine our provision for income taxes for interim periods. The income tax provision is computed by taking the estimated annual effective rate and multiplying it by the year-to-date pre-tax book income.</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recorded income tax expense of $1.5 million and $1.2 million for the three months ended March 31, 2021 and 2020, respectively. The income tax expense for the three months ended March 31, 2021 increased primarily due to an increase in global pre-tax income and the mix of pre-tax income among jurisdictions, including losses not benefited as a result of a valuation allowance.</w:t>
      </w:r>
    </w:p>
    <w:p>
      <w:pPr>
        <w:spacing w:after="0" w:line="2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At December 31, 2020, we assessed the realizability of our deferred tax assets by considering whether it is "more likely than not" some portion or all of the deferred tax assets will not be realized. The ultimate realization of deferred tax assets is dependent upon the generation of future taxable income during the periods in which those temporary differences become deductible. We considered taxable income in carryback years, the scheduled reversal of deferred tax liabilities, tax planning strategies and projected future taxable income in making this assessment. At December 31, 2020, we had a three-year</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cumulative operating loss for our U.S. operations and accordingly, have provided a full valuation allowance on our U.S. federal and state deferred tax assets. During the three months ended March 31, 2021, there was no change to our valuation allowance position.</w:t>
      </w:r>
    </w:p>
    <w:p>
      <w:pPr>
        <w:spacing w:after="0" w:line="19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At March 31, 2021, we had gross unrecognized tax benefits of $3.1 million, including interest and penalties, which, if not for the state Research and Experimentation income tax credit valuation allowance, would affect the annual effective tax rate if these tax benefits are realized. Further, we are unaware of any positions for which it is reasonably possible that the total amounts of unrecognized tax benefits will significantly increase within the next twelve months. Based on federal, state and foreign statute expirations in various jurisdictions, we do not anticipate a decrease in unrecognized tax benefits within the next twelve months. We have classified uncertain tax positions as non-current income tax liabilities unless they are expected to be paid within one year.</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elected to classify interest and penalties as a component of tax expense. Accrued interest and penalties are immaterial at March 31, 2021 and December 31, 2020 and are included in the unrecognized tax benefits.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Accrued Compensation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accrued compensation were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6"/>
                <w:szCs w:val="16"/>
                <w:color w:val="auto"/>
              </w:rPr>
            </w:pPr>
          </w:p>
        </w:tc>
        <w:tc>
          <w:tcPr>
            <w:tcW w:w="162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 2021</w:t>
            </w:r>
          </w:p>
        </w:tc>
        <w:tc>
          <w:tcPr>
            <w:tcW w:w="200" w:type="dxa"/>
            <w:vAlign w:val="bottom"/>
          </w:tcPr>
          <w:p>
            <w:pPr>
              <w:spacing w:after="0"/>
              <w:rPr>
                <w:sz w:val="16"/>
                <w:szCs w:val="16"/>
                <w:color w:val="auto"/>
              </w:rPr>
            </w:pPr>
          </w:p>
        </w:tc>
        <w:tc>
          <w:tcPr>
            <w:tcW w:w="1560" w:type="dxa"/>
            <w:vAlign w:val="bottom"/>
          </w:tcPr>
          <w:p>
            <w:pPr>
              <w:jc w:val="right"/>
              <w:ind w:right="212"/>
              <w:spacing w:after="0"/>
              <w:rPr>
                <w:sz w:val="20"/>
                <w:szCs w:val="20"/>
                <w:color w:val="auto"/>
              </w:rPr>
            </w:pPr>
            <w:r>
              <w:rPr>
                <w:rFonts w:ascii="Arial" w:cs="Arial" w:eastAsia="Arial" w:hAnsi="Arial"/>
                <w:sz w:val="14"/>
                <w:szCs w:val="14"/>
                <w:b w:val="1"/>
                <w:bCs w:val="1"/>
                <w:color w:val="auto"/>
                <w:w w:val="98"/>
              </w:rPr>
              <w:t>December 31, 2020</w:t>
            </w:r>
          </w:p>
        </w:tc>
      </w:tr>
      <w:tr>
        <w:trPr>
          <w:trHeight w:val="229"/>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bonus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7,602</w:t>
            </w: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Accrued commission</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529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1,779</w:t>
            </w: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salary/wages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7,107</w:t>
            </w:r>
          </w:p>
        </w:tc>
      </w:tr>
      <w:tr>
        <w:trPr>
          <w:trHeight w:val="229"/>
        </w:trPr>
        <w:tc>
          <w:tcPr>
            <w:tcW w:w="76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Accrued social insurance </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7,340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7,375</w:t>
            </w: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vacation/holiday</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3,307</w:t>
            </w:r>
          </w:p>
        </w:tc>
      </w:tr>
      <w:tr>
        <w:trPr>
          <w:trHeight w:val="230"/>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accrued compensation</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1,761</w:t>
            </w:r>
          </w:p>
        </w:tc>
      </w:tr>
      <w:tr>
        <w:trPr>
          <w:trHeight w:val="248"/>
        </w:trPr>
        <w:tc>
          <w:tcPr>
            <w:tcW w:w="7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accrued compensation</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28,931</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60" w:hanging="328"/>
        <w:spacing w:after="0" w:line="238" w:lineRule="auto"/>
        <w:tabs>
          <w:tab w:leader="none" w:pos="648"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PRC employers are required by law to remit the applicable social insurance payments to their local government. Social insurance is comprised of various components such as pension, medical insurance, job industry insurance, unemployment insurance, and a housing assistance fund, and is administered in a manner similar to social security in the United States. This amount represents our estimate of the amounts due to the PRC government for social insurance on March 31, 2021 and December 31,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Other Accrued Liabilities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accrued liabilities were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2021</w:t>
            </w:r>
          </w:p>
        </w:tc>
        <w:tc>
          <w:tcPr>
            <w:tcW w:w="160" w:type="dxa"/>
            <w:vAlign w:val="bottom"/>
          </w:tcPr>
          <w:p>
            <w:pPr>
              <w:spacing w:after="0"/>
              <w:rPr>
                <w:sz w:val="16"/>
                <w:szCs w:val="16"/>
                <w:color w:val="auto"/>
              </w:rPr>
            </w:pPr>
          </w:p>
        </w:tc>
        <w:tc>
          <w:tcPr>
            <w:tcW w:w="1480" w:type="dxa"/>
            <w:vAlign w:val="bottom"/>
          </w:tcPr>
          <w:p>
            <w:pPr>
              <w:jc w:val="right"/>
              <w:ind w:right="152"/>
              <w:spacing w:after="0"/>
              <w:rPr>
                <w:sz w:val="20"/>
                <w:szCs w:val="20"/>
                <w:color w:val="auto"/>
              </w:rPr>
            </w:pPr>
            <w:r>
              <w:rPr>
                <w:rFonts w:ascii="Arial" w:cs="Arial" w:eastAsia="Arial" w:hAnsi="Arial"/>
                <w:sz w:val="14"/>
                <w:szCs w:val="14"/>
                <w:b w:val="1"/>
                <w:bCs w:val="1"/>
                <w:color w:val="auto"/>
                <w:w w:val="96"/>
              </w:rPr>
              <w:t>December 31, 2020</w:t>
            </w:r>
          </w:p>
        </w:tc>
      </w:tr>
      <w:tr>
        <w:trPr>
          <w:trHeight w:val="229"/>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Duties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4,469</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Expense associated with fulfilled performance obligations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1,344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1,372</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Freight and handling fees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Operating lease obligations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5,838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6,094</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warranty claims costs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Professional fees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5,769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3,794</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value added taxes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5,118</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Short-term contingent consideration</w:t>
            </w:r>
          </w:p>
        </w:tc>
        <w:tc>
          <w:tcPr>
            <w:tcW w:w="22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1,758</w:t>
            </w:r>
          </w:p>
        </w:tc>
      </w:tr>
      <w:tr>
        <w:trPr>
          <w:trHeight w:val="230"/>
        </w:trPr>
        <w:tc>
          <w:tcPr>
            <w:tcW w:w="78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(1)</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6,513</w:t>
            </w:r>
          </w:p>
        </w:tc>
      </w:tr>
      <w:tr>
        <w:trPr>
          <w:trHeight w:val="223"/>
        </w:trPr>
        <w:tc>
          <w:tcPr>
            <w:tcW w:w="7840" w:type="dxa"/>
            <w:vAlign w:val="bottom"/>
          </w:tcPr>
          <w:p>
            <w:pPr>
              <w:ind w:left="360"/>
              <w:spacing w:after="0"/>
              <w:rPr>
                <w:sz w:val="20"/>
                <w:szCs w:val="20"/>
                <w:color w:val="auto"/>
              </w:rPr>
            </w:pPr>
            <w:r>
              <w:rPr>
                <w:rFonts w:ascii="Arial" w:cs="Arial" w:eastAsia="Arial" w:hAnsi="Arial"/>
                <w:sz w:val="18"/>
                <w:szCs w:val="18"/>
                <w:color w:val="auto"/>
              </w:rPr>
              <w:t>Total other accrued liabilities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33,725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33,057</w:t>
            </w:r>
          </w:p>
        </w:tc>
      </w:tr>
      <w:tr>
        <w:trPr>
          <w:trHeight w:val="20"/>
        </w:trPr>
        <w:tc>
          <w:tcPr>
            <w:tcW w:w="7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ind w:left="640" w:hanging="308"/>
        <w:spacing w:after="0"/>
        <w:tabs>
          <w:tab w:leader="none" w:pos="640"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Includes $0.5 million and $0.3 million of contract liabilities at March 31, 2021 and December 31, 2020, respectively.</w:t>
      </w: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330" w:lineRule="exact"/>
        <w:rPr>
          <w:rFonts w:ascii="Arial" w:cs="Arial" w:eastAsia="Arial" w:hAnsi="Arial"/>
          <w:sz w:val="23"/>
          <w:szCs w:val="23"/>
          <w:color w:val="auto"/>
          <w:vertAlign w:val="superscript"/>
        </w:rPr>
      </w:pPr>
    </w:p>
    <w:p>
      <w:pPr>
        <w:ind w:left="5540"/>
        <w:spacing w:after="0"/>
        <w:rPr>
          <w:rFonts w:ascii="Arial" w:cs="Arial" w:eastAsia="Arial" w:hAnsi="Arial"/>
          <w:sz w:val="23"/>
          <w:szCs w:val="23"/>
          <w:color w:val="auto"/>
          <w:vertAlign w:val="superscript"/>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Warranties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liability for product warranty claims costs were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4"/>
                <w:szCs w:val="14"/>
                <w:b w:val="1"/>
                <w:bCs w:val="1"/>
                <w:color w:val="auto"/>
              </w:rPr>
              <w:t>Three Months Ended March 31,</w:t>
            </w:r>
          </w:p>
        </w:tc>
      </w:tr>
      <w:tr>
        <w:trPr>
          <w:trHeight w:val="240"/>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4"/>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2020</w:t>
            </w:r>
          </w:p>
        </w:tc>
      </w:tr>
      <w:tr>
        <w:trPr>
          <w:trHeight w:val="226"/>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Accruals for warranties issued during the period</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Settlements (in cash or in kind) during the period</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currency translation gain (loss)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48"/>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Roku Matters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2018 Lawsuit</w:t>
      </w:r>
    </w:p>
    <w:p>
      <w:pPr>
        <w:spacing w:after="0" w:line="5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September 5, 2018, we filed a lawsuit against Roku, Inc. ("Roku") in the United States District Court, Central District of California, alleging that Roku is willfully infringing nine of our patents that are in four patent families related to remote control set-up and touchscreen remotes. On December 5, 2018, we amended our complaint to add additional details supporting our infringement and willfulness allegations. We have alleged that this complaint relates to multiple Roku streaming players and components therefor and certain universal control devices, including but not limited to the Roku App, Roku TV, Roku Express, Roku Streaming Stick, Roku Ultra, Roku Premiere, Roku 4, Roku 3, Roku 2, Roku Enhanced Remote and any other Roku product that provides for the remote control of an external device such as a TV, audiovisual receiver, sound bar or Roku TV Wireless Speakers. In October 2019, the Court stayed this lawsuit pending action by the Patent Trial and Appeals Board (the "PTAB") with respect to Roku's Inter Partes Review requests (see discussion below).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International Trade Commission Investigation of Roku, TCL, Hisense and Funai</w:t>
      </w:r>
    </w:p>
    <w:p>
      <w:pPr>
        <w:spacing w:after="0" w:line="3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April 16, 2020, we filed a complaint with the International Trade Commission (the "ITC") against Roku, TCL Electronics Holding Limited and related entities (collectively, "TCL"), Hisense Co., Ltd. and related entities (collectively, "Hisense"), and Funai Electric Company, Ltd. and related entities (collectively, "Funai") claiming that certain of their televisions, set-top boxes, remote control devices, human interface devices, streaming devices, and sound bars infringe certain of our patents. We asked the ITC to issue a permanent limited exclusion order prohibiting the importation of these infringing products into the United States and a cease and desist order to stop these parties from continuing their infringing activities. On May 18, 2020, the ITC announced that it instituted its investigation as requested by us. The trial ended on April 23, 2021. The parties will each submit post-trial briefing in May and the initial determination from the Administrative Law Judge is expected in early July 2021.</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2020 Lawsuit</w:t>
      </w:r>
    </w:p>
    <w:p>
      <w:pPr>
        <w:spacing w:after="0" w:line="5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a companion case to our ITC complaint, on April 9, 2020, we filed separate actions against each of Roku, TCL, Hisense, and Funai in the United States District Court, Central District of California, alleging that Roku is willfully infringing five of our patents and TCL, Hisense, and Funai are willfully infringing six of our patents by incorporating our patented technology into certain of their televisions, set-top boxes, remote control devices, human interface devices, streaming devices, and sound bars. These matters had been stayed pending the results of the ITC investigation mentioned above.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 Partes Reviews</w:t>
      </w:r>
    </w:p>
    <w:p>
      <w:pPr>
        <w:spacing w:after="0" w:line="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Throughout these litigation matters against Roku and the others identified above, Roku has filed multiple Inter Partes Review ("IPR") requests with the PTAB on all patents at issue in the 2018 Lawsuit, the ITC Action, and the 2020 Lawsuit (see discussion above). To date, the PTAB has denied Roku's request seven times, granted Roku's request four times and we are awaiting the PTAB's institution decision with respect to the remaining nine IPR requests. Of the four IPR requests granted by the PTAB, the results were mixed, with the PTAB validating many of our patent claims and invalidating others. We will appeal any PTAB decision that resulted in an invalidation of our patent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International Trade Commission Investigation Request Made by Roku against UEI and certain UEI Customers</w:t>
      </w:r>
    </w:p>
    <w:p>
      <w:pPr>
        <w:spacing w:after="0" w:line="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8, 2021, Roku made a request to the ITC to initiate an investigation against us and certain of our customers claiming that certain of our and those customers’ remote control devices and televisions infringe two of Roku’s recently acquired patents. The ITC has not yet decided to initiate the requested investigation, but if it does we will vigorously defend against them. As a companion to its ITC request, Roku also filed a lawsuit against us in Federal District court in the Central District of California alleging that we are infringing the same patents they alleged being infringed in the ITC request explained above. We will vigorously defend these allegations as well.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Court of International Trade Action against the United States of America, et. al.</w:t>
      </w:r>
    </w:p>
    <w:p>
      <w:pPr>
        <w:spacing w:after="0" w:line="2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9, 2020, we and our subsidiaries, Ecolink Intelligent Technology, Inc. ("Ecolink") and RCS Technology, LLC ("RCS"), filed an amended complaint (20-cv-00670) in the Court of International Trade (the "CIT") against the United States of America; the Office of the United States Trade Representative; Robert E. Lighthizer, U.S. Trade Representative; U.S. Customs &amp; Border Protection; and Mark A. Morgan, U.S. Customs &amp; Border Protection Acting Commissioner, challenging both the substantive and procedural processes followed by the United States Trade Representative ("USTR") when instituting Section 301 Tariffs on imports from China under Lists 3 and 4A.</w:t>
      </w:r>
    </w:p>
    <w:p>
      <w:pPr>
        <w:spacing w:after="0" w:line="21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Pursuant to this complaint, we, Ecolink and RCS are alleging that USTR's institution of Lists 3 and 4A tariffs violated the Trade Act of 1974 (the "Trade Act") on the grounds that the USTR failed to make a determination or finding that there was an unfair trade practice that required a remedy and moreover, that Lists 3 and 4A tariffs were instituted beyond the 12-month time limit provided for in the governing statute. We, Ecolink and RCS also allege that the manner in which the Lists 3 and 4A tariff actions were implemented violated the Administrative Procedures Act (the "APA") by failing to provide adequate opportunity for comments, failed to consider relevant factors when making its decision and failed to connect the record facts to the choices it made by not explaining how the comments received by USTR came to shape the final implementation of Lists 3 and 4A.</w:t>
      </w:r>
    </w:p>
    <w:p>
      <w:pPr>
        <w:spacing w:after="0" w:line="20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Ecolink and RCS are asking the CIT to declare that the defendants' actions resulting in the tariffs on products covered by Lists 3 and 4A are unauthorized by and contrary to the Trade Act and were arbitrarily and unlawfully promulgated in violation of the APA; to vacate the Lists 3 and 4A tariffs; to order a refund (with interest) of any Lists 3 and 4A duties paid by us, Ecolink and RCS; to permanently enjoin the U.S. government from applying Lists 3 and 4A duties against us, Ecolink and RCS; and award us, Ecolink and RCS our costs and reasonable attorney's fees.</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defendants have requested an automatic stay of all pending cases challenging the Lists 3 and 4A tariffs except for one or more "test cases." It proposed the first-filed case—the case filed by HMTX—as the test case. The government also asked the court to appoint a "steering committee" consisting of several lead counsel for the plaintiffs to direct the litigation. The government proposed a bifurcated briefing schedule, under which the parties would first brief the government's upcoming motion to dismiss before briefing the merits of plaintiffs' claims. We will agree to a stay in our case. HMTX has filed a response agreeing to the stay and to being the test case but opposed the defendants' proposed briefing schedule.</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On February 10, 2021, the CIT's three-judge panel issued an order establishing a master case for filings that relate to some or all of the Section 301 cases.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order also established a deadline of March 12, 2021 for the government to file a "master answer" to all the complaints.</w:t>
      </w:r>
    </w:p>
    <w:p>
      <w:pPr>
        <w:spacing w:after="0" w:line="2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March 31, 2021, the CIT issued an order stating that it would proceed with the HMTX case as the sample case and staying all other Section 301 cases. The CIT directed the HMTX plaintiffs and the government to file a proposed briefing schedule and joint status report on the issue of refunds. After the parties did so, the CIT adopted a briefing schedule that requires briefing to be completed by November 15, 2021. The CIT also scheduled a status conference for April 26, 2021 to discuss the issue of availability of refunds. In advance of that status conference, the HMTX plaintiffs filed a motion seeking a preliminary injunction seeking to enjoin the further liquidation of entries pending the outcome of the case. It is our hope that this issue will be resolved at the status conference with the court ruling to either (1) declare that such refunds will be available if plaintiffs prevail or (2) enjoin the further liquidation of entries pending the outcome of the case.</w:t>
      </w:r>
    </w:p>
    <w:p>
      <w:pPr>
        <w:spacing w:after="0" w:line="2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are no other material pending legal proceedings to which we or any of our subsidiaries is a party or of which our respective property is the subject. However, as is typical in our industry and to the nature and kind of business in which we are engaged, from time to time, various claims, charges and litigation are asserted or commenced by third parties against us or by us against third parties arising from or related to product liability, infringement of patent or other intellectual property rights,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breach of warranty, contractual relations, or employee relations. The amounts claimed may be substantial, but may not bear any reasonable relationship to the merits of the claims or the extent of any real risk of court awards assessed against us or in our favor. However, no assurances can be made as to the outcome of any of these matters, nor can we estimate the range of potential losses to us. In our opinion, final judgments, if any, which might be rendered against us in potential or pending litigation would not have a material adverse effect on our consolidated financial condition, results of operations, or cash flows. Moreover, we believe that our products do not infringe any third parties' patents or other intellectual property rights.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maintain directors' and officers' liability insurance which insures our individual directors and officers against certain claims, as well as attorney's fees and related expenses incurred in connection with the defense of such claims.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Treasury Stock</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From time to time, our Board of Directors authorizes management to repurchase shares of our issued and outstanding common stock. On February 11, 2021, our Board approved a new share repurchase program with an effective date of February 23, 2021 (the "February 2021 Program"). Pursuant to the February 2021 Program, we may, from time to time until May 6, 2021, repurchase up to 300,000 shares of our common stock. On April 28, 2021, our Board approved a new share repurchase program with an effective date of May 11, 2021 (the "May 2021 Program"). Pursuant to the May 2021 Program, we may, from time to time until August 5, 2021, repurchase up to 300,000 shares of our common stock. We may utilize various methods to effect the repurchases, which may include open market repurchases, negotiated block transactions, accelerated share repurchases or open market solicitations for shares, some of which may be effected through Rule 10b5-1 plans. The timing and amount of future repurchases, if any, will depend upon several factors, including market and business conditions, and such repurchases may be discontinued at any time.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Repurchased shares of our common stock were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636"/>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2020</w:t>
            </w:r>
          </w:p>
        </w:tc>
      </w:tr>
      <w:tr>
        <w:trPr>
          <w:trHeight w:val="224"/>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repurchased</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Cost of shares repurchased</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10,951</w:t>
            </w:r>
          </w:p>
        </w:tc>
        <w:tc>
          <w:tcPr>
            <w:tcW w:w="12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6,291</w:t>
            </w:r>
          </w:p>
        </w:tc>
      </w:tr>
    </w:tbl>
    <w:p>
      <w:pPr>
        <w:spacing w:after="0" w:line="22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Repurchased shares are recorded as shares held in treasury at cost. We hold these shares for future use as management and the Board of Directors deem appropriate.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Stock-Based Compensation</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Stock-based compensation expense for each employee and director is presented in the same statement of operations caption as their cash compensation.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by statement of operations caption and the related income tax benefit were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4"/>
          </w:tcPr>
          <w:p>
            <w:pPr>
              <w:jc w:val="right"/>
              <w:ind w:right="793"/>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2020</w:t>
            </w:r>
          </w:p>
        </w:tc>
      </w:tr>
      <w:tr>
        <w:trPr>
          <w:trHeight w:val="224"/>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Research and development expenses</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236</w:t>
            </w:r>
          </w:p>
        </w:tc>
      </w:tr>
      <w:tr>
        <w:trPr>
          <w:trHeight w:val="23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7480" w:type="dxa"/>
            <w:vAlign w:val="bottom"/>
          </w:tcPr>
          <w:p>
            <w:pPr>
              <w:ind w:left="360"/>
              <w:spacing w:after="0"/>
              <w:rPr>
                <w:sz w:val="20"/>
                <w:szCs w:val="20"/>
                <w:color w:val="auto"/>
              </w:rPr>
            </w:pPr>
            <w:r>
              <w:rPr>
                <w:rFonts w:ascii="Arial" w:cs="Arial" w:eastAsia="Arial" w:hAnsi="Arial"/>
                <w:sz w:val="18"/>
                <w:szCs w:val="18"/>
                <w:color w:val="auto"/>
              </w:rPr>
              <w:t>Employees</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1,868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1,583</w:t>
            </w:r>
          </w:p>
        </w:tc>
      </w:tr>
      <w:tr>
        <w:trPr>
          <w:trHeight w:val="230"/>
        </w:trPr>
        <w:tc>
          <w:tcPr>
            <w:tcW w:w="7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Outside directors</w:t>
            </w: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w:t>
            </w:r>
          </w:p>
        </w:tc>
      </w:tr>
      <w:tr>
        <w:trPr>
          <w:trHeight w:val="223"/>
        </w:trPr>
        <w:tc>
          <w:tcPr>
            <w:tcW w:w="7480" w:type="dxa"/>
            <w:vAlign w:val="bottom"/>
          </w:tcPr>
          <w:p>
            <w:pPr>
              <w:ind w:left="20"/>
              <w:spacing w:after="0"/>
              <w:rPr>
                <w:sz w:val="20"/>
                <w:szCs w:val="20"/>
                <w:color w:val="auto"/>
              </w:rPr>
            </w:pPr>
            <w:r>
              <w:rPr>
                <w:rFonts w:ascii="Arial" w:cs="Arial" w:eastAsia="Arial" w:hAnsi="Arial"/>
                <w:sz w:val="18"/>
                <w:szCs w:val="18"/>
                <w:color w:val="auto"/>
              </w:rPr>
              <w:t>Total employee and director stock-based compensation expense</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2,600</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2,303</w:t>
            </w: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24"/>
        </w:trPr>
        <w:tc>
          <w:tcPr>
            <w:tcW w:w="74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466</w:t>
            </w:r>
          </w:p>
        </w:tc>
        <w:tc>
          <w:tcPr>
            <w:tcW w:w="12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506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was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Weighted-Average</w:t>
            </w:r>
          </w:p>
        </w:tc>
        <w:tc>
          <w:tcPr>
            <w:tcW w:w="13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35"/>
        </w:trPr>
        <w:tc>
          <w:tcPr>
            <w:tcW w:w="5380" w:type="dxa"/>
            <w:vAlign w:val="bottom"/>
          </w:tcPr>
          <w:p>
            <w:pPr>
              <w:spacing w:after="0"/>
              <w:rPr>
                <w:sz w:val="11"/>
                <w:szCs w:val="11"/>
                <w:color w:val="auto"/>
              </w:rPr>
            </w:pPr>
          </w:p>
        </w:tc>
        <w:tc>
          <w:tcPr>
            <w:tcW w:w="138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w w:val="99"/>
              </w:rPr>
              <w:t>Number of Options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Weighted-Average</w:t>
            </w:r>
          </w:p>
        </w:tc>
        <w:tc>
          <w:tcPr>
            <w:tcW w:w="14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Remaining</w:t>
            </w:r>
          </w:p>
        </w:tc>
        <w:tc>
          <w:tcPr>
            <w:tcW w:w="13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3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4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6"/>
              </w:rPr>
              <w:t>Contractual Term</w:t>
            </w:r>
          </w:p>
        </w:tc>
        <w:tc>
          <w:tcPr>
            <w:tcW w:w="180" w:type="dxa"/>
            <w:vAlign w:val="bottom"/>
          </w:tcPr>
          <w:p>
            <w:pPr>
              <w:spacing w:after="0"/>
              <w:rPr>
                <w:sz w:val="11"/>
                <w:szCs w:val="11"/>
                <w:color w:val="auto"/>
              </w:rPr>
            </w:pPr>
          </w:p>
        </w:tc>
        <w:tc>
          <w:tcPr>
            <w:tcW w:w="1200" w:type="dxa"/>
            <w:vAlign w:val="bottom"/>
          </w:tcPr>
          <w:p>
            <w:pPr>
              <w:jc w:val="center"/>
              <w:ind w:right="96"/>
              <w:spacing w:after="0" w:line="135"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88"/>
        </w:trPr>
        <w:tc>
          <w:tcPr>
            <w:tcW w:w="5380" w:type="dxa"/>
            <w:vAlign w:val="bottom"/>
          </w:tcPr>
          <w:p>
            <w:pPr>
              <w:spacing w:after="0"/>
              <w:rPr>
                <w:sz w:val="16"/>
                <w:szCs w:val="16"/>
                <w:color w:val="auto"/>
              </w:rPr>
            </w:pPr>
          </w:p>
        </w:tc>
        <w:tc>
          <w:tcPr>
            <w:tcW w:w="1380" w:type="dxa"/>
            <w:vAlign w:val="bottom"/>
          </w:tcPr>
          <w:p>
            <w:pPr>
              <w:jc w:val="right"/>
              <w:ind w:right="174"/>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Exercise Price</w:t>
            </w:r>
          </w:p>
        </w:tc>
        <w:tc>
          <w:tcPr>
            <w:tcW w:w="14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(in years)</w:t>
            </w:r>
          </w:p>
        </w:tc>
        <w:tc>
          <w:tcPr>
            <w:tcW w:w="180" w:type="dxa"/>
            <w:vAlign w:val="bottom"/>
          </w:tcPr>
          <w:p>
            <w:pPr>
              <w:spacing w:after="0"/>
              <w:rPr>
                <w:sz w:val="16"/>
                <w:szCs w:val="16"/>
                <w:color w:val="auto"/>
              </w:rPr>
            </w:pPr>
          </w:p>
        </w:tc>
        <w:tc>
          <w:tcPr>
            <w:tcW w:w="1200" w:type="dxa"/>
            <w:vAlign w:val="bottom"/>
          </w:tcPr>
          <w:p>
            <w:pPr>
              <w:jc w:val="center"/>
              <w:ind w:right="116"/>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24"/>
        </w:trPr>
        <w:tc>
          <w:tcPr>
            <w:tcW w:w="5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2020</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43.01</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Pr>
          <w:p>
            <w:pPr>
              <w:ind w:left="2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59.43</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44.39</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30"/>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Forfeited/canceled/expired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38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Outstanding at March 31, 2021 </w:t>
            </w:r>
            <w:r>
              <w:rPr>
                <w:rFonts w:ascii="Arial" w:cs="Arial" w:eastAsia="Arial" w:hAnsi="Arial"/>
                <w:sz w:val="23"/>
                <w:szCs w:val="23"/>
                <w:color w:val="auto"/>
                <w:vertAlign w:val="superscript"/>
              </w:rPr>
              <w:t>(1)</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44.56</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10,513</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20"/>
              <w:spacing w:after="0" w:line="243" w:lineRule="exact"/>
              <w:rPr>
                <w:sz w:val="20"/>
                <w:szCs w:val="20"/>
                <w:color w:val="auto"/>
              </w:rPr>
            </w:pPr>
            <w:r>
              <w:rPr>
                <w:rFonts w:ascii="Arial" w:cs="Arial" w:eastAsia="Arial" w:hAnsi="Arial"/>
                <w:sz w:val="18"/>
                <w:szCs w:val="18"/>
                <w:color w:val="auto"/>
              </w:rPr>
              <w:t xml:space="preserve">Vested and expected to vest at March 31, 2021 </w:t>
            </w:r>
            <w:r>
              <w:rPr>
                <w:rFonts w:ascii="Arial" w:cs="Arial" w:eastAsia="Arial" w:hAnsi="Arial"/>
                <w:sz w:val="23"/>
                <w:szCs w:val="23"/>
                <w:color w:val="auto"/>
                <w:vertAlign w:val="superscript"/>
              </w:rPr>
              <w:t>(1)</w:t>
            </w: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44.56</w:t>
            </w: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3.78</w:t>
            </w: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10,513</w:t>
            </w:r>
          </w:p>
        </w:tc>
        <w:tc>
          <w:tcPr>
            <w:tcW w:w="0" w:type="dxa"/>
            <w:vAlign w:val="bottom"/>
          </w:tcPr>
          <w:p>
            <w:pPr>
              <w:spacing w:after="0" w:line="20" w:lineRule="exact"/>
              <w:rPr>
                <w:sz w:val="1"/>
                <w:szCs w:val="1"/>
                <w:color w:val="auto"/>
              </w:rPr>
            </w:pPr>
          </w:p>
        </w:tc>
      </w:tr>
      <w:tr>
        <w:trPr>
          <w:trHeight w:val="203"/>
        </w:trPr>
        <w:tc>
          <w:tcPr>
            <w:tcW w:w="5380" w:type="dxa"/>
            <w:vAlign w:val="bottom"/>
            <w:vMerge w:val="continue"/>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Arial" w:cs="Arial" w:eastAsia="Arial" w:hAnsi="Arial"/>
                <w:sz w:val="18"/>
                <w:szCs w:val="18"/>
                <w:color w:val="auto"/>
              </w:rPr>
              <w:t>832</w:t>
            </w:r>
          </w:p>
        </w:tc>
        <w:tc>
          <w:tcPr>
            <w:tcW w:w="220" w:type="dxa"/>
            <w:vAlign w:val="bottom"/>
            <w:gridSpan w:val="2"/>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Exercisable at March 31, 2021 </w:t>
            </w:r>
            <w:r>
              <w:rPr>
                <w:rFonts w:ascii="Arial" w:cs="Arial" w:eastAsia="Arial" w:hAnsi="Arial"/>
                <w:sz w:val="23"/>
                <w:szCs w:val="23"/>
                <w:color w:val="auto"/>
                <w:vertAlign w:val="superscript"/>
              </w:rPr>
              <w:t>(1)</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43.68</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8,444</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660" w:hanging="328"/>
        <w:spacing w:after="0" w:line="249" w:lineRule="auto"/>
        <w:tabs>
          <w:tab w:leader="none" w:pos="648" w:val="left"/>
        </w:tabs>
        <w:numPr>
          <w:ilvl w:val="0"/>
          <w:numId w:val="8"/>
        </w:numPr>
        <w:rPr>
          <w:rFonts w:ascii="Arial" w:cs="Arial" w:eastAsia="Arial" w:hAnsi="Arial"/>
          <w:sz w:val="22"/>
          <w:szCs w:val="22"/>
          <w:color w:val="auto"/>
          <w:vertAlign w:val="superscript"/>
        </w:rPr>
      </w:pPr>
      <w:r>
        <w:rPr>
          <w:rFonts w:ascii="Arial" w:cs="Arial" w:eastAsia="Arial" w:hAnsi="Arial"/>
          <w:sz w:val="17"/>
          <w:szCs w:val="17"/>
          <w:color w:val="auto"/>
        </w:rPr>
        <w:t>The aggregate intrinsic value represents the total pre-tax value (the difference between our closing stock price on the last trading day of the first quarter of 2021 and the exercise price, multiplied by the number of in-the-money options) that would have been received by the option holders had they all exercised their options on March 31, 2021. This amount will change based on the fair market value of our stock.</w:t>
      </w:r>
    </w:p>
    <w:p>
      <w:pPr>
        <w:spacing w:after="0" w:line="22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assumptions we utilized in the Black-Scholes option pricing model and the resulting weighted average fair value of stock option grants were the following:</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80" w:type="dxa"/>
            <w:vAlign w:val="bottom"/>
          </w:tcPr>
          <w:p>
            <w:pPr>
              <w:spacing w:after="0"/>
              <w:rPr>
                <w:sz w:val="16"/>
                <w:szCs w:val="16"/>
                <w:color w:val="auto"/>
              </w:rPr>
            </w:pPr>
          </w:p>
        </w:tc>
        <w:tc>
          <w:tcPr>
            <w:tcW w:w="324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4"/>
                <w:szCs w:val="14"/>
                <w:b w:val="1"/>
                <w:bCs w:val="1"/>
                <w:color w:val="auto"/>
              </w:rPr>
              <w:t>Three Months Ended March 31,</w:t>
            </w:r>
          </w:p>
        </w:tc>
        <w:tc>
          <w:tcPr>
            <w:tcW w:w="720" w:type="dxa"/>
            <w:vAlign w:val="bottom"/>
            <w:tcBorders>
              <w:bottom w:val="single" w:sz="8" w:color="auto"/>
            </w:tcBorders>
          </w:tcPr>
          <w:p>
            <w:pPr>
              <w:spacing w:after="0"/>
              <w:rPr>
                <w:sz w:val="16"/>
                <w:szCs w:val="16"/>
                <w:color w:val="auto"/>
              </w:rPr>
            </w:pPr>
          </w:p>
        </w:tc>
      </w:tr>
      <w:tr>
        <w:trPr>
          <w:trHeight w:val="187"/>
        </w:trPr>
        <w:tc>
          <w:tcPr>
            <w:tcW w:w="728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2020</w:t>
            </w:r>
          </w:p>
        </w:tc>
        <w:tc>
          <w:tcPr>
            <w:tcW w:w="720" w:type="dxa"/>
            <w:vAlign w:val="bottom"/>
            <w:tcBorders>
              <w:bottom w:val="single" w:sz="8" w:color="auto"/>
            </w:tcBorders>
          </w:tcPr>
          <w:p>
            <w:pPr>
              <w:spacing w:after="0"/>
              <w:rPr>
                <w:sz w:val="16"/>
                <w:szCs w:val="16"/>
                <w:color w:val="auto"/>
              </w:rPr>
            </w:pPr>
          </w:p>
        </w:tc>
      </w:tr>
      <w:tr>
        <w:trPr>
          <w:trHeight w:val="224"/>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fair value of grants</w:t>
            </w:r>
          </w:p>
        </w:tc>
        <w:tc>
          <w:tcPr>
            <w:tcW w:w="1200" w:type="dxa"/>
            <w:vAlign w:val="bottom"/>
            <w:shd w:val="clear" w:color="auto" w:fill="CCEEFF"/>
          </w:tcPr>
          <w:p>
            <w:pPr>
              <w:jc w:val="right"/>
              <w:ind w:right="102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23.97</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19"/>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17.70</w:t>
            </w: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0.41 %</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1.44 %</w:t>
            </w: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48.49 %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43.95 %</w:t>
            </w: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Expected life in years</w:t>
            </w:r>
          </w:p>
        </w:tc>
        <w:tc>
          <w:tcPr>
            <w:tcW w:w="1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4.59</w:t>
            </w:r>
          </w:p>
        </w:tc>
      </w:tr>
    </w:tbl>
    <w:p>
      <w:pPr>
        <w:spacing w:after="0" w:line="22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March 31, 2021, we expect to recognize $3.7 million of total unrecognized pre-tax stock-based compensation expense related to non-vested stock options over a remaining weighted-average life of 2.2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Non-vested restricted stock award activity was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tcPr>
          <w:p>
            <w:pPr>
              <w:spacing w:after="0"/>
              <w:rPr>
                <w:sz w:val="14"/>
                <w:szCs w:val="14"/>
                <w:color w:val="auto"/>
              </w:rPr>
            </w:pPr>
          </w:p>
        </w:tc>
        <w:tc>
          <w:tcPr>
            <w:tcW w:w="1400" w:type="dxa"/>
            <w:vAlign w:val="bottom"/>
          </w:tcPr>
          <w:p>
            <w:pPr>
              <w:jc w:val="right"/>
              <w:ind w:right="179"/>
              <w:spacing w:after="0"/>
              <w:rPr>
                <w:sz w:val="20"/>
                <w:szCs w:val="20"/>
                <w:color w:val="auto"/>
              </w:rPr>
            </w:pPr>
            <w:r>
              <w:rPr>
                <w:rFonts w:ascii="Arial" w:cs="Arial" w:eastAsia="Arial" w:hAnsi="Arial"/>
                <w:sz w:val="14"/>
                <w:szCs w:val="14"/>
                <w:b w:val="1"/>
                <w:bCs w:val="1"/>
                <w:color w:val="auto"/>
              </w:rPr>
              <w:t>Shares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tcPr>
          <w:p>
            <w:pPr>
              <w:jc w:val="right"/>
              <w:ind w:right="295"/>
              <w:spacing w:after="0"/>
              <w:rPr>
                <w:sz w:val="20"/>
                <w:szCs w:val="20"/>
                <w:color w:val="auto"/>
              </w:rPr>
            </w:pPr>
            <w:r>
              <w:rPr>
                <w:rFonts w:ascii="Arial" w:cs="Arial" w:eastAsia="Arial" w:hAnsi="Arial"/>
                <w:sz w:val="14"/>
                <w:szCs w:val="14"/>
                <w:b w:val="1"/>
                <w:bCs w:val="1"/>
                <w:color w:val="auto"/>
              </w:rPr>
              <w:t>Weighted-Average</w:t>
            </w:r>
          </w:p>
        </w:tc>
      </w:tr>
      <w:tr>
        <w:trPr>
          <w:trHeight w:val="188"/>
        </w:trPr>
        <w:tc>
          <w:tcPr>
            <w:tcW w:w="738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Grant Date Fair Value</w:t>
            </w:r>
          </w:p>
        </w:tc>
      </w:tr>
      <w:tr>
        <w:trPr>
          <w:trHeight w:val="224"/>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at December 31, 2020</w:t>
            </w:r>
          </w:p>
        </w:tc>
        <w:tc>
          <w:tcPr>
            <w:tcW w:w="1400" w:type="dxa"/>
            <w:vAlign w:val="bottom"/>
            <w:shd w:val="clear" w:color="auto" w:fill="CCEEFF"/>
          </w:tcPr>
          <w:p>
            <w:pPr>
              <w:jc w:val="right"/>
              <w:ind w:right="1219"/>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34.53</w:t>
            </w:r>
          </w:p>
        </w:tc>
      </w:tr>
      <w:tr>
        <w:trPr>
          <w:trHeight w:val="230"/>
        </w:trPr>
        <w:tc>
          <w:tcPr>
            <w:tcW w:w="7380" w:type="dxa"/>
            <w:vAlign w:val="bottom"/>
          </w:tcPr>
          <w:p>
            <w:pPr>
              <w:ind w:left="20"/>
              <w:spacing w:after="0"/>
              <w:rPr>
                <w:sz w:val="20"/>
                <w:szCs w:val="20"/>
                <w:color w:val="auto"/>
              </w:rPr>
            </w:pPr>
            <w:r>
              <w:rPr>
                <w:rFonts w:ascii="Arial" w:cs="Arial" w:eastAsia="Arial" w:hAnsi="Arial"/>
                <w:sz w:val="18"/>
                <w:szCs w:val="18"/>
                <w:color w:val="auto"/>
              </w:rPr>
              <w:t>Granted</w:t>
            </w:r>
          </w:p>
        </w:tc>
        <w:tc>
          <w:tcPr>
            <w:tcW w:w="14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59.67</w:t>
            </w:r>
          </w:p>
        </w:tc>
      </w:tr>
      <w:tr>
        <w:trPr>
          <w:trHeight w:val="230"/>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4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34.90</w:t>
            </w:r>
          </w:p>
        </w:tc>
      </w:tr>
      <w:tr>
        <w:trPr>
          <w:trHeight w:val="229"/>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4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7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31.83</w:t>
            </w:r>
          </w:p>
        </w:tc>
      </w:tr>
      <w:tr>
        <w:trPr>
          <w:trHeight w:val="248"/>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March 31, 2021</w:t>
            </w:r>
          </w:p>
        </w:tc>
        <w:tc>
          <w:tcPr>
            <w:tcW w:w="1400" w:type="dxa"/>
            <w:vAlign w:val="bottom"/>
            <w:tcBorders>
              <w:bottom w:val="single" w:sz="8" w:color="auto"/>
            </w:tcBorders>
            <w:shd w:val="clear" w:color="auto" w:fill="CCEEFF"/>
          </w:tcPr>
          <w:p>
            <w:pPr>
              <w:jc w:val="right"/>
              <w:ind w:right="1219"/>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43.13</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2021, we expect to recognize $13.0 million of total unrecognized pre-tax stock-based compensation expense related to non-vested restricted stock awards over a weighted-average life of 2.2 years.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Performance-Based Common Stock Warrants</w:t>
      </w:r>
    </w:p>
    <w:p>
      <w:pPr>
        <w:spacing w:after="0" w:line="2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March 9, 2016, we issued common stock purchase warrants to Comcast Corporation ("Comcast") to purchase up to 725,000 shares of our common stock at a price of $54.55 per share. The right to exercise the warrants is subject to vesting over three successive two-year periods (with the first two-year period commencing on January 1, 2016) based on the level of purchases of goods and services from us by Comcast and its affiliates, as defined in the warrants. The table below presents the purchase levels and potential number of warrants to vest in each period based upon achieving the purchase levels.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Aggregate Level of Purchases by Comcast and Affiliates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color w:val="auto"/>
        </w:rPr>
        <w:t>$260 million</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8"/>
          <w:szCs w:val="18"/>
          <w:color w:val="auto"/>
        </w:rPr>
        <w:t>$300 million</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$340 million</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Maximum Potential Warrants Earned by Comcast</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1760"/>
        <w:spacing w:after="0"/>
        <w:rPr>
          <w:sz w:val="20"/>
          <w:szCs w:val="20"/>
          <w:color w:val="auto"/>
        </w:rPr>
      </w:pPr>
      <w:r>
        <w:rPr>
          <w:rFonts w:ascii="Arial" w:cs="Arial" w:eastAsia="Arial" w:hAnsi="Arial"/>
          <w:sz w:val="14"/>
          <w:szCs w:val="14"/>
          <w:b w:val="1"/>
          <w:bCs w:val="1"/>
          <w:color w:val="auto"/>
        </w:rPr>
        <w:t>Potential Warrants To Vest</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1760" w:type="dxa"/>
            <w:vAlign w:val="bottom"/>
            <w:tcBorders>
              <w:top w:val="single" w:sz="8" w:color="auto"/>
            </w:tcBorders>
            <w:gridSpan w:val="2"/>
          </w:tcPr>
          <w:p>
            <w:pPr>
              <w:jc w:val="center"/>
              <w:ind w:right="100"/>
              <w:spacing w:after="0" w:line="141" w:lineRule="exact"/>
              <w:rPr>
                <w:sz w:val="20"/>
                <w:szCs w:val="20"/>
                <w:color w:val="auto"/>
              </w:rPr>
            </w:pPr>
            <w:r>
              <w:rPr>
                <w:rFonts w:ascii="Arial" w:cs="Arial" w:eastAsia="Arial" w:hAnsi="Arial"/>
                <w:sz w:val="14"/>
                <w:szCs w:val="14"/>
                <w:b w:val="1"/>
                <w:bCs w:val="1"/>
                <w:color w:val="auto"/>
                <w:w w:val="93"/>
              </w:rPr>
              <w:t>January 1, 2016 -</w:t>
            </w:r>
          </w:p>
        </w:tc>
        <w:tc>
          <w:tcPr>
            <w:tcW w:w="1760" w:type="dxa"/>
            <w:vAlign w:val="bottom"/>
            <w:tcBorders>
              <w:top w:val="single" w:sz="8" w:color="auto"/>
            </w:tcBorders>
            <w:gridSpan w:val="2"/>
          </w:tcPr>
          <w:p>
            <w:pPr>
              <w:jc w:val="center"/>
              <w:ind w:right="100"/>
              <w:spacing w:after="0" w:line="141" w:lineRule="exact"/>
              <w:rPr>
                <w:sz w:val="20"/>
                <w:szCs w:val="20"/>
                <w:color w:val="auto"/>
              </w:rPr>
            </w:pPr>
            <w:r>
              <w:rPr>
                <w:rFonts w:ascii="Arial" w:cs="Arial" w:eastAsia="Arial" w:hAnsi="Arial"/>
                <w:sz w:val="14"/>
                <w:szCs w:val="14"/>
                <w:b w:val="1"/>
                <w:bCs w:val="1"/>
                <w:color w:val="auto"/>
                <w:w w:val="93"/>
              </w:rPr>
              <w:t>January 1, 2018 -</w:t>
            </w:r>
          </w:p>
        </w:tc>
        <w:tc>
          <w:tcPr>
            <w:tcW w:w="1640" w:type="dxa"/>
            <w:vAlign w:val="bottom"/>
            <w:tcBorders>
              <w:top w:val="single" w:sz="8" w:color="auto"/>
            </w:tcBorders>
          </w:tcPr>
          <w:p>
            <w:pPr>
              <w:jc w:val="right"/>
              <w:ind w:right="196"/>
              <w:spacing w:after="0" w:line="141" w:lineRule="exact"/>
              <w:rPr>
                <w:sz w:val="20"/>
                <w:szCs w:val="20"/>
                <w:color w:val="auto"/>
              </w:rPr>
            </w:pPr>
            <w:r>
              <w:rPr>
                <w:rFonts w:ascii="Arial" w:cs="Arial" w:eastAsia="Arial" w:hAnsi="Arial"/>
                <w:sz w:val="14"/>
                <w:szCs w:val="14"/>
                <w:b w:val="1"/>
                <w:bCs w:val="1"/>
                <w:color w:val="auto"/>
              </w:rPr>
              <w:t>January 1, 2020 -</w:t>
            </w:r>
          </w:p>
        </w:tc>
      </w:tr>
      <w:tr>
        <w:trPr>
          <w:trHeight w:val="188"/>
        </w:trPr>
        <w:tc>
          <w:tcPr>
            <w:tcW w:w="1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December 31, 2017</w:t>
            </w:r>
          </w:p>
        </w:tc>
        <w:tc>
          <w:tcPr>
            <w:tcW w:w="1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December 31, 2019</w:t>
            </w:r>
          </w:p>
        </w:tc>
        <w:tc>
          <w:tcPr>
            <w:tcW w:w="1640" w:type="dxa"/>
            <w:vAlign w:val="bottom"/>
          </w:tcPr>
          <w:p>
            <w:pPr>
              <w:jc w:val="right"/>
              <w:ind w:right="156"/>
              <w:spacing w:after="0"/>
              <w:rPr>
                <w:sz w:val="20"/>
                <w:szCs w:val="20"/>
                <w:color w:val="auto"/>
              </w:rPr>
            </w:pPr>
            <w:r>
              <w:rPr>
                <w:rFonts w:ascii="Arial" w:cs="Arial" w:eastAsia="Arial" w:hAnsi="Arial"/>
                <w:sz w:val="14"/>
                <w:szCs w:val="14"/>
                <w:b w:val="1"/>
                <w:bCs w:val="1"/>
                <w:color w:val="auto"/>
              </w:rPr>
              <w:t>December 31, 2021</w:t>
            </w:r>
          </w:p>
        </w:tc>
      </w:tr>
      <w:tr>
        <w:trPr>
          <w:trHeight w:val="224"/>
        </w:trPr>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19"/>
                <w:szCs w:val="19"/>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19"/>
                <w:szCs w:val="19"/>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75,000</w:t>
            </w:r>
          </w:p>
        </w:tc>
      </w:tr>
      <w:tr>
        <w:trPr>
          <w:trHeight w:val="229"/>
        </w:trPr>
        <w:tc>
          <w:tcPr>
            <w:tcW w:w="1660" w:type="dxa"/>
            <w:vAlign w:val="bottom"/>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75,000</w:t>
            </w:r>
          </w:p>
        </w:tc>
      </w:tr>
      <w:tr>
        <w:trPr>
          <w:trHeight w:val="230"/>
        </w:trPr>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75,000</w:t>
            </w:r>
          </w:p>
        </w:tc>
      </w:tr>
      <w:tr>
        <w:trPr>
          <w:trHeight w:val="223"/>
        </w:trPr>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225,000</w:t>
            </w:r>
          </w:p>
        </w:tc>
      </w:tr>
      <w:tr>
        <w:trPr>
          <w:trHeight w:val="21"/>
        </w:trPr>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-3833495</wp:posOffset>
            </wp:positionH>
            <wp:positionV relativeFrom="paragraph">
              <wp:posOffset>-633730</wp:posOffset>
            </wp:positionV>
            <wp:extent cx="7115175"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-3833495</wp:posOffset>
            </wp:positionH>
            <wp:positionV relativeFrom="paragraph">
              <wp:posOffset>-334010</wp:posOffset>
            </wp:positionV>
            <wp:extent cx="7115175"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40" w:space="720"/>
            <w:col w:w="5180"/>
          </w:cols>
          <w:pgMar w:left="320" w:top="118" w:right="339" w:bottom="1440" w:gutter="0" w:footer="0" w:header="0"/>
          <w:type w:val="continuous"/>
        </w:sectPr>
      </w:pPr>
    </w:p>
    <w:p>
      <w:pPr>
        <w:spacing w:after="0" w:line="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total aggregate purchases by Comcast and its affiliates are below $260 million in any of the two-year periods above, no warrants will vest related to that two-year period. If total aggregate purchases of goods and services by Comcast and its affiliates exceed $340 million during either the first or second two-year period, the amount of any such excess would count toward aggregate purchases in the following two-year period. This threshold was not met in either the first or second two-year period. For the two-year period ended December 31, 2017, Comcast earned and vested in 175,000 out of the maximum potential 250,000 warrants. For the two-year period ended December 31, 2019, Comcast earned and vested in 100,000 out of the maximum potential 250,000 warrants. At March 31, 2021, 275,000 vested warrants were outstanding. To fully vest in the rights to purchase all of the remaining unearned 225,000 underlying shares, Comcast and its affiliates must purchase an aggregate of $340 million in goods and services from us during the period January 1, 2020 through December 31, 2021.</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warrants that vest will expire on January 1, 2023. The warrants provide for certain adjustments that may be made to the exercise price and the number of shares issuable upon exercise due to customary anti-dilution provisions. Additionally, in connection with the common stock purchase warrants, we have also entered into a registration rights agreement with Comcast under which Comcast may from time to time request that we register the shares of common stock underlying vested warrants with the SEC.</w:t>
      </w:r>
    </w:p>
    <w:p>
      <w:pPr>
        <w:spacing w:after="0" w:line="21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the warrants contain performance criteria under which Comcast must achieve specified aggregate purchase levels for the warrants to vest, as detailed above, the measurement date for the warrants for the first two-year successive periods was the date on which the warrants vested.</w:t>
      </w:r>
    </w:p>
    <w:p>
      <w:pPr>
        <w:spacing w:after="0" w:line="17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FASB issued guidance in November 2019 that clarifies the accounting for share-based payments issued as sales incentives to customers. The guidance requires that stock-based compensation expense be recorded as a reduction in the transaction price on the basis of the grant-date fair value. The transition provisions require that equity-classified awards be measured at the adoption date fair value if the measurement date has not been established prior to the adoption date. The measurement periods for the first two successive two-year periods of our outstanding performance-based common stock warrants were completed prior to adoption and were not impacted by this updated guidance. The measurement period for the final two-year period began on January 1, 2020, and, accordingly, we measured the fair value of the award as of our adoption date on January 1, 2020 using the Black-Scholes option pricing model. Through March 31, 2021, none of the warrants had vested for the two-year period beginning January 1, 2020.</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assumptions we utilized in the Black-Scholes option pricing model and the resulting grant-date fair value of the warrants as of January 1, 2020 were the following:</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w:t>
            </w:r>
          </w:p>
        </w:tc>
        <w:tc>
          <w:tcPr>
            <w:tcW w:w="54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17.19</w:t>
            </w: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Price of Universal Electronics Inc. common stock</w:t>
            </w:r>
          </w:p>
        </w:tc>
        <w:tc>
          <w:tcPr>
            <w:tcW w:w="54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52.21</w:t>
            </w: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54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1.62 %</w:t>
            </w: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54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48.86 %</w:t>
            </w: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life in years</w:t>
            </w:r>
          </w:p>
        </w:tc>
        <w:tc>
          <w:tcPr>
            <w:tcW w:w="54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810"/>
        </w:trPr>
        <w:tc>
          <w:tcPr>
            <w:tcW w:w="4580" w:type="dxa"/>
            <w:vAlign w:val="bottom"/>
          </w:tcPr>
          <w:p>
            <w:pPr>
              <w:spacing w:after="0"/>
              <w:rPr>
                <w:sz w:val="24"/>
                <w:szCs w:val="24"/>
                <w:color w:val="auto"/>
              </w:rPr>
            </w:pPr>
          </w:p>
        </w:tc>
        <w:tc>
          <w:tcPr>
            <w:tcW w:w="5440" w:type="dxa"/>
            <w:vAlign w:val="bottom"/>
          </w:tcPr>
          <w:p>
            <w:pPr>
              <w:jc w:val="right"/>
              <w:ind w:right="4210"/>
              <w:spacing w:after="0"/>
              <w:rPr>
                <w:sz w:val="20"/>
                <w:szCs w:val="20"/>
                <w:color w:val="auto"/>
              </w:rPr>
            </w:pPr>
            <w:r>
              <w:rPr>
                <w:rFonts w:ascii="Arial" w:cs="Arial" w:eastAsia="Arial" w:hAnsi="Arial"/>
                <w:sz w:val="18"/>
                <w:szCs w:val="18"/>
                <w:color w:val="auto"/>
              </w:rPr>
              <w:t>20</w:t>
            </w:r>
          </w:p>
        </w:tc>
        <w:tc>
          <w:tcPr>
            <w:tcW w:w="1220" w:type="dxa"/>
            <w:vAlign w:val="bottom"/>
          </w:tcPr>
          <w:p>
            <w:pPr>
              <w:spacing w:after="0"/>
              <w:rPr>
                <w:sz w:val="24"/>
                <w:szCs w:val="24"/>
                <w:color w:val="auto"/>
              </w:rPr>
            </w:pPr>
          </w:p>
        </w:tc>
      </w:tr>
      <w:tr>
        <w:trPr>
          <w:trHeight w:val="115"/>
        </w:trPr>
        <w:tc>
          <w:tcPr>
            <w:tcW w:w="4580" w:type="dxa"/>
            <w:vAlign w:val="bottom"/>
            <w:tcBorders>
              <w:bottom w:val="single" w:sz="8" w:color="9A9A9A"/>
            </w:tcBorders>
          </w:tcPr>
          <w:p>
            <w:pPr>
              <w:spacing w:after="0"/>
              <w:rPr>
                <w:sz w:val="10"/>
                <w:szCs w:val="10"/>
                <w:color w:val="auto"/>
              </w:rPr>
            </w:pPr>
          </w:p>
        </w:tc>
        <w:tc>
          <w:tcPr>
            <w:tcW w:w="54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0" w:name="page21"/>
    <w:bookmarkEnd w:id="2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impact to net sales recorded in connection with the warrants and the related income tax benefit were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4"/>
          </w:tcPr>
          <w:p>
            <w:pPr>
              <w:jc w:val="right"/>
              <w:ind w:right="796"/>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2020</w:t>
            </w:r>
          </w:p>
        </w:tc>
      </w:tr>
      <w:tr>
        <w:trPr>
          <w:trHeight w:val="224"/>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Reduction to net sales</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46</w:t>
            </w:r>
          </w:p>
        </w:tc>
      </w:tr>
    </w:tbl>
    <w:p>
      <w:pPr>
        <w:spacing w:after="0" w:line="22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estimate the number of warrants that will vest based on projected future purchases that will be made by Comcast and its affiliates. These estimates may increase or decrease based on actual future purchases. The aggregate estimated fair value of the warrants is recognized as a reduction to revenue over the related two-year vesting period. At March 31, 2021, the aggregate unrecognized estimated fair value of warrants we estimate will vest was $0.5 million.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Other Income (Expense), Net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consisted of the following:</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4"/>
          </w:tcPr>
          <w:p>
            <w:pPr>
              <w:jc w:val="right"/>
              <w:ind w:right="794"/>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2020</w:t>
            </w:r>
          </w:p>
        </w:tc>
      </w:tr>
      <w:tr>
        <w:trPr>
          <w:trHeight w:val="251"/>
        </w:trPr>
        <w:tc>
          <w:tcPr>
            <w:tcW w:w="7480" w:type="dxa"/>
            <w:vAlign w:val="bottom"/>
            <w:shd w:val="clear" w:color="auto" w:fill="CCEEFF"/>
          </w:tcPr>
          <w:p>
            <w:pPr>
              <w:ind w:left="20"/>
              <w:spacing w:after="0" w:line="252" w:lineRule="exact"/>
              <w:rPr>
                <w:sz w:val="20"/>
                <w:szCs w:val="20"/>
                <w:color w:val="auto"/>
              </w:rPr>
            </w:pPr>
            <w:r>
              <w:rPr>
                <w:rFonts w:ascii="Arial" w:cs="Arial" w:eastAsia="Arial" w:hAnsi="Arial"/>
                <w:sz w:val="18"/>
                <w:szCs w:val="18"/>
                <w:color w:val="auto"/>
              </w:rPr>
              <w:t xml:space="preserve">Net gain (loss) on foreign currency exchange contracts </w:t>
            </w:r>
            <w:r>
              <w:rPr>
                <w:rFonts w:ascii="Arial" w:cs="Arial" w:eastAsia="Arial" w:hAnsi="Arial"/>
                <w:sz w:val="23"/>
                <w:szCs w:val="23"/>
                <w:color w:val="auto"/>
                <w:vertAlign w:val="superscript"/>
              </w:rPr>
              <w:t>(1)</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Net gain (loss) on foreign currency exchange transactions</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(1,270)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(548)</w:t>
            </w: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23"/>
        </w:trPr>
        <w:tc>
          <w:tcPr>
            <w:tcW w:w="748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w:t>
            </w:r>
          </w:p>
        </w:tc>
      </w:tr>
      <w:tr>
        <w:trPr>
          <w:trHeight w:val="20"/>
        </w:trPr>
        <w:tc>
          <w:tcPr>
            <w:tcW w:w="74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ind w:left="640" w:hanging="308"/>
        <w:spacing w:after="0"/>
        <w:tabs>
          <w:tab w:leader="none" w:pos="640"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This represents the gains (losses) incurred on foreign currency hedging derivatives (see Note 18 for further details).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Earnings Per Share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was calculated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4"/>
          </w:tcPr>
          <w:p>
            <w:pPr>
              <w:jc w:val="right"/>
              <w:ind w:right="792"/>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8"/>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per-share amounts)</w:t>
            </w: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w:t>
            </w:r>
          </w:p>
        </w:tc>
        <w:tc>
          <w:tcPr>
            <w:tcW w:w="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6,993</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5,846</w:t>
            </w:r>
          </w:p>
        </w:tc>
        <w:tc>
          <w:tcPr>
            <w:tcW w:w="0" w:type="dxa"/>
            <w:vAlign w:val="bottom"/>
          </w:tcPr>
          <w:p>
            <w:pPr>
              <w:spacing w:after="0"/>
              <w:rPr>
                <w:sz w:val="1"/>
                <w:szCs w:val="1"/>
                <w:color w:val="auto"/>
              </w:rPr>
            </w:pP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13,803</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13,960</w:t>
            </w:r>
          </w:p>
        </w:tc>
        <w:tc>
          <w:tcPr>
            <w:tcW w:w="0" w:type="dxa"/>
            <w:vAlign w:val="bottom"/>
          </w:tcPr>
          <w:p>
            <w:pPr>
              <w:spacing w:after="0"/>
              <w:rPr>
                <w:sz w:val="1"/>
                <w:szCs w:val="1"/>
                <w:color w:val="auto"/>
              </w:rPr>
            </w:pPr>
          </w:p>
        </w:tc>
      </w:tr>
      <w:tr>
        <w:trPr>
          <w:trHeight w:val="223"/>
        </w:trPr>
        <w:tc>
          <w:tcPr>
            <w:tcW w:w="7480" w:type="dxa"/>
            <w:vAlign w:val="bottom"/>
          </w:tcPr>
          <w:p>
            <w:pPr>
              <w:ind w:left="20"/>
              <w:spacing w:after="0"/>
              <w:rPr>
                <w:sz w:val="20"/>
                <w:szCs w:val="20"/>
                <w:color w:val="auto"/>
              </w:rPr>
            </w:pPr>
            <w:r>
              <w:rPr>
                <w:rFonts w:ascii="Arial" w:cs="Arial" w:eastAsia="Arial" w:hAnsi="Arial"/>
                <w:sz w:val="18"/>
                <w:szCs w:val="18"/>
                <w:color w:val="auto"/>
              </w:rPr>
              <w:t>Basic earnings per share</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0.51</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4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b w:val="1"/>
                <w:bCs w:val="1"/>
                <w:color w:val="auto"/>
              </w:rPr>
              <w:t>DILUTED</w:t>
            </w: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5,846</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Weighted-average common shares outstanding for basic</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48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Arial" w:cs="Arial" w:eastAsia="Arial" w:hAnsi="Arial"/>
                <w:sz w:val="18"/>
                <w:szCs w:val="18"/>
                <w:color w:val="auto"/>
              </w:rPr>
              <w:t>13,803</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Arial" w:cs="Arial" w:eastAsia="Arial" w:hAnsi="Arial"/>
                <w:sz w:val="18"/>
                <w:szCs w:val="18"/>
                <w:color w:val="auto"/>
              </w:rPr>
              <w:t>13,960</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Dilutive effect of stock options, restricted stock and common stock warrants</w:t>
            </w: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23"/>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Weighted-average common shares outstanding on a diluted basis</w:t>
            </w: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14,199</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14,211</w:t>
            </w:r>
          </w:p>
        </w:tc>
        <w:tc>
          <w:tcPr>
            <w:tcW w:w="0" w:type="dxa"/>
            <w:vAlign w:val="bottom"/>
          </w:tcPr>
          <w:p>
            <w:pPr>
              <w:spacing w:after="0"/>
              <w:rPr>
                <w:sz w:val="1"/>
                <w:szCs w:val="1"/>
                <w:color w:val="auto"/>
              </w:rPr>
            </w:pPr>
          </w:p>
        </w:tc>
      </w:tr>
      <w:tr>
        <w:trPr>
          <w:trHeight w:val="248"/>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number of stock options, shares of restricted stock and common stock warrants were excluded from the computation of diluted earnings per common share as their inclusion would have been anti-dilutive:</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80" w:type="dxa"/>
            <w:vAlign w:val="bottom"/>
          </w:tcPr>
          <w:p>
            <w:pPr>
              <w:spacing w:after="0"/>
              <w:rPr>
                <w:sz w:val="16"/>
                <w:szCs w:val="16"/>
                <w:color w:val="auto"/>
              </w:rPr>
            </w:pPr>
          </w:p>
        </w:tc>
        <w:tc>
          <w:tcPr>
            <w:tcW w:w="3760" w:type="dxa"/>
            <w:vAlign w:val="bottom"/>
            <w:tcBorders>
              <w:bottom w:val="single" w:sz="8" w:color="auto"/>
            </w:tcBorders>
            <w:gridSpan w:val="3"/>
          </w:tcPr>
          <w:p>
            <w:pPr>
              <w:jc w:val="right"/>
              <w:ind w:right="795"/>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82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2020</w:t>
            </w:r>
          </w:p>
        </w:tc>
      </w:tr>
      <w:tr>
        <w:trPr>
          <w:trHeight w:val="224"/>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r>
      <w:tr>
        <w:trPr>
          <w:trHeight w:val="229"/>
        </w:trPr>
        <w:tc>
          <w:tcPr>
            <w:tcW w:w="7480" w:type="dxa"/>
            <w:vAlign w:val="bottom"/>
          </w:tcPr>
          <w:p>
            <w:pPr>
              <w:ind w:left="20"/>
              <w:spacing w:after="0"/>
              <w:rPr>
                <w:sz w:val="20"/>
                <w:szCs w:val="20"/>
                <w:color w:val="auto"/>
              </w:rPr>
            </w:pPr>
            <w:r>
              <w:rPr>
                <w:rFonts w:ascii="Arial" w:cs="Arial" w:eastAsia="Arial" w:hAnsi="Arial"/>
                <w:sz w:val="18"/>
                <w:szCs w:val="18"/>
                <w:color w:val="auto"/>
              </w:rPr>
              <w:t>Restricted stock awards</w:t>
            </w:r>
          </w:p>
        </w:tc>
        <w:tc>
          <w:tcPr>
            <w:tcW w:w="182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warrants</w:t>
            </w:r>
          </w:p>
        </w:tc>
        <w:tc>
          <w:tcPr>
            <w:tcW w:w="1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1" w:name="page22"/>
    <w:bookmarkEnd w:id="2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Derivatives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total net fair value of derivatives:</w:t>
      </w:r>
    </w:p>
    <w:p>
      <w:pPr>
        <w:spacing w:after="0" w:line="9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4"/>
                <w:szCs w:val="14"/>
                <w:b w:val="1"/>
                <w:bCs w:val="1"/>
                <w:color w:val="auto"/>
              </w:rPr>
              <w:t>March 31, 2021</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7"/>
          </w:tcPr>
          <w:p>
            <w:pPr>
              <w:jc w:val="right"/>
              <w:ind w:right="279"/>
              <w:spacing w:after="0"/>
              <w:rPr>
                <w:sz w:val="20"/>
                <w:szCs w:val="20"/>
                <w:color w:val="auto"/>
              </w:rPr>
            </w:pPr>
            <w:r>
              <w:rPr>
                <w:rFonts w:ascii="Arial" w:cs="Arial" w:eastAsia="Arial" w:hAnsi="Arial"/>
                <w:sz w:val="14"/>
                <w:szCs w:val="14"/>
                <w:b w:val="1"/>
                <w:bCs w:val="1"/>
                <w:color w:val="auto"/>
              </w:rPr>
              <w:t>Fair Value Measurement Using</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14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7"/>
          </w:tcPr>
          <w:p>
            <w:pPr>
              <w:ind w:left="300"/>
              <w:spacing w:after="0"/>
              <w:rPr>
                <w:sz w:val="20"/>
                <w:szCs w:val="20"/>
                <w:color w:val="auto"/>
              </w:rPr>
            </w:pPr>
            <w:r>
              <w:rPr>
                <w:rFonts w:ascii="Arial" w:cs="Arial" w:eastAsia="Arial" w:hAnsi="Arial"/>
                <w:sz w:val="14"/>
                <w:szCs w:val="14"/>
                <w:b w:val="1"/>
                <w:bCs w:val="1"/>
                <w:color w:val="auto"/>
              </w:rPr>
              <w:t>Fair Value Measurement Using</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vMerge w:val="restart"/>
          </w:tcPr>
          <w:p>
            <w:pPr>
              <w:jc w:val="center"/>
              <w:ind w:right="62"/>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54"/>
        </w:trPr>
        <w:tc>
          <w:tcPr>
            <w:tcW w:w="3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4"/>
                <w:szCs w:val="4"/>
                <w:color w:val="auto"/>
              </w:rPr>
            </w:pPr>
          </w:p>
        </w:tc>
        <w:tc>
          <w:tcPr>
            <w:tcW w:w="900" w:type="dxa"/>
            <w:vAlign w:val="bottom"/>
            <w:gridSpan w:val="3"/>
            <w:vMerge w:val="restart"/>
          </w:tcPr>
          <w:p>
            <w:pPr>
              <w:jc w:val="right"/>
              <w:ind w:right="350"/>
              <w:spacing w:after="0"/>
              <w:rPr>
                <w:sz w:val="20"/>
                <w:szCs w:val="20"/>
                <w:color w:val="auto"/>
              </w:rPr>
            </w:pPr>
            <w:r>
              <w:rPr>
                <w:rFonts w:ascii="Arial" w:cs="Arial" w:eastAsia="Arial" w:hAnsi="Arial"/>
                <w:sz w:val="14"/>
                <w:szCs w:val="14"/>
                <w:b w:val="1"/>
                <w:bCs w:val="1"/>
                <w:color w:val="auto"/>
                <w:w w:val="92"/>
              </w:rPr>
              <w:t>Level 1</w:t>
            </w: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4"/>
                <w:szCs w:val="4"/>
                <w:color w:val="auto"/>
              </w:rPr>
            </w:pPr>
          </w:p>
        </w:tc>
        <w:tc>
          <w:tcPr>
            <w:tcW w:w="66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w w:val="96"/>
              </w:rPr>
              <w:t>Level 3</w:t>
            </w: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gridSpan w:val="3"/>
            <w:vMerge w:val="restart"/>
          </w:tcPr>
          <w:p>
            <w:pPr>
              <w:jc w:val="right"/>
              <w:ind w:right="370"/>
              <w:spacing w:after="0"/>
              <w:rPr>
                <w:sz w:val="20"/>
                <w:szCs w:val="20"/>
                <w:color w:val="auto"/>
              </w:rPr>
            </w:pPr>
            <w:r>
              <w:rPr>
                <w:rFonts w:ascii="Arial" w:cs="Arial" w:eastAsia="Arial" w:hAnsi="Arial"/>
                <w:sz w:val="14"/>
                <w:szCs w:val="14"/>
                <w:b w:val="1"/>
                <w:bCs w:val="1"/>
                <w:color w:val="auto"/>
              </w:rPr>
              <w:t>Level 1</w:t>
            </w: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4"/>
                <w:szCs w:val="4"/>
                <w:color w:val="auto"/>
              </w:rPr>
            </w:pPr>
          </w:p>
        </w:tc>
        <w:tc>
          <w:tcPr>
            <w:tcW w:w="7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37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Balance</w:t>
            </w:r>
          </w:p>
        </w:tc>
        <w:tc>
          <w:tcPr>
            <w:tcW w:w="140" w:type="dxa"/>
            <w:vAlign w:val="bottom"/>
          </w:tcPr>
          <w:p>
            <w:pPr>
              <w:spacing w:after="0"/>
              <w:rPr>
                <w:sz w:val="16"/>
                <w:szCs w:val="16"/>
                <w:color w:val="auto"/>
              </w:rPr>
            </w:pPr>
          </w:p>
        </w:tc>
        <w:tc>
          <w:tcPr>
            <w:tcW w:w="960" w:type="dxa"/>
            <w:vAlign w:val="bottom"/>
            <w:gridSpan w:val="3"/>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center"/>
              <w:ind w:right="62"/>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224"/>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exchange contracts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113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held foreign currency exchange contracts, which resulted in a net pre-tax gain of $1.2 million and a net pre-tax gain of $0.3 million for the three months ended March 31, 2021 and 2020,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Details of foreign currency exchange contracts held were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Unrealized</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Gain/(Loss)</w:t>
            </w: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w w:val="99"/>
              </w:rPr>
              <w:t>Recorded at Balance</w:t>
            </w: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4"/>
              </w:rPr>
              <w:t>Notional Value</w:t>
            </w: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9"/>
              </w:rPr>
              <w:t>Sheet</w:t>
            </w: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8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rPr>
              <w:t>Date Held</w:t>
            </w:r>
          </w:p>
        </w:tc>
        <w:tc>
          <w:tcPr>
            <w:tcW w:w="2480" w:type="dxa"/>
            <w:vAlign w:val="bottom"/>
            <w:gridSpan w:val="2"/>
            <w:vMerge w:val="restart"/>
          </w:tcPr>
          <w:p>
            <w:pPr>
              <w:ind w:left="900"/>
              <w:spacing w:after="0"/>
              <w:rPr>
                <w:sz w:val="20"/>
                <w:szCs w:val="20"/>
                <w:color w:val="auto"/>
              </w:rPr>
            </w:pPr>
            <w:r>
              <w:rPr>
                <w:rFonts w:ascii="Arial" w:cs="Arial" w:eastAsia="Arial" w:hAnsi="Arial"/>
                <w:sz w:val="14"/>
                <w:szCs w:val="14"/>
                <w:b w:val="1"/>
                <w:bCs w:val="1"/>
                <w:color w:val="auto"/>
              </w:rPr>
              <w:t>Currency</w:t>
            </w: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Position Held</w:t>
            </w:r>
          </w:p>
        </w:tc>
        <w:tc>
          <w:tcPr>
            <w:tcW w:w="1220" w:type="dxa"/>
            <w:vAlign w:val="bottom"/>
            <w:gridSpan w:val="3"/>
            <w:vMerge w:val="continue"/>
          </w:tcPr>
          <w:p>
            <w:pPr>
              <w:spacing w:after="0"/>
              <w:rPr>
                <w:sz w:val="11"/>
                <w:szCs w:val="11"/>
                <w:color w:val="auto"/>
              </w:rPr>
            </w:pPr>
          </w:p>
        </w:tc>
        <w:tc>
          <w:tcPr>
            <w:tcW w:w="13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Forward Rate</w:t>
            </w:r>
          </w:p>
        </w:tc>
        <w:tc>
          <w:tcPr>
            <w:tcW w:w="14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2"/>
              </w:rPr>
              <w:t>Date</w:t>
            </w: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Settlement Date</w:t>
            </w:r>
          </w:p>
        </w:tc>
        <w:tc>
          <w:tcPr>
            <w:tcW w:w="0" w:type="dxa"/>
            <w:vAlign w:val="bottom"/>
          </w:tcPr>
          <w:p>
            <w:pPr>
              <w:spacing w:after="0"/>
              <w:rPr>
                <w:sz w:val="1"/>
                <w:szCs w:val="1"/>
                <w:color w:val="auto"/>
              </w:rPr>
            </w:pPr>
          </w:p>
        </w:tc>
      </w:tr>
      <w:tr>
        <w:trPr>
          <w:trHeight w:val="189"/>
        </w:trPr>
        <w:tc>
          <w:tcPr>
            <w:tcW w:w="1980" w:type="dxa"/>
            <w:vAlign w:val="bottom"/>
            <w:gridSpan w:val="2"/>
            <w:vMerge w:val="continue"/>
          </w:tcPr>
          <w:p>
            <w:pPr>
              <w:spacing w:after="0"/>
              <w:rPr>
                <w:sz w:val="16"/>
                <w:szCs w:val="16"/>
                <w:color w:val="auto"/>
              </w:rPr>
            </w:pPr>
          </w:p>
        </w:tc>
        <w:tc>
          <w:tcPr>
            <w:tcW w:w="248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 millions)</w:t>
            </w:r>
          </w:p>
        </w:tc>
        <w:tc>
          <w:tcPr>
            <w:tcW w:w="13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60"/>
              <w:spacing w:after="0" w:line="189" w:lineRule="exact"/>
              <w:rPr>
                <w:sz w:val="20"/>
                <w:szCs w:val="20"/>
                <w:color w:val="auto"/>
              </w:rPr>
            </w:pPr>
            <w:r>
              <w:rPr>
                <w:rFonts w:ascii="Arial" w:cs="Arial" w:eastAsia="Arial" w:hAnsi="Arial"/>
                <w:sz w:val="14"/>
                <w:szCs w:val="14"/>
                <w:b w:val="1"/>
                <w:bCs w:val="1"/>
                <w:color w:val="auto"/>
                <w:w w:val="88"/>
              </w:rPr>
              <w:t>(in thousands)</w:t>
            </w:r>
            <w:r>
              <w:rPr>
                <w:rFonts w:ascii="Arial" w:cs="Arial" w:eastAsia="Arial" w:hAnsi="Arial"/>
                <w:sz w:val="18"/>
                <w:szCs w:val="18"/>
                <w:b w:val="1"/>
                <w:bCs w:val="1"/>
                <w:color w:val="auto"/>
                <w:w w:val="88"/>
                <w:vertAlign w:val="superscript"/>
              </w:rPr>
              <w:t>(1)</w:t>
            </w:r>
          </w:p>
        </w:tc>
        <w:tc>
          <w:tcPr>
            <w:tcW w:w="1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March 31, 2021</w:t>
            </w:r>
          </w:p>
        </w:tc>
        <w:tc>
          <w:tcPr>
            <w:tcW w:w="100" w:type="dxa"/>
            <w:vAlign w:val="bottom"/>
            <w:tcBorders>
              <w:top w:val="single" w:sz="8" w:color="CCEEFF"/>
            </w:tcBorders>
            <w:shd w:val="clear" w:color="auto" w:fill="CCEEFF"/>
          </w:tcPr>
          <w:p>
            <w:pPr>
              <w:spacing w:after="0"/>
              <w:rPr>
                <w:sz w:val="19"/>
                <w:szCs w:val="19"/>
                <w:color w:val="auto"/>
              </w:rPr>
            </w:pPr>
          </w:p>
        </w:tc>
        <w:tc>
          <w:tcPr>
            <w:tcW w:w="2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8"/>
              </w:rPr>
              <w:t>USD/Chinese Yuan Renminbi</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CNY</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6.5537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April 30, 2021</w:t>
            </w:r>
          </w:p>
        </w:tc>
        <w:tc>
          <w:tcPr>
            <w:tcW w:w="0" w:type="dxa"/>
            <w:vAlign w:val="bottom"/>
          </w:tcPr>
          <w:p>
            <w:pPr>
              <w:spacing w:after="0"/>
              <w:rPr>
                <w:sz w:val="1"/>
                <w:szCs w:val="1"/>
                <w:color w:val="auto"/>
              </w:rPr>
            </w:pPr>
          </w:p>
        </w:tc>
      </w:tr>
      <w:tr>
        <w:trPr>
          <w:trHeight w:val="229"/>
        </w:trPr>
        <w:tc>
          <w:tcPr>
            <w:tcW w:w="1980" w:type="dxa"/>
            <w:vAlign w:val="bottom"/>
            <w:gridSpan w:val="2"/>
          </w:tcPr>
          <w:p>
            <w:pPr>
              <w:ind w:left="20"/>
              <w:spacing w:after="0"/>
              <w:rPr>
                <w:sz w:val="20"/>
                <w:szCs w:val="20"/>
                <w:color w:val="auto"/>
              </w:rPr>
            </w:pPr>
            <w:r>
              <w:rPr>
                <w:rFonts w:ascii="Arial" w:cs="Arial" w:eastAsia="Arial" w:hAnsi="Arial"/>
                <w:sz w:val="18"/>
                <w:szCs w:val="18"/>
                <w:color w:val="auto"/>
              </w:rPr>
              <w:t>March 31, 2021</w:t>
            </w: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USD/Euro</w:t>
            </w: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USD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1.1777</w:t>
            </w:r>
          </w:p>
        </w:tc>
        <w:tc>
          <w:tcPr>
            <w:tcW w:w="12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3"/>
              </w:rPr>
              <w:t>April 30, 2021</w:t>
            </w:r>
          </w:p>
        </w:tc>
        <w:tc>
          <w:tcPr>
            <w:tcW w:w="0" w:type="dxa"/>
            <w:vAlign w:val="bottom"/>
          </w:tcPr>
          <w:p>
            <w:pPr>
              <w:spacing w:after="0"/>
              <w:rPr>
                <w:sz w:val="1"/>
                <w:szCs w:val="1"/>
                <w:color w:val="auto"/>
              </w:rPr>
            </w:pPr>
          </w:p>
        </w:tc>
      </w:tr>
      <w:tr>
        <w:trPr>
          <w:trHeight w:val="230"/>
        </w:trPr>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31, 2020</w:t>
            </w:r>
          </w:p>
        </w:tc>
        <w:tc>
          <w:tcPr>
            <w:tcW w:w="2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USD/Chinese Yuan Renminbi</w:t>
            </w:r>
          </w:p>
        </w:tc>
        <w:tc>
          <w:tcPr>
            <w:tcW w:w="10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CNY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6.5370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January 29, 2021</w:t>
            </w:r>
          </w:p>
        </w:tc>
        <w:tc>
          <w:tcPr>
            <w:tcW w:w="0" w:type="dxa"/>
            <w:vAlign w:val="bottom"/>
          </w:tcPr>
          <w:p>
            <w:pPr>
              <w:spacing w:after="0"/>
              <w:rPr>
                <w:sz w:val="1"/>
                <w:szCs w:val="1"/>
                <w:color w:val="auto"/>
              </w:rPr>
            </w:pPr>
          </w:p>
        </w:tc>
      </w:tr>
      <w:tr>
        <w:trPr>
          <w:trHeight w:val="229"/>
        </w:trPr>
        <w:tc>
          <w:tcPr>
            <w:tcW w:w="1980" w:type="dxa"/>
            <w:vAlign w:val="bottom"/>
            <w:gridSpan w:val="2"/>
          </w:tcPr>
          <w:p>
            <w:pPr>
              <w:ind w:left="20"/>
              <w:spacing w:after="0"/>
              <w:rPr>
                <w:sz w:val="20"/>
                <w:szCs w:val="20"/>
                <w:color w:val="auto"/>
              </w:rPr>
            </w:pPr>
            <w:r>
              <w:rPr>
                <w:rFonts w:ascii="Arial" w:cs="Arial" w:eastAsia="Arial" w:hAnsi="Arial"/>
                <w:sz w:val="18"/>
                <w:szCs w:val="18"/>
                <w:color w:val="auto"/>
              </w:rPr>
              <w:t>December 31, 2020</w:t>
            </w: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USD/Brazilian Real</w:t>
            </w: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USD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5.1714</w:t>
            </w:r>
          </w:p>
        </w:tc>
        <w:tc>
          <w:tcPr>
            <w:tcW w:w="12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January 29, 2021</w:t>
            </w:r>
          </w:p>
        </w:tc>
        <w:tc>
          <w:tcPr>
            <w:tcW w:w="0" w:type="dxa"/>
            <w:vAlign w:val="bottom"/>
          </w:tcPr>
          <w:p>
            <w:pPr>
              <w:spacing w:after="0"/>
              <w:rPr>
                <w:sz w:val="1"/>
                <w:szCs w:val="1"/>
                <w:color w:val="auto"/>
              </w:rPr>
            </w:pPr>
          </w:p>
        </w:tc>
      </w:tr>
      <w:tr>
        <w:trPr>
          <w:trHeight w:val="229"/>
        </w:trPr>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31, 2020</w:t>
            </w:r>
          </w:p>
        </w:tc>
        <w:tc>
          <w:tcPr>
            <w:tcW w:w="2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USD/Euro</w:t>
            </w:r>
          </w:p>
        </w:tc>
        <w:tc>
          <w:tcPr>
            <w:tcW w:w="10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USD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January 29, 2021</w:t>
            </w:r>
          </w:p>
        </w:tc>
        <w:tc>
          <w:tcPr>
            <w:tcW w:w="0" w:type="dxa"/>
            <w:vAlign w:val="bottom"/>
          </w:tcPr>
          <w:p>
            <w:pPr>
              <w:spacing w:after="0"/>
              <w:rPr>
                <w:sz w:val="1"/>
                <w:szCs w:val="1"/>
                <w:color w:val="auto"/>
              </w:rPr>
            </w:pPr>
          </w:p>
        </w:tc>
      </w:tr>
      <w:tr>
        <w:trPr>
          <w:trHeight w:val="230"/>
        </w:trPr>
        <w:tc>
          <w:tcPr>
            <w:tcW w:w="1980" w:type="dxa"/>
            <w:vAlign w:val="bottom"/>
            <w:gridSpan w:val="2"/>
          </w:tcPr>
          <w:p>
            <w:pPr>
              <w:ind w:left="20"/>
              <w:spacing w:after="0"/>
              <w:rPr>
                <w:sz w:val="20"/>
                <w:szCs w:val="20"/>
                <w:color w:val="auto"/>
              </w:rPr>
            </w:pPr>
            <w:r>
              <w:rPr>
                <w:rFonts w:ascii="Arial" w:cs="Arial" w:eastAsia="Arial" w:hAnsi="Arial"/>
                <w:sz w:val="18"/>
                <w:szCs w:val="18"/>
                <w:color w:val="auto"/>
              </w:rPr>
              <w:t>December 31, 2020</w:t>
            </w: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USD/Mexican Peso</w:t>
            </w: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USD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20.1915</w:t>
            </w:r>
          </w:p>
        </w:tc>
        <w:tc>
          <w:tcPr>
            <w:tcW w:w="1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January 29, 2021</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660" w:right="220" w:hanging="328"/>
        <w:spacing w:after="0" w:line="227" w:lineRule="auto"/>
        <w:tabs>
          <w:tab w:leader="none" w:pos="648"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Unrealized gains on foreign currency exchange contracts are recorded in prepaid expenses and other current assets. Unrealized losses on foreign currency exchange contracts are recorded in other accrued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following discussion should be read in conjunction with the Consolidated Financial Statements and the related notes that appear elsewhere in this report.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design, develop, manufacture, ship and support control and sensor technology solutions and a broad line of universal control systems, audio-video ("AV") accessories, and intelligent wireless security and smart home products that are used by the world's leading brands in the video services, consumer electronics, security, home automation, climate control, and home appliance markets. Our product and technology offerings include:</w:t>
      </w:r>
    </w:p>
    <w:p>
      <w:pPr>
        <w:spacing w:after="0" w:line="192" w:lineRule="exact"/>
        <w:rPr>
          <w:sz w:val="20"/>
          <w:szCs w:val="20"/>
          <w:color w:val="auto"/>
        </w:rPr>
      </w:pPr>
    </w:p>
    <w:p>
      <w:pPr>
        <w:jc w:val="both"/>
        <w:ind w:left="980" w:hanging="324"/>
        <w:spacing w:after="0" w:line="263"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easy-to-use, voice-enabled, automatically-programmed universal remote controls with two-way radio frequency ("RF") as well as infrared ("IR") remote controls, that are sold primarily to video service providers (cable, satellite, Internet Protocol television ("IPTV") and Over the Top ("OTT") services), original equipment manufacturers ("OEMs"), retailers, and private label customers;</w:t>
      </w:r>
    </w:p>
    <w:p>
      <w:pPr>
        <w:spacing w:after="0" w:line="21"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integrated circuits ("ICs"), on which our software and universal device control database is embedded, sold primarily to OEMs, video service providers, and private label customers;</w:t>
      </w:r>
    </w:p>
    <w:p>
      <w:pPr>
        <w:spacing w:after="0" w:line="8" w:lineRule="exact"/>
        <w:rPr>
          <w:rFonts w:ascii="Arial" w:cs="Arial" w:eastAsia="Arial" w:hAnsi="Arial"/>
          <w:sz w:val="18"/>
          <w:szCs w:val="18"/>
          <w:color w:val="auto"/>
        </w:rPr>
      </w:pPr>
    </w:p>
    <w:p>
      <w:pPr>
        <w:jc w:val="both"/>
        <w:ind w:left="980" w:hanging="324"/>
        <w:spacing w:after="0" w:line="286" w:lineRule="auto"/>
        <w:tabs>
          <w:tab w:leader="none" w:pos="975" w:val="left"/>
        </w:tabs>
        <w:numPr>
          <w:ilvl w:val="0"/>
          <w:numId w:val="11"/>
        </w:numPr>
        <w:rPr>
          <w:rFonts w:ascii="Arial" w:cs="Arial" w:eastAsia="Arial" w:hAnsi="Arial"/>
          <w:sz w:val="17"/>
          <w:szCs w:val="17"/>
          <w:color w:val="auto"/>
        </w:rPr>
      </w:pPr>
      <w:r>
        <w:rPr>
          <w:rFonts w:ascii="Arial" w:cs="Arial" w:eastAsia="Arial" w:hAnsi="Arial"/>
          <w:sz w:val="17"/>
          <w:szCs w:val="17"/>
          <w:color w:val="auto"/>
        </w:rPr>
        <w:t>software, firmware and technology solutions that can enable devices such as TVs, set-top boxes, audio systems, smart speakers, game controllers and other consumer electronic and smart home devices to wirelessly connect and interact with home networks and interactive services to control and deliver home entertainment, smart home services and device or system information;</w:t>
      </w:r>
    </w:p>
    <w:p>
      <w:pPr>
        <w:spacing w:after="0" w:line="3" w:lineRule="exact"/>
        <w:rPr>
          <w:rFonts w:ascii="Arial" w:cs="Arial" w:eastAsia="Arial" w:hAnsi="Arial"/>
          <w:sz w:val="17"/>
          <w:szCs w:val="17"/>
          <w:color w:val="auto"/>
        </w:rPr>
      </w:pPr>
    </w:p>
    <w:p>
      <w:pPr>
        <w:ind w:left="980" w:right="20" w:hanging="324"/>
        <w:spacing w:after="0" w:line="277"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cloud-services that support our embedded software and hardware solutions (directly or indirectly) enabling real-time device identification and system control with billions of transactions per year in device and data management;</w:t>
      </w:r>
    </w:p>
    <w:p>
      <w:pPr>
        <w:spacing w:after="0" w:line="8"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intellectual property that we license primarily to OEMs, software development companies, private label customers, and video service providers;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proprietary and standards-based RF sensors designed for residential security, safety and home automation applications;</w:t>
      </w:r>
    </w:p>
    <w:p>
      <w:pPr>
        <w:spacing w:after="0" w:line="63"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wall-mount and handheld thermostat controllers and connected accessories for intelligent energy management systems, primarily to OEM customers, as well as hotels and hospitality system integrators; and</w:t>
      </w:r>
    </w:p>
    <w:p>
      <w:pPr>
        <w:spacing w:after="0" w:line="8"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AV accessories sold, directly and indirectly, to consumers including universal remote controls, television wall mounts and stands and digital television antennas.</w:t>
      </w:r>
    </w:p>
    <w:p>
      <w:pPr>
        <w:spacing w:after="0" w:line="2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key factor in creating products and software for control of entertainment devices is our proprietary device knowledge graph. Since our beginning in 1986, we have compiled an extensive device control knowledge library that includes over 12,500 brands comprising over 940,000 device models across AV and smart home platforms, supported by many common smart home protocols, including IR, HDMI-CEC, Zigbee (Rf4CE) Z-Wave, IP as well as Home Network and Cloud Control.</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device knowledge graph is backed by our unique device fingerprinting technology, which includes nearly 9.9 million unique device fingerprints across both AV and Smart Home devices.</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technology also includes other remote controlled home entertainment devices and home automation control modules, as well as wired Consumer Electronics Control ("CEC") and wireless IP control protocols commonly found on many of the latest HDMI and internet connected devices. Our proprietary software automatically detects, identifies and enables the appropriate control commands for many home entertainment and automation devices in the home. Our libraries are continuously updated with device control codes used in newly introduced AV and Internet of Things devices. These control codes are captured directly from original control devices or from the manufacturer's written specifications to ensure the accuracy and integrity of the library. Our proprietary software and know-how permit us to offer a device control code database that is more robust and efficient than similarly priced products of our competitors.</w:t>
      </w:r>
    </w:p>
    <w:p>
      <w:pPr>
        <w:spacing w:after="0" w:line="222"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We hold a number of patents in the United States and abroad related to our products and technology, and have filed domestic and foreign applications for other patents that are pending. At March 31, 2021, we had over 600 issued and pending U.S. patents related to remote control, home security, safety and automation as well as hundreds of foreign counterpart patents and applications in various territories around the world.</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operate as one business segment. We have two domestic subsidiaries and 26 international subsidiaries located in Argentina, Brazil, British Virgin Islands, Cayman Islands, France, Germany, Hong Kong (3), India, Italy, Japan, Korea, Mexico (2), the Netherlands, People's Republic of China (the "PRC") (7), Singapore, Spain and the United Kingdom.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recap our results for the three months ended March 31, 2021:</w:t>
      </w:r>
    </w:p>
    <w:p>
      <w:pPr>
        <w:spacing w:after="0" w:line="252" w:lineRule="exact"/>
        <w:rPr>
          <w:sz w:val="20"/>
          <w:szCs w:val="20"/>
          <w:color w:val="auto"/>
        </w:rPr>
      </w:pPr>
    </w:p>
    <w:p>
      <w:pPr>
        <w:ind w:left="980" w:right="20" w:hanging="324"/>
        <w:spacing w:after="0" w:line="277"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sales decreased 0.8% to $150.5 million for the three months ended March 31, 2021 from $151.8 million for the three months ended March 31, 2020.</w:t>
      </w:r>
    </w:p>
    <w:p>
      <w:pPr>
        <w:spacing w:after="0" w:line="8"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gross margin percentage increased to 30.8% for the three months ended March 31, 2021 from 28.3% for the three months ended March 31, 2020.</w:t>
      </w:r>
    </w:p>
    <w:p>
      <w:pPr>
        <w:spacing w:after="0" w:line="8"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Operating expenses, as a percentage of net sales, increased to 25.1% for the three months ended March 31, 2021 from 23.0% for the three months ended March 31, 2020.</w:t>
      </w:r>
    </w:p>
    <w:p>
      <w:pPr>
        <w:spacing w:after="0" w:line="8" w:lineRule="exact"/>
        <w:rPr>
          <w:rFonts w:ascii="Arial" w:cs="Arial" w:eastAsia="Arial" w:hAnsi="Arial"/>
          <w:sz w:val="18"/>
          <w:szCs w:val="18"/>
          <w:color w:val="auto"/>
        </w:rPr>
      </w:pPr>
    </w:p>
    <w:p>
      <w:pPr>
        <w:jc w:val="both"/>
        <w:ind w:left="980" w:hanging="324"/>
        <w:spacing w:after="0" w:line="263"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operating income increased to $8.6 million for the three months ended March 31, 2021 from $8.0 million for the three months ended March 31, 2020. Our operating income percentage increased to 5.7% for the three months ended March 31, 2021 from 5.3% for the three months ended March 31, 2020.</w:t>
      </w:r>
    </w:p>
    <w:p>
      <w:pPr>
        <w:spacing w:after="0" w:line="21"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Income tax expense increased to $1.5 million for the three months ended March 31, 2021 from $1.2 million for the three months ended March 31, 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Our strategic business objectives for 2021 include the following:</w:t>
      </w:r>
    </w:p>
    <w:p>
      <w:pPr>
        <w:spacing w:after="0" w:line="252"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to develop and market advanced remote control products and technologies our customer base is adopting;</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to broaden our home control and home automation product offerings;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to expand our software and service offerings to deliver a complete managed service platform;</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further penetration of international subscription broadcasting markets;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acquire new customers in historically strong regions;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 our share with existing customers;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to seek acquisitions or strategic partners that complement and strengthen our existing business.</w:t>
      </w:r>
    </w:p>
    <w:p>
      <w:pPr>
        <w:spacing w:after="0" w:line="30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intend for the following discussion of our financial condition and results of operations to provide information that will assist in understanding our consolidated financial statements, the changes in certain key items in those financial statements from period to period, and the primary factors that accounted for those changes, as well as how certain accounting principles, policies and estimates affect our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 Impact</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global spread of COVID-19 has been and continues to be a complex and rapidly-evolving situation, with governments, public institutions and other organizations imposing or recommending, and businesses and individuals implementing, at various times and to varying degrees, restrictions on various activities or other actions to combat its spread, such as restrictions and bans on travel or transportation, limitations on the size of gatherings, closures of or occupancy or other operating limitations on work facilities, schools, public buildings and businesses, cancellation of events, including sporting events, conferences and meetings, and quarantines and lock-downs. The COVID-19 pandemic and its consequences have and will continue to impact our business, operations, and financial results. The extent to which the COVID-19 pandemic impacts our business, operations, and financial results, including the duration and magnitude of such effects, will depend on numerous evolving factors that we may not be able to accurately predict or assess, including the duration and scope of the COVID-19 pandemic (including the location and extent of resurgences of the virus and the availability of effective treatments or vaccines); the negative impact the COVID-19 pandemic has on global and regional economies and economic activity, including the duration and magnitude of its impact on unemployment rates and consumer discretionary spending. Because the severity, magnitude and duration of the COVID-19 pandemic are uncertain, rapidly changing, and difficult to predict, the pandemic's impact on our operations and financial performance, as well as its impact on our ability to successfully execute our business strategy and initiatives, remains uncertain. As the COVID-19 pandemic continues, the full extent of this outbreak and the related governmental, business and travel restrictions in order to contain the COVID-19 pandemic are continuing to evolve globally. Our COVID-19 task force, which includes a cross-functional group of senior-level executives, continues to manage and respond to the ever-changing health and safety requirements across the globe and communicate our responses and recommended course of action to our global factory and office leaders.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continue to maintain safety measures for all our employees across the globe, including implementing work-from-home arrangements, restricting travel except where essential and approved in advance, frequent office and factory sanitation, temperature scans upon entry, hand sanitizer stations located throughout our facilities and offices, mask wearing, social distancing measures in gathering places and restricting visitor access. All factories are up to or near labor capacity as of the issuance of this report.</w:t>
      </w:r>
    </w:p>
    <w:p>
      <w:pPr>
        <w:spacing w:after="0" w:line="21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Further, we continue to monitor and follow suggested guidelines by the Centers for Disease Control and Prevention, the World Health Organization, and local governmental orders and recommendations. The continued safety and welfare of our employees will remain at the forefront of all decision-making.</w:t>
      </w:r>
    </w:p>
    <w:p>
      <w:pPr>
        <w:spacing w:after="0" w:line="15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anticipate that these actions and the global health crisis caused by the COVID-19 pandemic will continue to negatively impact business activity across the globe, including our business. We expect our sales demand to be negatively impacted into, at least, the first half of 2021 given the global reach and economic impact of the COVID-19 pandemic and the various quarantine and social distancing measures put in place to contain the spread of the COVID-19 pandemic. We have also seen some disruptions in our supply chain that, if continued, may cause us difficulty in fulfilling customer orders. A closure of one of our factories for a sustained period of time would, in the short run, impact our ability to meet customer demand and would negatively impact our results.</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will continue to actively monitor the situation and may take further actions altering our business operations as necessary or as required by federal, state, or local authorities. The potential effects of any such alterations or modifications may have a material adverse impact on our business during 2021. Even after the COVID-19 pandemic subsides or effective treatments or vaccines become available, our business, markets, growth prospects and business model could be materially impacted or altered.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Integrated Circuit Shortage Impact</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the first quarter of 2021, we began experiencing difficulty in ordering integrated circuits ("ICs") for future use and that difficulty is continuing. The global shortage of ICs is affecting a multitude of industries and we expect it to continue to affect our business for the remainder of 2021. While we are identifying other sources of ICs and taking other production and inventory control steps in order to mitigate the effects caused by this shortage, we cannot guarantee that we will find alternative sources to meet our short and longer-term IC needs and/or without experiencing increases in the prices we pay for these components. If we are not able to find these alternative sources of ICs or are not able to purchase sufficient quantities of ICs from our current and alternative suppliers, we may not be able to produce sufficient quantities of products to meet our customers’ demands. This, in turn, may affect our ability to meet our quarterly revenue targets for the remainder of 2021. Further, we may incur additional freight costs to meet the delivery demands of our customers. In addition, many of our products are paired with certain of our customers’ products, like set-top boxes or televisions. If those customers are not able to obtain sufficient quantities of ICs for their products, their demand for our products may decrease.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preparation of financial statements in conformity with U.S. GAAP requires us to make estimates and judgments that affect the reported amounts of assets and liabilities, disclosure of contingent assets and liabilities at the date of the financial statements and the reported amounts of revenues and expenses during the reporting period. On an ongoing basis, we evaluate our estimates and judgments, including those related to revenue recognition, inventory valuation, impairment of long-lived assets, intangible assets and goodwill and income taxes. Actual results may differ from these judgments and estimates, and they may be adjusted as more information becomes available. Any adjustment may be significant and may have a material impact on our consolidated financial statements.</w:t>
      </w:r>
    </w:p>
    <w:p>
      <w:pPr>
        <w:spacing w:after="0" w:line="21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An accounting estimate is deemed to be critical if it requires an accounting estimate to be made based on assumptions about matters that are highly uncertain at the time the estimate is made, if different estimates reasonably may have been used, or if changes in the estimate that are reasonably likely to occur may materially impact the financial statements. We do not believe that there have been any significant changes during the three months ended March 31, 2021 to the items that we disclosed as our critical accounting policies and estimates in Item 7, "Management's Discussion and Analysis of Financial Condition and Results of Operations" contained in our Annual Report on Form 10-K for our fiscal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See Note 1 contained in the "Notes to Consolidated Financial Statements" for a discussion of recent accounting pronouncements.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reported results of operations expressed as a percentage of net sales for the periods indicated.</w:t>
      </w:r>
    </w:p>
    <w:p>
      <w:pPr>
        <w:spacing w:after="0" w:line="95" w:lineRule="exact"/>
        <w:rPr>
          <w:sz w:val="20"/>
          <w:szCs w:val="20"/>
          <w:color w:val="auto"/>
        </w:rPr>
      </w:pPr>
    </w:p>
    <w:p>
      <w:pPr>
        <w:ind w:left="8260"/>
        <w:spacing w:after="0"/>
        <w:rPr>
          <w:sz w:val="20"/>
          <w:szCs w:val="20"/>
          <w:color w:val="auto"/>
        </w:rPr>
      </w:pPr>
      <w:r>
        <w:rPr>
          <w:rFonts w:ascii="Arial" w:cs="Arial" w:eastAsia="Arial" w:hAnsi="Arial"/>
          <w:sz w:val="14"/>
          <w:szCs w:val="14"/>
          <w:b w:val="1"/>
          <w:bCs w:val="1"/>
          <w:color w:val="auto"/>
        </w:rPr>
        <w:t>Three Months Ended March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280" w:type="dxa"/>
            <w:vAlign w:val="bottom"/>
            <w:tcBorders>
              <w:bottom w:val="single" w:sz="8" w:color="CCEEFF"/>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7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940" w:type="dxa"/>
            <w:vAlign w:val="bottom"/>
            <w:tcBorders>
              <w:top w:val="single" w:sz="8" w:color="auto"/>
              <w:bottom w:val="single" w:sz="8" w:color="auto"/>
            </w:tcBorders>
          </w:tcPr>
          <w:p>
            <w:pPr>
              <w:jc w:val="right"/>
              <w:ind w:right="732"/>
              <w:spacing w:after="0"/>
              <w:rPr>
                <w:sz w:val="20"/>
                <w:szCs w:val="20"/>
                <w:color w:val="auto"/>
              </w:rPr>
            </w:pPr>
            <w:r>
              <w:rPr>
                <w:rFonts w:ascii="Arial" w:cs="Arial" w:eastAsia="Arial" w:hAnsi="Arial"/>
                <w:sz w:val="14"/>
                <w:szCs w:val="14"/>
                <w:b w:val="1"/>
                <w:bCs w:val="1"/>
                <w:color w:val="auto"/>
              </w:rPr>
              <w:t>2020</w:t>
            </w:r>
          </w:p>
        </w:tc>
      </w:tr>
      <w:tr>
        <w:trPr>
          <w:trHeight w:val="224"/>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30"/>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Cost of sales</w:t>
            </w: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19"/>
                <w:szCs w:val="19"/>
                <w:color w:val="auto"/>
              </w:rPr>
            </w:pPr>
          </w:p>
        </w:tc>
        <w:tc>
          <w:tcPr>
            <w:tcW w:w="1940" w:type="dxa"/>
            <w:vAlign w:val="bottom"/>
          </w:tcPr>
          <w:p>
            <w:pPr>
              <w:jc w:val="right"/>
              <w:ind w:right="132"/>
              <w:spacing w:after="0"/>
              <w:rPr>
                <w:sz w:val="20"/>
                <w:szCs w:val="20"/>
                <w:color w:val="auto"/>
              </w:rPr>
            </w:pPr>
            <w:r>
              <w:rPr>
                <w:rFonts w:ascii="Arial" w:cs="Arial" w:eastAsia="Arial" w:hAnsi="Arial"/>
                <w:sz w:val="18"/>
                <w:szCs w:val="18"/>
                <w:color w:val="auto"/>
              </w:rPr>
              <w:t>71.7</w:t>
            </w:r>
          </w:p>
        </w:tc>
      </w:tr>
      <w:tr>
        <w:trPr>
          <w:trHeight w:val="223"/>
        </w:trPr>
        <w:tc>
          <w:tcPr>
            <w:tcW w:w="7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2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30.8</w:t>
            </w:r>
          </w:p>
        </w:tc>
        <w:tc>
          <w:tcPr>
            <w:tcW w:w="10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28.3</w:t>
            </w:r>
          </w:p>
        </w:tc>
      </w:tr>
      <w:tr>
        <w:trPr>
          <w:trHeight w:val="230"/>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 expenses</w:t>
            </w: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1940" w:type="dxa"/>
            <w:vAlign w:val="bottom"/>
          </w:tcPr>
          <w:p>
            <w:pPr>
              <w:jc w:val="right"/>
              <w:ind w:right="132"/>
              <w:spacing w:after="0"/>
              <w:rPr>
                <w:sz w:val="20"/>
                <w:szCs w:val="20"/>
                <w:color w:val="auto"/>
              </w:rPr>
            </w:pPr>
            <w:r>
              <w:rPr>
                <w:rFonts w:ascii="Arial" w:cs="Arial" w:eastAsia="Arial" w:hAnsi="Arial"/>
                <w:sz w:val="18"/>
                <w:szCs w:val="18"/>
                <w:color w:val="auto"/>
              </w:rPr>
              <w:t>5.2</w:t>
            </w:r>
          </w:p>
        </w:tc>
      </w:tr>
      <w:tr>
        <w:trPr>
          <w:trHeight w:val="229"/>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17.8</w:t>
            </w:r>
          </w:p>
        </w:tc>
      </w:tr>
      <w:tr>
        <w:trPr>
          <w:trHeight w:val="223"/>
        </w:trPr>
        <w:tc>
          <w:tcPr>
            <w:tcW w:w="728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194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5.3</w:t>
            </w:r>
          </w:p>
        </w:tc>
      </w:tr>
      <w:tr>
        <w:trPr>
          <w:trHeight w:val="230"/>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income (expense), net</w:t>
            </w:r>
          </w:p>
        </w:tc>
        <w:tc>
          <w:tcPr>
            <w:tcW w:w="7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(0.4)</w:t>
            </w:r>
          </w:p>
        </w:tc>
      </w:tr>
      <w:tr>
        <w:trPr>
          <w:trHeight w:val="229"/>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Other income (expense), net</w:t>
            </w: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9"/>
                <w:szCs w:val="19"/>
                <w:color w:val="auto"/>
              </w:rPr>
            </w:pPr>
          </w:p>
        </w:tc>
        <w:tc>
          <w:tcPr>
            <w:tcW w:w="1940" w:type="dxa"/>
            <w:vAlign w:val="bottom"/>
          </w:tcPr>
          <w:p>
            <w:pPr>
              <w:jc w:val="right"/>
              <w:ind w:right="92"/>
              <w:spacing w:after="0"/>
              <w:rPr>
                <w:sz w:val="20"/>
                <w:szCs w:val="20"/>
                <w:color w:val="auto"/>
              </w:rPr>
            </w:pPr>
            <w:r>
              <w:rPr>
                <w:rFonts w:ascii="Arial" w:cs="Arial" w:eastAsia="Arial" w:hAnsi="Arial"/>
                <w:sz w:val="18"/>
                <w:szCs w:val="18"/>
                <w:color w:val="auto"/>
              </w:rPr>
              <w:t>(0.2)</w:t>
            </w:r>
          </w:p>
        </w:tc>
      </w:tr>
      <w:tr>
        <w:trPr>
          <w:trHeight w:val="223"/>
        </w:trPr>
        <w:tc>
          <w:tcPr>
            <w:tcW w:w="7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12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5.6</w:t>
            </w:r>
          </w:p>
        </w:tc>
        <w:tc>
          <w:tcPr>
            <w:tcW w:w="10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4.7</w:t>
            </w:r>
          </w:p>
        </w:tc>
      </w:tr>
      <w:tr>
        <w:trPr>
          <w:trHeight w:val="229"/>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Provision for income taxes</w:t>
            </w: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940" w:type="dxa"/>
            <w:vAlign w:val="bottom"/>
          </w:tcPr>
          <w:p>
            <w:pPr>
              <w:jc w:val="right"/>
              <w:ind w:right="132"/>
              <w:spacing w:after="0"/>
              <w:rPr>
                <w:sz w:val="20"/>
                <w:szCs w:val="20"/>
                <w:color w:val="auto"/>
              </w:rPr>
            </w:pPr>
            <w:r>
              <w:rPr>
                <w:rFonts w:ascii="Arial" w:cs="Arial" w:eastAsia="Arial" w:hAnsi="Arial"/>
                <w:sz w:val="18"/>
                <w:szCs w:val="18"/>
                <w:color w:val="auto"/>
              </w:rPr>
              <w:t>0.8</w:t>
            </w:r>
          </w:p>
        </w:tc>
      </w:tr>
      <w:tr>
        <w:trPr>
          <w:trHeight w:val="248"/>
        </w:trPr>
        <w:tc>
          <w:tcPr>
            <w:tcW w:w="7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00" w:type="dxa"/>
            <w:vAlign w:val="bottom"/>
            <w:tcBorders>
              <w:top w:val="single" w:sz="8" w:color="auto"/>
              <w:bottom w:val="single" w:sz="8" w:color="auto"/>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3.9 %</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2021 versus Three Months Ended March 31, 2020</w:t>
      </w:r>
    </w:p>
    <w:p>
      <w:pPr>
        <w:spacing w:after="0" w:line="23"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Net sales for the three months ended March 31, 2021 were $150.5 million, a slight decrease compared to $151.8 million for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March 31, 2020. Beginning in the first quarter of 2020, the COVID-19 pandemic began to adversely affect our sales, primarily in the subscription broadcast channel. Through the first quarter of 2021, the ill effects caused by the pandemic on the subscription broadcast channel still remain.</w:t>
      </w:r>
    </w:p>
    <w:p>
      <w:pPr>
        <w:spacing w:after="0" w:line="18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Gross profit. </w:t>
      </w:r>
      <w:r>
        <w:rPr>
          <w:rFonts w:ascii="Arial" w:cs="Arial" w:eastAsia="Arial" w:hAnsi="Arial"/>
          <w:sz w:val="17"/>
          <w:szCs w:val="17"/>
          <w:color w:val="auto"/>
        </w:rPr>
        <w:t>Gross profit for the three months ended March 31, 2021 was $46.4 million compared to $42.9 million for the three months ended March 31,</w:t>
      </w:r>
      <w:r>
        <w:rPr>
          <w:rFonts w:ascii="Arial" w:cs="Arial" w:eastAsia="Arial" w:hAnsi="Arial"/>
          <w:sz w:val="17"/>
          <w:szCs w:val="17"/>
          <w:i w:val="1"/>
          <w:iCs w:val="1"/>
          <w:color w:val="auto"/>
        </w:rPr>
        <w:t xml:space="preserve"> </w:t>
      </w:r>
      <w:r>
        <w:rPr>
          <w:rFonts w:ascii="Arial" w:cs="Arial" w:eastAsia="Arial" w:hAnsi="Arial"/>
          <w:sz w:val="17"/>
          <w:szCs w:val="17"/>
          <w:color w:val="auto"/>
        </w:rPr>
        <w:t>2020. Gross profit as a percentage of sales increased to 30.8% for the three months ended March 31, 2021 from 28.3% for the three months ended March 31, 2020. Gross profit as a percentage of sales was favorably impacted by a mix shift toward higher margin revenue streams such as royalties, as a few of the largest consumer electronic companies in the world are embedding our technology in their devices. The gross margin increase due to mix shift was partially offset by the weakening of the U.S. Dollar versus the Chinese Yuan Renminbi and Mexican Peso.</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Research and development ("R&amp;D") expenses. </w:t>
      </w:r>
      <w:r>
        <w:rPr>
          <w:rFonts w:ascii="Arial" w:cs="Arial" w:eastAsia="Arial" w:hAnsi="Arial"/>
          <w:sz w:val="18"/>
          <w:szCs w:val="18"/>
          <w:color w:val="auto"/>
        </w:rPr>
        <w:t>R&amp;D expenses remained consistent at $7.9 million for both the three months ended March 31, 2021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March 31, 2020.</w:t>
      </w:r>
    </w:p>
    <w:p>
      <w:pPr>
        <w:spacing w:after="0" w:line="19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Selling, general and administrative ("SG&amp;A") expenses. </w:t>
      </w:r>
      <w:r>
        <w:rPr>
          <w:rFonts w:ascii="Arial" w:cs="Arial" w:eastAsia="Arial" w:hAnsi="Arial"/>
          <w:sz w:val="17"/>
          <w:szCs w:val="17"/>
          <w:color w:val="auto"/>
        </w:rPr>
        <w:t>SG&amp;A expenses increased to $29.8 million for the three months ended March 31, 2021 from $27.0</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for the three months ended March 31, 2020, primarily due to an increase in outside legal expenses related to a specific legal matter.</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Interest expense, net decreased to $0.1 million for the three months ended March 31, 2021 from $0.6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31, 2020 as a result of a lower average quarterly loan balance and a lower interest rate.</w:t>
      </w:r>
    </w:p>
    <w:p>
      <w:pPr>
        <w:spacing w:after="0" w:line="19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Other income (expense), net. </w:t>
      </w:r>
      <w:r>
        <w:rPr>
          <w:rFonts w:ascii="Arial" w:cs="Arial" w:eastAsia="Arial" w:hAnsi="Arial"/>
          <w:sz w:val="17"/>
          <w:szCs w:val="17"/>
          <w:color w:val="auto"/>
        </w:rPr>
        <w:t>Other income, net was $23 thousand for the three months ended March 31, 2021, as a result of net foreign currency gains,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other expense, net of $0.3 million for the three months ended March 31, 2020, as a result of net foreign currency losses.</w:t>
      </w:r>
    </w:p>
    <w:p>
      <w:pPr>
        <w:spacing w:after="0" w:line="17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Provision for income taxes. </w:t>
      </w:r>
      <w:r>
        <w:rPr>
          <w:rFonts w:ascii="Arial" w:cs="Arial" w:eastAsia="Arial" w:hAnsi="Arial"/>
          <w:sz w:val="17"/>
          <w:szCs w:val="17"/>
          <w:color w:val="auto"/>
        </w:rPr>
        <w:t>Income tax expense was $1.5 million for the three months ended March 31, 2021, representing an effective tax rate of 18.0%</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an income tax expense of $1.2 million for the three months ended March 31, 2020, representing an effective tax rate of 17.3%.</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and Uses of Cash</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16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Three Months Ended</w:t>
            </w:r>
          </w:p>
        </w:tc>
        <w:tc>
          <w:tcPr>
            <w:tcW w:w="340" w:type="dxa"/>
            <w:vAlign w:val="bottom"/>
          </w:tcPr>
          <w:p>
            <w:pPr>
              <w:spacing w:after="0"/>
              <w:rPr>
                <w:sz w:val="14"/>
                <w:szCs w:val="14"/>
                <w:color w:val="auto"/>
              </w:rPr>
            </w:pPr>
          </w:p>
        </w:tc>
        <w:tc>
          <w:tcPr>
            <w:tcW w:w="154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1"/>
              </w:rPr>
              <w:t>Increase</w:t>
            </w:r>
          </w:p>
        </w:tc>
        <w:tc>
          <w:tcPr>
            <w:tcW w:w="160" w:type="dxa"/>
            <w:vAlign w:val="bottom"/>
          </w:tcPr>
          <w:p>
            <w:pPr>
              <w:spacing w:after="0"/>
              <w:rPr>
                <w:sz w:val="14"/>
                <w:szCs w:val="14"/>
                <w:color w:val="auto"/>
              </w:rPr>
            </w:pPr>
          </w:p>
        </w:tc>
        <w:tc>
          <w:tcPr>
            <w:tcW w:w="16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88"/>
        </w:trPr>
        <w:tc>
          <w:tcPr>
            <w:tcW w:w="57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6"/>
              </w:rPr>
              <w:t>March 31, 2021</w:t>
            </w:r>
          </w:p>
        </w:tc>
        <w:tc>
          <w:tcPr>
            <w:tcW w:w="340" w:type="dxa"/>
            <w:vAlign w:val="bottom"/>
          </w:tcPr>
          <w:p>
            <w:pPr>
              <w:spacing w:after="0"/>
              <w:rPr>
                <w:sz w:val="16"/>
                <w:szCs w:val="16"/>
                <w:color w:val="auto"/>
              </w:rPr>
            </w:pPr>
          </w:p>
        </w:tc>
        <w:tc>
          <w:tcPr>
            <w:tcW w:w="154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89"/>
              </w:rPr>
              <w:t>(Decrease)</w:t>
            </w:r>
          </w:p>
        </w:tc>
        <w:tc>
          <w:tcPr>
            <w:tcW w:w="160" w:type="dxa"/>
            <w:vAlign w:val="bottom"/>
          </w:tcPr>
          <w:p>
            <w:pPr>
              <w:spacing w:after="0"/>
              <w:rPr>
                <w:sz w:val="16"/>
                <w:szCs w:val="16"/>
                <w:color w:val="auto"/>
              </w:rPr>
            </w:pPr>
          </w:p>
        </w:tc>
        <w:tc>
          <w:tcPr>
            <w:tcW w:w="16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March 31, 2020</w:t>
            </w:r>
          </w:p>
        </w:tc>
        <w:tc>
          <w:tcPr>
            <w:tcW w:w="0" w:type="dxa"/>
            <w:vAlign w:val="bottom"/>
          </w:tcPr>
          <w:p>
            <w:pPr>
              <w:spacing w:after="0"/>
              <w:rPr>
                <w:sz w:val="1"/>
                <w:szCs w:val="1"/>
                <w:color w:val="auto"/>
              </w:rPr>
            </w:pPr>
          </w:p>
        </w:tc>
      </w:tr>
      <w:tr>
        <w:trPr>
          <w:trHeight w:val="224"/>
        </w:trPr>
        <w:tc>
          <w:tcPr>
            <w:tcW w:w="57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used for operating activities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(6,729)</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1,618</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(8,347)</w:t>
            </w:r>
          </w:p>
        </w:tc>
        <w:tc>
          <w:tcPr>
            <w:tcW w:w="0" w:type="dxa"/>
            <w:vAlign w:val="bottom"/>
          </w:tcPr>
          <w:p>
            <w:pPr>
              <w:spacing w:after="0"/>
              <w:rPr>
                <w:sz w:val="1"/>
                <w:szCs w:val="1"/>
                <w:color w:val="auto"/>
              </w:rPr>
            </w:pPr>
          </w:p>
        </w:tc>
      </w:tr>
      <w:tr>
        <w:trPr>
          <w:trHeight w:val="229"/>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Cash used for investing activities</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(4,804)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(1,048)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(3,756)</w:t>
            </w:r>
          </w:p>
        </w:tc>
        <w:tc>
          <w:tcPr>
            <w:tcW w:w="0" w:type="dxa"/>
            <w:vAlign w:val="bottom"/>
          </w:tcPr>
          <w:p>
            <w:pPr>
              <w:spacing w:after="0"/>
              <w:rPr>
                <w:sz w:val="1"/>
                <w:szCs w:val="1"/>
                <w:color w:val="auto"/>
              </w:rPr>
            </w:pPr>
          </w:p>
        </w:tc>
      </w:tr>
      <w:tr>
        <w:trPr>
          <w:trHeight w:val="230"/>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provided by financing activities</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Effect of foreign currency exchange rates on cash and cash equivalents</w:t>
            </w: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(3,890)</w:t>
            </w:r>
          </w:p>
        </w:tc>
        <w:tc>
          <w:tcPr>
            <w:tcW w:w="0" w:type="dxa"/>
            <w:vAlign w:val="bottom"/>
          </w:tcPr>
          <w:p>
            <w:pPr>
              <w:spacing w:after="0"/>
              <w:rPr>
                <w:sz w:val="1"/>
                <w:szCs w:val="1"/>
                <w:color w:val="auto"/>
              </w:rPr>
            </w:pPr>
          </w:p>
        </w:tc>
      </w:tr>
      <w:tr>
        <w:trPr>
          <w:trHeight w:val="248"/>
        </w:trPr>
        <w:tc>
          <w:tcPr>
            <w:tcW w:w="57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Net decrease in cash and cash equivalents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(1,790)</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13,585</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(15,375)</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5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24"/>
                <w:szCs w:val="24"/>
                <w:color w:val="auto"/>
              </w:rPr>
            </w:pPr>
          </w:p>
        </w:tc>
        <w:tc>
          <w:tcPr>
            <w:tcW w:w="168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4"/>
              </w:rPr>
              <w:t>March 31, 2021</w:t>
            </w:r>
          </w:p>
        </w:tc>
        <w:tc>
          <w:tcPr>
            <w:tcW w:w="340" w:type="dxa"/>
            <w:vAlign w:val="bottom"/>
          </w:tcPr>
          <w:p>
            <w:pPr>
              <w:spacing w:after="0"/>
              <w:rPr>
                <w:sz w:val="24"/>
                <w:szCs w:val="24"/>
                <w:color w:val="auto"/>
              </w:rPr>
            </w:pPr>
          </w:p>
        </w:tc>
        <w:tc>
          <w:tcPr>
            <w:tcW w:w="154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1"/>
              </w:rPr>
              <w:t>Increase</w:t>
            </w:r>
          </w:p>
        </w:tc>
        <w:tc>
          <w:tcPr>
            <w:tcW w:w="160" w:type="dxa"/>
            <w:vAlign w:val="bottom"/>
          </w:tcPr>
          <w:p>
            <w:pPr>
              <w:spacing w:after="0"/>
              <w:rPr>
                <w:sz w:val="24"/>
                <w:szCs w:val="24"/>
                <w:color w:val="auto"/>
              </w:rPr>
            </w:pPr>
          </w:p>
        </w:tc>
        <w:tc>
          <w:tcPr>
            <w:tcW w:w="16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188"/>
        </w:trPr>
        <w:tc>
          <w:tcPr>
            <w:tcW w:w="57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3"/>
            <w:vMerge w:val="continue"/>
          </w:tcPr>
          <w:p>
            <w:pPr>
              <w:spacing w:after="0"/>
              <w:rPr>
                <w:sz w:val="16"/>
                <w:szCs w:val="16"/>
                <w:color w:val="auto"/>
              </w:rPr>
            </w:pPr>
          </w:p>
        </w:tc>
        <w:tc>
          <w:tcPr>
            <w:tcW w:w="340" w:type="dxa"/>
            <w:vAlign w:val="bottom"/>
          </w:tcPr>
          <w:p>
            <w:pPr>
              <w:spacing w:after="0"/>
              <w:rPr>
                <w:sz w:val="16"/>
                <w:szCs w:val="16"/>
                <w:color w:val="auto"/>
              </w:rPr>
            </w:pPr>
          </w:p>
        </w:tc>
        <w:tc>
          <w:tcPr>
            <w:tcW w:w="154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89"/>
              </w:rPr>
              <w:t>(Decrease)</w:t>
            </w:r>
          </w:p>
        </w:tc>
        <w:tc>
          <w:tcPr>
            <w:tcW w:w="16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55,363</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(1,790)</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Working capital</w:t>
            </w:r>
          </w:p>
        </w:tc>
        <w:tc>
          <w:tcPr>
            <w:tcW w:w="1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146,975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(358)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147,333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Net cash used for operating activities </w:t>
      </w:r>
      <w:r>
        <w:rPr>
          <w:rFonts w:ascii="Arial" w:cs="Arial" w:eastAsia="Arial" w:hAnsi="Arial"/>
          <w:sz w:val="17"/>
          <w:szCs w:val="17"/>
          <w:color w:val="auto"/>
        </w:rPr>
        <w:t>was $6.7 million during the three months ended March 31, 2021 compared to $8.3 million during the three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March 31, 2020. Net income was $7.0 million for the three months ended March 31, 2021 compared to net income of $5.8 million for the three months ended March 31, 2020. Accounts payable and accrued liabilities resulted in net cash outflows of $12.5 million during the three months ended March 31, 2021 compared to $29.0 million during the three months ended March 31, 2020, largely as a result of the timing of payments and a decrease in accrued compensation and contingent consideration payments. Inventory turnover was 3.5 at March 31, 2021, as compared to 3.2 at March 31, 2020. Changes in accounts receivable and contract assets reduced cash flows by $10.1 million during the three months ended March 31, 2021 compared to cash inflows of $2.1 million during the three months ended March 31, 2020 largely as a result of the timing of sales during the quarter. Days sales outstanding were 79 days at March 31, 2021 compared to 75 days at March 31, 2020.</w:t>
      </w:r>
    </w:p>
    <w:p>
      <w:pPr>
        <w:spacing w:after="0" w:line="20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Net cash used for investing activities </w:t>
      </w:r>
      <w:r>
        <w:rPr>
          <w:rFonts w:ascii="Arial" w:cs="Arial" w:eastAsia="Arial" w:hAnsi="Arial"/>
          <w:sz w:val="17"/>
          <w:szCs w:val="17"/>
          <w:color w:val="auto"/>
        </w:rPr>
        <w:t>during the three months ended March 31, 2021 was $4.8 million, of which $3.7 million and $1.1 million was used for</w:t>
      </w:r>
      <w:r>
        <w:rPr>
          <w:rFonts w:ascii="Arial" w:cs="Arial" w:eastAsia="Arial" w:hAnsi="Arial"/>
          <w:sz w:val="17"/>
          <w:szCs w:val="17"/>
          <w:i w:val="1"/>
          <w:iCs w:val="1"/>
          <w:color w:val="auto"/>
        </w:rPr>
        <w:t xml:space="preserve"> </w:t>
      </w:r>
      <w:r>
        <w:rPr>
          <w:rFonts w:ascii="Arial" w:cs="Arial" w:eastAsia="Arial" w:hAnsi="Arial"/>
          <w:sz w:val="17"/>
          <w:szCs w:val="17"/>
          <w:color w:val="auto"/>
        </w:rPr>
        <w:t>capital expenditures and the development of patents, respectively. Net cash used for investing activities during the three months ended March 31, 2020 was $3.8 million of which $2.0 million and $1.3 million was used for capital expenditures and the development of patents, respectively.</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Net cash provided by financing activities </w:t>
      </w:r>
      <w:r>
        <w:rPr>
          <w:rFonts w:ascii="Arial" w:cs="Arial" w:eastAsia="Arial" w:hAnsi="Arial"/>
          <w:sz w:val="18"/>
          <w:szCs w:val="18"/>
          <w:color w:val="auto"/>
        </w:rPr>
        <w:t>was $10.0 million during the three months ended March 31, 2021 compared to $0.6 million during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31, 2020. The increase in cash provided by financing activities was driven primarily by borrowing and repayment activity on our line of credit. During the three months ended March 31, 2021, we had net borrowings of $20.0 million compared to net borrowings of $10.0 million during the three months ended March 31, 2020.</w:t>
      </w:r>
    </w:p>
    <w:p>
      <w:pPr>
        <w:spacing w:after="0" w:line="21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During the three months ended March 31, 2021, we repurchased 190,523 shares of our common stock at a cost of $11.0 million compared to our repurchase of 169,167 shares at a cost of $6.3 million during the three months ended March 31, 2020. We hold these shares as treasury stock and they are available for reissue. Presently, we have no plans to utilize these shares, although we may change these plans if necessary to fulfill our on-going business objectives. See Note 13 contained in "Notes to Consolidated Financial Statements" for further information regarding our share repurchase programs.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summarizes our contractual obligations and the effect these obligations are expected to have on our liquidity and cash flow in future periods.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6"/>
          </w:tcPr>
          <w:p>
            <w:pPr>
              <w:jc w:val="center"/>
              <w:ind w:right="130"/>
              <w:spacing w:after="0"/>
              <w:rPr>
                <w:sz w:val="20"/>
                <w:szCs w:val="20"/>
                <w:color w:val="auto"/>
              </w:rPr>
            </w:pPr>
            <w:r>
              <w:rPr>
                <w:rFonts w:ascii="Arial" w:cs="Arial" w:eastAsia="Arial" w:hAnsi="Arial"/>
                <w:sz w:val="14"/>
                <w:szCs w:val="14"/>
                <w:b w:val="1"/>
                <w:bCs w:val="1"/>
                <w:color w:val="auto"/>
                <w:w w:val="92"/>
              </w:rPr>
              <w:t>Payments Due by Period</w:t>
            </w: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1"/>
                <w:szCs w:val="11"/>
                <w:color w:val="auto"/>
              </w:rPr>
            </w:pPr>
          </w:p>
        </w:tc>
        <w:tc>
          <w:tcPr>
            <w:tcW w:w="10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1"/>
                <w:szCs w:val="11"/>
                <w:color w:val="auto"/>
              </w:rPr>
            </w:pPr>
          </w:p>
        </w:tc>
        <w:tc>
          <w:tcPr>
            <w:tcW w:w="940" w:type="dxa"/>
            <w:vAlign w:val="bottom"/>
          </w:tcPr>
          <w:p>
            <w:pPr>
              <w:jc w:val="right"/>
              <w:ind w:right="156"/>
              <w:spacing w:after="0" w:line="135" w:lineRule="exact"/>
              <w:rPr>
                <w:sz w:val="20"/>
                <w:szCs w:val="20"/>
                <w:color w:val="auto"/>
              </w:rPr>
            </w:pPr>
            <w:r>
              <w:rPr>
                <w:rFonts w:ascii="Arial" w:cs="Arial" w:eastAsia="Arial" w:hAnsi="Arial"/>
                <w:sz w:val="14"/>
                <w:szCs w:val="14"/>
                <w:b w:val="1"/>
                <w:bCs w:val="1"/>
                <w:color w:val="auto"/>
              </w:rPr>
              <w:t>Less than</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jc w:val="center"/>
              <w:ind w:right="196"/>
              <w:spacing w:after="0" w:line="135" w:lineRule="exact"/>
              <w:rPr>
                <w:sz w:val="20"/>
                <w:szCs w:val="20"/>
                <w:color w:val="auto"/>
              </w:rPr>
            </w:pPr>
            <w:r>
              <w:rPr>
                <w:rFonts w:ascii="Arial" w:cs="Arial" w:eastAsia="Arial" w:hAnsi="Arial"/>
                <w:sz w:val="14"/>
                <w:szCs w:val="14"/>
                <w:b w:val="1"/>
                <w:bCs w:val="1"/>
                <w:color w:val="auto"/>
                <w:w w:val="99"/>
              </w:rPr>
              <w:t>1 - 3</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jc w:val="right"/>
              <w:ind w:right="376"/>
              <w:spacing w:after="0" w:line="135" w:lineRule="exact"/>
              <w:rPr>
                <w:sz w:val="20"/>
                <w:szCs w:val="20"/>
                <w:color w:val="auto"/>
              </w:rPr>
            </w:pPr>
            <w:r>
              <w:rPr>
                <w:rFonts w:ascii="Arial" w:cs="Arial" w:eastAsia="Arial" w:hAnsi="Arial"/>
                <w:sz w:val="14"/>
                <w:szCs w:val="14"/>
                <w:b w:val="1"/>
                <w:bCs w:val="1"/>
                <w:color w:val="auto"/>
              </w:rPr>
              <w:t>4 - 5</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jc w:val="right"/>
              <w:ind w:right="356"/>
              <w:spacing w:after="0" w:line="135" w:lineRule="exact"/>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88"/>
        </w:trPr>
        <w:tc>
          <w:tcPr>
            <w:tcW w:w="47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276"/>
              <w:spacing w:after="0"/>
              <w:rPr>
                <w:sz w:val="20"/>
                <w:szCs w:val="20"/>
                <w:color w:val="auto"/>
              </w:rPr>
            </w:pPr>
            <w:r>
              <w:rPr>
                <w:rFonts w:ascii="Arial" w:cs="Arial" w:eastAsia="Arial" w:hAnsi="Arial"/>
                <w:sz w:val="14"/>
                <w:szCs w:val="14"/>
                <w:b w:val="1"/>
                <w:bCs w:val="1"/>
                <w:color w:val="auto"/>
              </w:rPr>
              <w:t>1 year</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years</w:t>
            </w:r>
          </w:p>
        </w:tc>
        <w:tc>
          <w:tcPr>
            <w:tcW w:w="280" w:type="dxa"/>
            <w:vAlign w:val="bottom"/>
          </w:tcPr>
          <w:p>
            <w:pPr>
              <w:spacing w:after="0"/>
              <w:rPr>
                <w:sz w:val="16"/>
                <w:szCs w:val="16"/>
                <w:color w:val="auto"/>
              </w:rPr>
            </w:pPr>
          </w:p>
        </w:tc>
        <w:tc>
          <w:tcPr>
            <w:tcW w:w="1040" w:type="dxa"/>
            <w:vAlign w:val="bottom"/>
            <w:gridSpan w:val="2"/>
          </w:tcPr>
          <w:p>
            <w:pPr>
              <w:ind w:left="160"/>
              <w:spacing w:after="0"/>
              <w:rPr>
                <w:sz w:val="20"/>
                <w:szCs w:val="20"/>
                <w:color w:val="auto"/>
              </w:rPr>
            </w:pPr>
            <w:r>
              <w:rPr>
                <w:rFonts w:ascii="Arial" w:cs="Arial" w:eastAsia="Arial" w:hAnsi="Arial"/>
                <w:sz w:val="14"/>
                <w:szCs w:val="14"/>
                <w:b w:val="1"/>
                <w:bCs w:val="1"/>
                <w:color w:val="auto"/>
              </w:rPr>
              <w:t>years</w:t>
            </w:r>
          </w:p>
        </w:tc>
        <w:tc>
          <w:tcPr>
            <w:tcW w:w="240" w:type="dxa"/>
            <w:vAlign w:val="bottom"/>
          </w:tcPr>
          <w:p>
            <w:pPr>
              <w:spacing w:after="0"/>
              <w:rPr>
                <w:sz w:val="16"/>
                <w:szCs w:val="16"/>
                <w:color w:val="auto"/>
              </w:rPr>
            </w:pPr>
          </w:p>
        </w:tc>
        <w:tc>
          <w:tcPr>
            <w:tcW w:w="960" w:type="dxa"/>
            <w:vAlign w:val="bottom"/>
          </w:tcPr>
          <w:p>
            <w:pPr>
              <w:jc w:val="right"/>
              <w:ind w:right="316"/>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24"/>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obligations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19,051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6,863</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3,249</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29"/>
        </w:trPr>
        <w:tc>
          <w:tcPr>
            <w:tcW w:w="47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23"/>
                <w:szCs w:val="23"/>
                <w:color w:val="auto"/>
                <w:vertAlign w:val="superscript"/>
              </w:rPr>
              <w:t>(1)</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6,211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2,691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2,732</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Contingent consideration </w:t>
            </w:r>
            <w:r>
              <w:rPr>
                <w:rFonts w:ascii="Arial" w:cs="Arial" w:eastAsia="Arial" w:hAnsi="Arial"/>
                <w:sz w:val="23"/>
                <w:szCs w:val="23"/>
                <w:color w:val="auto"/>
                <w:vertAlign w:val="superscript"/>
              </w:rPr>
              <w:t>(2)</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60" w:type="dxa"/>
            <w:vAlign w:val="bottom"/>
          </w:tcPr>
          <w:p>
            <w:pPr>
              <w:ind w:left="360"/>
              <w:spacing w:after="0"/>
              <w:rPr>
                <w:sz w:val="20"/>
                <w:szCs w:val="20"/>
                <w:color w:val="auto"/>
              </w:rPr>
            </w:pPr>
            <w:r>
              <w:rPr>
                <w:rFonts w:ascii="Arial" w:cs="Arial" w:eastAsia="Arial" w:hAnsi="Arial"/>
                <w:sz w:val="18"/>
                <w:szCs w:val="18"/>
                <w:color w:val="auto"/>
              </w:rPr>
              <w:t>Total contractual obligations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25,349</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9,554</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8,478</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3,827</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3,490</w:t>
            </w:r>
          </w:p>
        </w:tc>
        <w:tc>
          <w:tcPr>
            <w:tcW w:w="0" w:type="dxa"/>
            <w:vAlign w:val="bottom"/>
          </w:tcPr>
          <w:p>
            <w:pPr>
              <w:spacing w:after="0"/>
              <w:rPr>
                <w:sz w:val="1"/>
                <w:szCs w:val="1"/>
                <w:color w:val="auto"/>
              </w:rPr>
            </w:pPr>
          </w:p>
        </w:tc>
      </w:tr>
      <w:tr>
        <w:trPr>
          <w:trHeight w:val="21"/>
        </w:trPr>
        <w:tc>
          <w:tcPr>
            <w:tcW w:w="4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hanging="328"/>
        <w:spacing w:after="0" w:line="227" w:lineRule="auto"/>
        <w:tabs>
          <w:tab w:leader="none" w:pos="648"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Purchase obligations primarily consist of contractual payments to purchase property, plant and equipment and payments for a fixed-fee software license.</w:t>
      </w:r>
    </w:p>
    <w:p>
      <w:pPr>
        <w:ind w:left="640" w:hanging="308"/>
        <w:spacing w:after="0" w:line="204" w:lineRule="auto"/>
        <w:tabs>
          <w:tab w:leader="none" w:pos="640" w:val="left"/>
        </w:tabs>
        <w:numPr>
          <w:ilvl w:val="0"/>
          <w:numId w:val="14"/>
        </w:numPr>
        <w:rPr>
          <w:rFonts w:ascii="Arial" w:cs="Arial" w:eastAsia="Arial" w:hAnsi="Arial"/>
          <w:sz w:val="22"/>
          <w:szCs w:val="22"/>
          <w:color w:val="auto"/>
          <w:vertAlign w:val="superscript"/>
        </w:rPr>
      </w:pPr>
      <w:r>
        <w:rPr>
          <w:rFonts w:ascii="Arial" w:cs="Arial" w:eastAsia="Arial" w:hAnsi="Arial"/>
          <w:sz w:val="17"/>
          <w:szCs w:val="17"/>
          <w:color w:val="auto"/>
        </w:rPr>
        <w:t>Contingent consideration consists of contingent payments related to our purchases of the net assets of RCS Control Systems, Inc. ("RCS").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Historically, we have utilized cash provided from operations as our primary source of liquidity, as internally generated cash flows have been sufficient to support our business operations, capital expenditures and discretionary share repurchases. More recently, we have utilized our revolving line of credit to fund an increased level of share repurchases and our acquisitions of the net assets of Ecolink and RCS. We anticipate that we will continue to utilize both cash flows from operations and our revolving line of credit to support ongoing business operations, capital expenditures and future discretionary share repurchases. We believe our current cash balances, anticipated cash flow to be generated from operations and available borrowing resources will be sufficient to cover expected cash outlays during the next twelve months; however, because our cash is located in various jurisdictions throughout the world, we may at times need to increase borrowing from our revolving line of credit or take on additional debt until we are able to transfer cash among our various entities.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Our liquidity is subject to various risks including the risks discussed under "Item 3. Quantitative and Qualitative Disclosures about Market Risk."</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6"/>
                <w:szCs w:val="16"/>
                <w:color w:val="auto"/>
              </w:rPr>
            </w:pPr>
          </w:p>
        </w:tc>
        <w:tc>
          <w:tcPr>
            <w:tcW w:w="1860" w:type="dxa"/>
            <w:vAlign w:val="bottom"/>
            <w:gridSpan w:val="2"/>
          </w:tcPr>
          <w:p>
            <w:pPr>
              <w:ind w:left="240"/>
              <w:spacing w:after="0"/>
              <w:rPr>
                <w:sz w:val="20"/>
                <w:szCs w:val="20"/>
                <w:color w:val="auto"/>
              </w:rPr>
            </w:pPr>
            <w:r>
              <w:rPr>
                <w:rFonts w:ascii="Arial" w:cs="Arial" w:eastAsia="Arial" w:hAnsi="Arial"/>
                <w:sz w:val="14"/>
                <w:szCs w:val="14"/>
                <w:b w:val="1"/>
                <w:bCs w:val="1"/>
                <w:color w:val="auto"/>
              </w:rPr>
              <w:t>March 31, 2021</w:t>
            </w:r>
          </w:p>
        </w:tc>
        <w:tc>
          <w:tcPr>
            <w:tcW w:w="280" w:type="dxa"/>
            <w:vAlign w:val="bottom"/>
          </w:tcPr>
          <w:p>
            <w:pPr>
              <w:spacing w:after="0"/>
              <w:rPr>
                <w:sz w:val="16"/>
                <w:szCs w:val="16"/>
                <w:color w:val="auto"/>
              </w:rPr>
            </w:pPr>
          </w:p>
        </w:tc>
        <w:tc>
          <w:tcPr>
            <w:tcW w:w="1820" w:type="dxa"/>
            <w:vAlign w:val="bottom"/>
          </w:tcPr>
          <w:p>
            <w:pPr>
              <w:jc w:val="right"/>
              <w:ind w:right="396"/>
              <w:spacing w:after="0"/>
              <w:rPr>
                <w:sz w:val="20"/>
                <w:szCs w:val="20"/>
                <w:color w:val="auto"/>
              </w:rPr>
            </w:pPr>
            <w:r>
              <w:rPr>
                <w:rFonts w:ascii="Arial" w:cs="Arial" w:eastAsia="Arial" w:hAnsi="Arial"/>
                <w:sz w:val="14"/>
                <w:szCs w:val="14"/>
                <w:b w:val="1"/>
                <w:bCs w:val="1"/>
                <w:color w:val="auto"/>
              </w:rPr>
              <w:t>December 31, 2020</w:t>
            </w:r>
          </w:p>
        </w:tc>
      </w:tr>
      <w:tr>
        <w:trPr>
          <w:trHeight w:val="229"/>
        </w:trPr>
        <w:tc>
          <w:tcPr>
            <w:tcW w:w="6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55,363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57,153</w:t>
            </w:r>
          </w:p>
        </w:tc>
      </w:tr>
      <w:tr>
        <w:trPr>
          <w:trHeight w:val="230"/>
        </w:trPr>
        <w:tc>
          <w:tcPr>
            <w:tcW w:w="6920" w:type="dxa"/>
            <w:vAlign w:val="bottom"/>
          </w:tcPr>
          <w:p>
            <w:pPr>
              <w:ind w:left="20"/>
              <w:spacing w:after="0"/>
              <w:rPr>
                <w:sz w:val="20"/>
                <w:szCs w:val="20"/>
                <w:color w:val="auto"/>
              </w:rPr>
            </w:pPr>
            <w:r>
              <w:rPr>
                <w:rFonts w:ascii="Arial" w:cs="Arial" w:eastAsia="Arial" w:hAnsi="Arial"/>
                <w:sz w:val="18"/>
                <w:szCs w:val="18"/>
                <w:color w:val="auto"/>
              </w:rPr>
              <w:t>Available borrowing resources</w:t>
            </w:r>
          </w:p>
        </w:tc>
        <w:tc>
          <w:tcPr>
            <w:tcW w:w="34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82,300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102,300</w:t>
            </w:r>
          </w:p>
        </w:tc>
      </w:tr>
    </w:tbl>
    <w:p>
      <w:pPr>
        <w:spacing w:after="0" w:line="22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cash balances are held in numerous locations throughout the world. The majority of our cash is held outside of the United States and may be repatriated to the United States but, under current law, may be subject to state income and foreign withholding taxes. Additionally, repatriation of some foreign balances is restricted by local laws. We have provided for the state income tax and the foreign withholding tax liabilities on these amounts for financial statement purposes.</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31, 2021, we had $5.6 million, $14.0 million, $12.5 million, $15.3 million and $8.0 million of cash and cash equivalents in the United States, the PRC, Asia (excluding the PRC), Europe, and South America, respectively. On December 31, 2020, we had $9.8 million, $14.3 million, $13.5 million, $10.9 million, and $8.7 million of cash and cash equivalents in the United States, the PRC, Asia (excluding the PRC), Europe and South America, respectively. We attempt to mitigate our exposure to liquidity, credit and other relevant risks by placing our cash and cash equivalents with financial institutions we believe are high quality.</w:t>
      </w:r>
    </w:p>
    <w:p>
      <w:pPr>
        <w:spacing w:after="0" w:line="21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Second Amended and Restated Credit Agreement ("Second Amended Credit Agreement") with U.S. Bank National Association ("U.S. Bank") provides for a $125.0 million revolving line of credit ("Credit Line") that expires on November 1, 2022. The Credit Line may be used for working capital and other general corporate purposes including acquisitions, share repurchases and capital expenditures. Amounts available for borrowing under the Credit Line are reduced by the balance of any outstanding letters of credit, of which there were $2.7 million at March 31, 2021.</w:t>
      </w:r>
    </w:p>
    <w:p>
      <w:pPr>
        <w:spacing w:after="0" w:line="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All obligations under the Credit Line are secured by substantially all of our U.S. personal property and tangible and intangible assets as well as 65% of our ownership interest in Enson Assets Limited, our wholly-owned subsidiary that controls our manufacturing factories in the PRC.</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Under the Second Amended Credit Agreement, we may elect to pay interest on the Credit Line based on LIBOR plus an applicable margin (varying from 1.25% to 1.75%) or base rate (based on the prime rate of U.S. Bank or as otherwise specified in the Second Amended Credit Agreement) plus an applicable margin (varying from 0.00% to 0.50%). The applicable margins are calculated quarterly and vary based on our cash flow leverage ratio as set forth in the Second Amended Credit Agreement. The interest rates in effect at March 31, 2021 and December 31, 2020 were 1.37% and 1.39%, respectively. There are no commitment fees or unused line fees under the Second Amended Credit Agreement.</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31, 2021, the process of cessation of LIBOR as a reference rate will begin. LIBOR may continue to be used for new and existing borrowings on the Credit Line through December 31, 2021. After that date, new borrowings will no longer use LIBOR as a reference rate. Instead, these borrowings will be subject to an interest rate based on either the Secured Overnight Financing Rate ("SOFR"), which is deemed a replacement benchmark for LIBOR under the Second Amended Credit Agreement, or an alternate index to be agreed upon. Between December 31, 2021 and June 30, 2023, any legacy borrowings may continue to use LIBOR as the basis for interest rates. After June 30, 2023, however, all borrowings will be based on SOFR or the alternate index.</w:t>
      </w:r>
    </w:p>
    <w:p>
      <w:pPr>
        <w:spacing w:after="0" w:line="21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Second Amended Credit Agreement includes financial covenants requiring a minimum fixed charge coverage ratio and a maximum cash flow leverage ratio. In addition, the Second Amended Credit Agreement contains other customary affirmative and negative covenants and events of default. As of March 31, 2021, we were in compliance with the covenants and conditions of the Second Amended Credit Agreement.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At March 31, 2021, we had an outstanding balance of $40.0 million on our Credit Line and $82.3 million of availability.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do not participate in any material off-balance sheet arrangements.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Financial Condition and Future Results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Forward-Looking Statements</w:t>
      </w:r>
    </w:p>
    <w:p>
      <w:pPr>
        <w:spacing w:after="0" w:line="25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caution that the following important factors, among others (including but not limited to factors discussed in "Management's Discussion and Analysis of Financial Condition and Results of Operations," as well as those discussed in our 2020 Annual Report on Form 10-K, or in our other reports filed from time to time with the Securities and Exchange Commission ("SEC")), may affect our actual results and may contribute to or cause our actual consolidated results to differ materially from those expressed in any of our forward-looking statements. The factors included here are not exhaustive. Further, any forward-looking statement speaks only as of the date on which such statement is made, and we undertake no obligation to update any forward-looking statement to reflect events or circumstances after the date on which such statement is made or to reflect the occurrence of unanticipated events. New factors emerge from time to time, and it is not possible for management to predict all such factors, nor can we assess the impact of each such factor on the business or the extent to which any factor, or combination of factors, may cause actual results to differ materially from those contained in any forward-looking statement. Therefore, forward-looking statements should not be relied upon as a prediction of actual future results.</w:t>
      </w:r>
    </w:p>
    <w:p>
      <w:pPr>
        <w:spacing w:after="0" w:line="19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While we believe that the forward-looking statements made in this report are based on reasonable assumptions, the actual outcome of such statements is subject to a number of risks and uncertainties, including the ultimate impact of the COVID-19 pandemic on our business, results of operations, financial position and liquidity; the impact to our quarterly revenue, margins and operating profits due to our inability to continue to obtain adequate quantities of component parts, including integrated circuits; the significant percentage of our revenue attributable to a limited number of customers; the failure of our markets to continue growing and expanding in the manner we anticipated; the loss of market share due to competition; the delay by or failure of our customers to order products from us due to delays by them of their new product rollouts, their decision to purchase their products from an alternative or second source supplier, their efforts to refocus their operations to broadband and over-the-top ("OTT") versus traditional linear video, their failure to grow as we anticipated, their internal inventory control measures, or their loss of market share; the effects of natural or other events beyond our control, including the effects political unrest, war or terrorist activities may have on us or the economy; the economic environment's effect on us or our customers; the effects of doing business internationally, including the effects that changes in laws, regulations and policies may have on our business including the impact of new or additional tariffs and surcharges; the growth of, acceptance of and the demand for our products and technologies in various markets and geographical regions, including cable, satellite, consumer electronics, retail, and digital media and interactive technology; our inability to add profitable complementary products which are accepted by the marketplace; our inability to attract and retain a quality workforce at adequate levels in all regions of the world, and particularly</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those jurisdictions where we are moving our operations; our inability to continue to maintain our operating costs at acceptable levels through our cost containment efforts including moving our operations and manufacturing facilities to lower cost jurisdictions; an unfavorable ruling in any or all of the litigation matters to which we are party; our inability to continue selling our products or licensing our technologies at higher or profitable margins; our inability to obtain orders or maintain our order volume with new and existing customers; our inability to develop new and innovative technologies and products that are accepted by our customers; the possible dilutive effect our stock incentive programs may have on our earnings per share and stock price; the continued ability to identify and execute on opportunities that maximize stockholder value, including the effects repurchasing the Company's shares have on the Company's stock value; and other factors listed from time to time in our press releases and filings with the Securities and Exchange Commission.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are exposed to various market risks, including interest rate and foreign currency exchange rate fluctuations. We have established policies, procedures and internal processes governing our management of these risks and the use of financial instruments to mitigate our risk exposure.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exposed to interest rate risk related to our debt. From time to time we borrow amounts on our Credit Line for working capital and other liquidity needs. Under our Second Amended Credit Agreement, we may elect to pay interest on outstanding borrowings on our Credit Line based on LIBOR or a base rate (based on the prime rate of U.S. Bank) plus an applicable margin as defined in the Second Amended Credit Agreement. Accordingly, changes in interest rates would impact our results of operations in future periods. A 100 basis point increase in interest rates would have an approximately $0.3 million annual impact on net income based on our outstanding Credit Line balance at March 31, 2021.</w:t>
      </w:r>
    </w:p>
    <w:p>
      <w:pPr>
        <w:spacing w:after="0" w:line="20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cannot make any assurances that we will not need to borrow additional amounts in the future or that funds will be extended to us under comparable terms or at all. If funding is not available to us at a time when we need to borrow, we would have to use our cash reserves, including potentially repatriating cash from foreign jurisdictions, which may have a material adverse effect on our operating results, financial position and cash flows.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At March 31, 2021, we had wholly-owned subsidiaries in Argentina, Brazil, the British Virgin Islands, Cayman Islands, France, Germany, Hong Kong, India, Italy, Japan, Korea, Mexico, the Netherlands, the PRC, Singapore, Spain and the United Kingdom. We are exposed to foreign currency exchange rate risk inherent in our sales commitments, anticipated sales, anticipated purchases, operating expenses, assets and liabilities denominated in currencies other than the U.S. Dollar. The most significant foreign currencies to our operations are the Chinese Yuan Renminbi, Euro, British Pound, Mexican Peso, Indian Rupee, Brazilian Real, Japanese Yen, and Argentinian Peso. Our most significant foreign currency exposure is to the Chinese Yuan Renminbi as this is the functional currency of our China-based factories where the majority of our products are manufactured. If the Chinese Yuan Renminbi were to strengthen against the U.S. Dollar, our manufacturing costs would increase. We are generally a net payor of the Euro, Mexican Peso, Indian Rupee and Japanese Yen and therefore benefit from a stronger U.S. Dollar and are adversely affected by a weaker U.S. Dollar relative to the foreign currency. For the British Pound, Brazilian Real and Argentinian Peso, we are generally a net receiver of the foreign currency and therefore benefit from a weaker U.S. Dollar and are adversely affected by a stronger U.S. Dollar relative to the foreign currency. Even where we are a net receiver, a weaker U.S. Dollar may adversely affect certain expense figures taken alone.</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we enter into foreign currency exchange agreements to manage the foreign currency exchange rate risks inherent in our forecasted income and cash flows denominated in foreign currencies. The terms of these foreign currency exchange agreements normally last less than nine months. We recognize the gains and losses on these foreign currency contracts in the same period as the re-measurement losses and gains of the related foreign currency-denominated exposures.</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It is difficult to estimate the impact of fluctuations on income, as it depends on the opening and closing rates, the average net balance sheet positions held in a foreign currency and the amount of income generated in local currency. We routinely forecast what these balance sheet positions and income generated in local currency may be and we take steps to minimize exposure as we deem appropriate. Alternatively, we may choose not to hedge the foreign currency risk associated with our foreign currency exposures, primarily if such exposure acts as a natural foreign currency hedge for other offsetting amounts denominated in the same currency or the currency is difficult or too expensive to hedge. We do not enter into any derivative transactions for speculative purposes.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sensitivity of earnings and cash flows to variability in exchange rates is assessed by applying an approximate range of potential rate fluctuations to our assets, obligations and projected results of operations denominated in foreign currency with all other variables held constant. The analysis includes all of our foreign currency contracts offset by the underlying exposures. Based on our overall foreign currency rate exposure at March 31, 2021, we believe that movements in foreign currency rates may have a material effect on our financial position and results of operations. We estimate that if the exchange rates for the Chinese Yuan Renminbi, Euro, British Pound, Mexican Peso, Indian Rupee, Brazilian Real, Japanese Yen, and Argentinian Peso relative to the U.S. Dollar fluctuate 10% from March 31, 2021, net income in the second quarter of 2021 would fluctuate by approximately $9.0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Rule 13a-15(d) promulgated under the Securities Exchange Act of 1934 (the "Exchange Act") defines "disclosure controls and procedures" to mean controls and procedures of a company that are designed to ensure that information required to be disclosed by the company in the reports that it files or submits under the Exchange Act is recorded, processed, summarized and reported, within the time periods specified in the SEC's rules and forms. The definition further states that disclosure controls and procedures include, without limitation, controls and procedures designed to ensure that the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22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An evaluation was performed under the supervision and with the participation of our management, including our principal executive and principal financial officers, of the effectiveness of the design and operation of our disclosure controls and procedures as of the end of the period covered by this report. Based on that evaluation, our principal executive and principal financial officers have concluded that our disclosure controls and procedures were effective, as of the end of the period covered by this Quarterly Report on Form 10-Q, to provide reasonable assurance that information required to be disclosed by us in reports that we file or submit under the Exchange Act is recorded, processed, summarized and reported within the time periods specified in SEC rules and forms and is accumulated and communicated to our management to allow timely decisions regarding required disclosures.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fiscal quarter covered by this Quarterly Report on Form 10-Q that have materially affected, or are reasonably likely to materially affect, our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subject to lawsuits arising out of the conduct of our business. The discussion of our litigation matters contained in "Notes to Consolidated Financial Statements - Note 12" is incorporated herein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the first quarter of 2021, we began experiencing difficulty in ordering integrated circuits ("ICs") for future use and that difficulty is continuing. The global shortage of ICs is affecting a multitude of industries and we expect it to continue to affect our business for the remainder of 2021. While we are identifying other sources of ICs and taking other production and inventory control steps in order to mitigate the effects caused by this shortage, we cannot guarantee that we will find alternative sources to meet our short and longer-term IC needs and/or without experiencing increases in the prices we pay for these components. If we are not able to find these alternative sources of ICs or are not able to purchase sufficient quantities of ICs from our current and alternative suppliers, we may not be able to produce sufficient quantities of products to meet our customers’ demands. This, in turn, may affect our ability to meet our quarterly revenue targets for the remainder of 2021. Further, we may incur additional freight costs to meet the delivery demands of our customers. In addition, many of our products are paired with certain of our customers’ products, like set-top boxes and televisions. If those customers are not able to obtain sufficient quantities of ICs for their products, their demand for our products may decrease.</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the reader should carefully consider, in connection with the other information in this report, the risk factors discussed in "Part I, Item 1A: Risk Factors" of the Company's 2020 Annual Report on Form 10-K. These factors may cause our actual results to differ materially from those stated in forward-looking statements contained in this document and elsewhere.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for the three months ended March 31, 2021, our total stock repurchases, average price paid per share and the maximum number of shares that may yet be purchased on the open market under our plans or programs: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Weighted</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120" w:type="dxa"/>
            <w:vAlign w:val="bottom"/>
          </w:tcPr>
          <w:p>
            <w:pPr>
              <w:spacing w:after="0"/>
              <w:rPr>
                <w:sz w:val="14"/>
                <w:szCs w:val="14"/>
                <w:color w:val="auto"/>
              </w:rPr>
            </w:pPr>
          </w:p>
        </w:tc>
        <w:tc>
          <w:tcPr>
            <w:tcW w:w="2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Maximum Number of Shares</w:t>
            </w:r>
          </w:p>
        </w:tc>
        <w:tc>
          <w:tcPr>
            <w:tcW w:w="0" w:type="dxa"/>
            <w:vAlign w:val="bottom"/>
          </w:tcPr>
          <w:p>
            <w:pPr>
              <w:spacing w:after="0"/>
              <w:rPr>
                <w:sz w:val="1"/>
                <w:szCs w:val="1"/>
                <w:color w:val="auto"/>
              </w:rPr>
            </w:pPr>
          </w:p>
        </w:tc>
      </w:tr>
      <w:tr>
        <w:trPr>
          <w:trHeight w:val="135"/>
        </w:trPr>
        <w:tc>
          <w:tcPr>
            <w:tcW w:w="4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0"/>
              </w:rPr>
              <w:t>Average</w:t>
            </w:r>
          </w:p>
        </w:tc>
        <w:tc>
          <w:tcPr>
            <w:tcW w:w="1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Purchased as Part of Publicly</w:t>
            </w:r>
          </w:p>
        </w:tc>
        <w:tc>
          <w:tcPr>
            <w:tcW w:w="120" w:type="dxa"/>
            <w:vAlign w:val="bottom"/>
          </w:tcPr>
          <w:p>
            <w:pPr>
              <w:spacing w:after="0"/>
              <w:rPr>
                <w:sz w:val="11"/>
                <w:szCs w:val="11"/>
                <w:color w:val="auto"/>
              </w:rPr>
            </w:pPr>
          </w:p>
        </w:tc>
        <w:tc>
          <w:tcPr>
            <w:tcW w:w="2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4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4"/>
              </w:rPr>
              <w:t>Price Paid</w:t>
            </w:r>
          </w:p>
        </w:tc>
        <w:tc>
          <w:tcPr>
            <w:tcW w:w="1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Announced Plans or</w:t>
            </w:r>
          </w:p>
        </w:tc>
        <w:tc>
          <w:tcPr>
            <w:tcW w:w="120" w:type="dxa"/>
            <w:vAlign w:val="bottom"/>
          </w:tcPr>
          <w:p>
            <w:pPr>
              <w:spacing w:after="0"/>
              <w:rPr>
                <w:sz w:val="11"/>
                <w:szCs w:val="11"/>
                <w:color w:val="auto"/>
              </w:rPr>
            </w:pPr>
          </w:p>
        </w:tc>
        <w:tc>
          <w:tcPr>
            <w:tcW w:w="20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that May Yet Be Purchased</w:t>
            </w:r>
          </w:p>
        </w:tc>
        <w:tc>
          <w:tcPr>
            <w:tcW w:w="0" w:type="dxa"/>
            <w:vAlign w:val="bottom"/>
          </w:tcPr>
          <w:p>
            <w:pPr>
              <w:spacing w:after="0"/>
              <w:rPr>
                <w:sz w:val="1"/>
                <w:szCs w:val="1"/>
                <w:color w:val="auto"/>
              </w:rPr>
            </w:pPr>
          </w:p>
        </w:tc>
      </w:tr>
      <w:tr>
        <w:trPr>
          <w:trHeight w:val="189"/>
        </w:trPr>
        <w:tc>
          <w:tcPr>
            <w:tcW w:w="4180" w:type="dxa"/>
            <w:vAlign w:val="bottom"/>
            <w:gridSpan w:val="2"/>
            <w:vMerge w:val="continue"/>
          </w:tcPr>
          <w:p>
            <w:pPr>
              <w:spacing w:after="0"/>
              <w:rPr>
                <w:sz w:val="16"/>
                <w:szCs w:val="16"/>
                <w:color w:val="auto"/>
              </w:rPr>
            </w:pPr>
          </w:p>
        </w:tc>
        <w:tc>
          <w:tcPr>
            <w:tcW w:w="1440" w:type="dxa"/>
            <w:vAlign w:val="bottom"/>
          </w:tcPr>
          <w:p>
            <w:pPr>
              <w:jc w:val="right"/>
              <w:ind w:right="16"/>
              <w:spacing w:after="0" w:line="189" w:lineRule="exact"/>
              <w:rPr>
                <w:sz w:val="20"/>
                <w:szCs w:val="20"/>
                <w:color w:val="auto"/>
              </w:rPr>
            </w:pPr>
            <w:r>
              <w:rPr>
                <w:rFonts w:ascii="Arial" w:cs="Arial" w:eastAsia="Arial" w:hAnsi="Arial"/>
                <w:sz w:val="14"/>
                <w:szCs w:val="14"/>
                <w:b w:val="1"/>
                <w:bCs w:val="1"/>
                <w:color w:val="auto"/>
                <w:w w:val="93"/>
              </w:rPr>
              <w:t xml:space="preserve">Shares Purchased </w:t>
            </w:r>
            <w:r>
              <w:rPr>
                <w:rFonts w:ascii="Arial" w:cs="Arial" w:eastAsia="Arial" w:hAnsi="Arial"/>
                <w:sz w:val="18"/>
                <w:szCs w:val="18"/>
                <w:b w:val="1"/>
                <w:bCs w:val="1"/>
                <w:color w:val="auto"/>
                <w:w w:val="93"/>
                <w:vertAlign w:val="superscript"/>
              </w:rPr>
              <w:t>(1)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per Share</w:t>
            </w:r>
          </w:p>
        </w:tc>
        <w:tc>
          <w:tcPr>
            <w:tcW w:w="1840" w:type="dxa"/>
            <w:vAlign w:val="bottom"/>
          </w:tcPr>
          <w:p>
            <w:pPr>
              <w:jc w:val="center"/>
              <w:spacing w:after="0" w:line="189" w:lineRule="exact"/>
              <w:rPr>
                <w:sz w:val="20"/>
                <w:szCs w:val="20"/>
                <w:color w:val="auto"/>
              </w:rPr>
            </w:pPr>
            <w:r>
              <w:rPr>
                <w:rFonts w:ascii="Arial" w:cs="Arial" w:eastAsia="Arial" w:hAnsi="Arial"/>
                <w:sz w:val="14"/>
                <w:szCs w:val="14"/>
                <w:b w:val="1"/>
                <w:bCs w:val="1"/>
                <w:color w:val="auto"/>
                <w:w w:val="90"/>
              </w:rPr>
              <w:t xml:space="preserve">Programs </w:t>
            </w:r>
            <w:r>
              <w:rPr>
                <w:rFonts w:ascii="Arial" w:cs="Arial" w:eastAsia="Arial" w:hAnsi="Arial"/>
                <w:sz w:val="18"/>
                <w:szCs w:val="18"/>
                <w:b w:val="1"/>
                <w:bCs w:val="1"/>
                <w:color w:val="auto"/>
                <w:w w:val="90"/>
                <w:vertAlign w:val="superscript"/>
              </w:rPr>
              <w:t>(2)</w:t>
            </w:r>
          </w:p>
        </w:tc>
        <w:tc>
          <w:tcPr>
            <w:tcW w:w="120" w:type="dxa"/>
            <w:vAlign w:val="bottom"/>
          </w:tcPr>
          <w:p>
            <w:pPr>
              <w:spacing w:after="0"/>
              <w:rPr>
                <w:sz w:val="16"/>
                <w:szCs w:val="16"/>
                <w:color w:val="auto"/>
              </w:rPr>
            </w:pPr>
          </w:p>
        </w:tc>
        <w:tc>
          <w:tcPr>
            <w:tcW w:w="2040" w:type="dxa"/>
            <w:vAlign w:val="bottom"/>
          </w:tcPr>
          <w:p>
            <w:pPr>
              <w:jc w:val="center"/>
              <w:spacing w:after="0" w:line="189" w:lineRule="exact"/>
              <w:rPr>
                <w:sz w:val="20"/>
                <w:szCs w:val="20"/>
                <w:color w:val="auto"/>
              </w:rPr>
            </w:pPr>
            <w:r>
              <w:rPr>
                <w:rFonts w:ascii="Arial" w:cs="Arial" w:eastAsia="Arial" w:hAnsi="Arial"/>
                <w:sz w:val="14"/>
                <w:szCs w:val="14"/>
                <w:b w:val="1"/>
                <w:bCs w:val="1"/>
                <w:color w:val="auto"/>
                <w:w w:val="91"/>
              </w:rPr>
              <w:t xml:space="preserve">Under the Plans or Programs </w:t>
            </w:r>
            <w:r>
              <w:rPr>
                <w:rFonts w:ascii="Arial" w:cs="Arial" w:eastAsia="Arial" w:hAnsi="Arial"/>
                <w:sz w:val="18"/>
                <w:szCs w:val="18"/>
                <w:b w:val="1"/>
                <w:bCs w:val="1"/>
                <w:color w:val="auto"/>
                <w:w w:val="91"/>
                <w:vertAlign w:val="superscript"/>
              </w:rPr>
              <w:t>(2)</w:t>
            </w:r>
          </w:p>
        </w:tc>
        <w:tc>
          <w:tcPr>
            <w:tcW w:w="0" w:type="dxa"/>
            <w:vAlign w:val="bottom"/>
          </w:tcPr>
          <w:p>
            <w:pPr>
              <w:spacing w:after="0"/>
              <w:rPr>
                <w:sz w:val="1"/>
                <w:szCs w:val="1"/>
                <w:color w:val="auto"/>
              </w:rPr>
            </w:pPr>
          </w:p>
        </w:tc>
      </w:tr>
      <w:tr>
        <w:trPr>
          <w:trHeight w:val="223"/>
        </w:trPr>
        <w:tc>
          <w:tcPr>
            <w:tcW w:w="4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January 1, 2021 - January 31, 2021</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53.78</w:t>
            </w:r>
          </w:p>
        </w:tc>
        <w:tc>
          <w:tcPr>
            <w:tcW w:w="12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30"/>
        </w:trPr>
        <w:tc>
          <w:tcPr>
            <w:tcW w:w="4180" w:type="dxa"/>
            <w:vAlign w:val="bottom"/>
            <w:gridSpan w:val="2"/>
          </w:tcPr>
          <w:p>
            <w:pPr>
              <w:ind w:left="20"/>
              <w:spacing w:after="0"/>
              <w:rPr>
                <w:sz w:val="20"/>
                <w:szCs w:val="20"/>
                <w:color w:val="auto"/>
              </w:rPr>
            </w:pPr>
            <w:r>
              <w:rPr>
                <w:rFonts w:ascii="Arial" w:cs="Arial" w:eastAsia="Arial" w:hAnsi="Arial"/>
                <w:sz w:val="18"/>
                <w:szCs w:val="18"/>
                <w:color w:val="auto"/>
              </w:rPr>
              <w:t>February 1, 2021 - February 28, 2021</w:t>
            </w:r>
          </w:p>
        </w:tc>
        <w:tc>
          <w:tcPr>
            <w:tcW w:w="1440" w:type="dxa"/>
            <w:vAlign w:val="bottom"/>
          </w:tcPr>
          <w:p>
            <w:pPr>
              <w:jc w:val="right"/>
              <w:spacing w:after="0"/>
              <w:rPr>
                <w:sz w:val="20"/>
                <w:szCs w:val="20"/>
                <w:color w:val="auto"/>
              </w:rPr>
            </w:pPr>
            <w:r>
              <w:rPr>
                <w:rFonts w:ascii="Arial" w:cs="Arial" w:eastAsia="Arial" w:hAnsi="Arial"/>
                <w:sz w:val="18"/>
                <w:szCs w:val="18"/>
                <w:color w:val="auto"/>
              </w:rPr>
              <w:t>84,675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58.28</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49,529</w:t>
            </w:r>
          </w:p>
        </w:tc>
        <w:tc>
          <w:tcPr>
            <w:tcW w:w="2160" w:type="dxa"/>
            <w:vAlign w:val="bottom"/>
            <w:gridSpan w:val="2"/>
          </w:tcPr>
          <w:p>
            <w:pPr>
              <w:jc w:val="right"/>
              <w:ind w:right="4"/>
              <w:spacing w:after="0"/>
              <w:rPr>
                <w:sz w:val="20"/>
                <w:szCs w:val="20"/>
                <w:color w:val="auto"/>
              </w:rPr>
            </w:pPr>
            <w:r>
              <w:rPr>
                <w:rFonts w:ascii="Arial" w:cs="Arial" w:eastAsia="Arial" w:hAnsi="Arial"/>
                <w:sz w:val="18"/>
                <w:szCs w:val="18"/>
                <w:color w:val="auto"/>
              </w:rPr>
              <w:t>250,471</w:t>
            </w:r>
          </w:p>
        </w:tc>
        <w:tc>
          <w:tcPr>
            <w:tcW w:w="0" w:type="dxa"/>
            <w:vAlign w:val="bottom"/>
          </w:tcPr>
          <w:p>
            <w:pPr>
              <w:spacing w:after="0"/>
              <w:rPr>
                <w:sz w:val="1"/>
                <w:szCs w:val="1"/>
                <w:color w:val="auto"/>
              </w:rPr>
            </w:pPr>
          </w:p>
        </w:tc>
      </w:tr>
      <w:tr>
        <w:trPr>
          <w:trHeight w:val="229"/>
        </w:trPr>
        <w:tc>
          <w:tcPr>
            <w:tcW w:w="4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1, 2021 - March 31, 2021</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104,645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56.87</w:t>
            </w:r>
          </w:p>
        </w:tc>
        <w:tc>
          <w:tcPr>
            <w:tcW w:w="120" w:type="dxa"/>
            <w:vAlign w:val="bottom"/>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85,852</w:t>
            </w:r>
          </w:p>
        </w:tc>
        <w:tc>
          <w:tcPr>
            <w:tcW w:w="216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164,619</w:t>
            </w:r>
          </w:p>
        </w:tc>
        <w:tc>
          <w:tcPr>
            <w:tcW w:w="0" w:type="dxa"/>
            <w:vAlign w:val="bottom"/>
          </w:tcPr>
          <w:p>
            <w:pPr>
              <w:spacing w:after="0"/>
              <w:rPr>
                <w:sz w:val="1"/>
                <w:szCs w:val="1"/>
                <w:color w:val="auto"/>
              </w:rPr>
            </w:pPr>
          </w:p>
        </w:tc>
      </w:tr>
      <w:tr>
        <w:trPr>
          <w:trHeight w:val="223"/>
        </w:trPr>
        <w:tc>
          <w:tcPr>
            <w:tcW w:w="418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190,523</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57.48</w:t>
            </w:r>
          </w:p>
        </w:tc>
        <w:tc>
          <w:tcPr>
            <w:tcW w:w="120" w:type="dxa"/>
            <w:vAlign w:val="bottom"/>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135,381</w:t>
            </w:r>
          </w:p>
        </w:tc>
        <w:tc>
          <w:tcPr>
            <w:tcW w:w="2160" w:type="dxa"/>
            <w:vAlign w:val="bottom"/>
            <w:gridSpan w:val="2"/>
          </w:tcPr>
          <w:p>
            <w:pPr>
              <w:jc w:val="right"/>
              <w:ind w:right="4"/>
              <w:spacing w:after="0"/>
              <w:rPr>
                <w:sz w:val="20"/>
                <w:szCs w:val="20"/>
                <w:color w:val="auto"/>
              </w:rPr>
            </w:pPr>
            <w:r>
              <w:rPr>
                <w:rFonts w:ascii="Arial" w:cs="Arial" w:eastAsia="Arial" w:hAnsi="Arial"/>
                <w:sz w:val="18"/>
                <w:szCs w:val="18"/>
                <w:color w:val="auto"/>
              </w:rPr>
              <w:t>164,619</w:t>
            </w:r>
          </w:p>
        </w:tc>
        <w:tc>
          <w:tcPr>
            <w:tcW w:w="0" w:type="dxa"/>
            <w:vAlign w:val="bottom"/>
          </w:tcPr>
          <w:p>
            <w:pPr>
              <w:spacing w:after="0"/>
              <w:rPr>
                <w:sz w:val="1"/>
                <w:szCs w:val="1"/>
                <w:color w:val="auto"/>
              </w:rPr>
            </w:pPr>
          </w:p>
        </w:tc>
      </w:tr>
      <w:tr>
        <w:trPr>
          <w:trHeight w:val="21"/>
        </w:trPr>
        <w:tc>
          <w:tcPr>
            <w:tcW w:w="4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hanging="328"/>
        <w:spacing w:after="0" w:line="267" w:lineRule="auto"/>
        <w:tabs>
          <w:tab w:leader="none" w:pos="648"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Of the repurchases in January, February, and March, 1,203, 35,146 and 18,793 shares, respectively, represent common shares of the Company that were owned and tendered by employees to satisfy tax withholding obligations in connection with the vesting of restricted shares.</w:t>
      </w:r>
    </w:p>
    <w:p>
      <w:pPr>
        <w:spacing w:after="0" w:line="12" w:lineRule="exact"/>
        <w:rPr>
          <w:rFonts w:ascii="Arial" w:cs="Arial" w:eastAsia="Arial" w:hAnsi="Arial"/>
          <w:sz w:val="21"/>
          <w:szCs w:val="21"/>
          <w:color w:val="auto"/>
          <w:vertAlign w:val="superscript"/>
        </w:rPr>
      </w:pPr>
    </w:p>
    <w:p>
      <w:pPr>
        <w:jc w:val="both"/>
        <w:ind w:left="660" w:hanging="328"/>
        <w:spacing w:after="0" w:line="242" w:lineRule="auto"/>
        <w:tabs>
          <w:tab w:leader="none" w:pos="648"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On February 11, 2021, our Board approved a new share repurchase program with an effective date of February 23, 2021 (the "February 2021 Program"). Pursuant to the February 2021 Program, we may, from time to time until May 6, 2021, repurchase up to 300,000 shares of our common stock. On April 28, 2021, our Board approved a new share repurchase program with an effective date of May 11, 2021 (the "May 2021 Program"). Pursuant to the May 2021 Program, we may, from time to time until August 5, 2021, repurchase up to 300,000 shares of our common stock. We may repurchase shares of common stock in privately negotiated and/or open-market transactions, including pursuant to plans complying with Rule 10b5-1 promulgated under the Exchange Act.</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7"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7020" w:type="dxa"/>
            <w:vAlign w:val="bottom"/>
            <w:gridSpan w:val="3"/>
          </w:tcPr>
          <w:p>
            <w:pPr>
              <w:ind w:left="720"/>
              <w:spacing w:after="0"/>
              <w:rPr>
                <w:sz w:val="20"/>
                <w:szCs w:val="20"/>
                <w:color w:val="auto"/>
              </w:rPr>
            </w:pPr>
            <w:r>
              <w:rPr>
                <w:rFonts w:ascii="Arial" w:cs="Arial" w:eastAsia="Arial" w:hAnsi="Arial"/>
                <w:sz w:val="18"/>
                <w:szCs w:val="18"/>
                <w:b w:val="1"/>
                <w:bCs w:val="1"/>
                <w:color w:val="auto"/>
              </w:rPr>
              <w:t>EXHIBIT INDEX</w:t>
            </w:r>
          </w:p>
        </w:tc>
      </w:tr>
      <w:tr>
        <w:trPr>
          <w:trHeight w:val="535"/>
        </w:trPr>
        <w:tc>
          <w:tcPr>
            <w:tcW w:w="1380" w:type="dxa"/>
            <w:vAlign w:val="bottom"/>
          </w:tcPr>
          <w:p>
            <w:pPr>
              <w:jc w:val="right"/>
              <w:ind w:right="970"/>
              <w:spacing w:after="0"/>
              <w:rPr>
                <w:sz w:val="20"/>
                <w:szCs w:val="20"/>
                <w:color w:val="auto"/>
              </w:rPr>
            </w:pPr>
            <w:r>
              <w:rPr>
                <w:rFonts w:ascii="Arial" w:cs="Arial" w:eastAsia="Arial" w:hAnsi="Arial"/>
                <w:sz w:val="18"/>
                <w:szCs w:val="18"/>
                <w:color w:val="auto"/>
                <w:w w:val="85"/>
              </w:rPr>
              <w:t>31.1</w:t>
            </w:r>
          </w:p>
        </w:tc>
        <w:tc>
          <w:tcPr>
            <w:tcW w:w="9400" w:type="dxa"/>
            <w:vAlign w:val="bottom"/>
            <w:tcBorders>
              <w:bottom w:val="single" w:sz="8" w:color="0000FF"/>
            </w:tcBorders>
            <w:gridSpan w:val="2"/>
          </w:tcPr>
          <w:p>
            <w:pPr>
              <w:spacing w:after="0"/>
              <w:rPr>
                <w:rFonts w:ascii="Arial" w:cs="Arial" w:eastAsia="Arial" w:hAnsi="Arial"/>
                <w:sz w:val="18"/>
                <w:szCs w:val="18"/>
                <w:color w:val="0000FF"/>
                <w:w w:val="93"/>
              </w:rPr>
            </w:pPr>
            <w:hyperlink w:anchor="page35">
              <w:r>
                <w:rPr>
                  <w:rFonts w:ascii="Arial" w:cs="Arial" w:eastAsia="Arial" w:hAnsi="Arial"/>
                  <w:sz w:val="18"/>
                  <w:szCs w:val="18"/>
                  <w:color w:val="0000FF"/>
                  <w:w w:val="93"/>
                </w:rPr>
                <w:t>Rule 13a-14(a) Certifications of Paul D. Arling, Chief Executive Officer (principal executive officer) of Universal Electronics Inc.</w:t>
              </w:r>
            </w:hyperlink>
          </w:p>
        </w:tc>
        <w:tc>
          <w:tcPr>
            <w:tcW w:w="280" w:type="dxa"/>
            <w:vAlign w:val="bottom"/>
            <w:gridSpan w:val="2"/>
          </w:tcPr>
          <w:p>
            <w:pPr>
              <w:spacing w:after="0"/>
              <w:rPr>
                <w:sz w:val="24"/>
                <w:szCs w:val="24"/>
                <w:color w:val="auto"/>
              </w:rPr>
            </w:pPr>
          </w:p>
        </w:tc>
      </w:tr>
      <w:tr>
        <w:trPr>
          <w:trHeight w:val="264"/>
        </w:trPr>
        <w:tc>
          <w:tcPr>
            <w:tcW w:w="1380" w:type="dxa"/>
            <w:vAlign w:val="bottom"/>
          </w:tcPr>
          <w:p>
            <w:pPr>
              <w:jc w:val="right"/>
              <w:ind w:right="970"/>
              <w:spacing w:after="0"/>
              <w:rPr>
                <w:sz w:val="20"/>
                <w:szCs w:val="20"/>
                <w:color w:val="auto"/>
              </w:rPr>
            </w:pPr>
            <w:r>
              <w:rPr>
                <w:rFonts w:ascii="Arial" w:cs="Arial" w:eastAsia="Arial" w:hAnsi="Arial"/>
                <w:sz w:val="18"/>
                <w:szCs w:val="18"/>
                <w:color w:val="auto"/>
                <w:w w:val="85"/>
              </w:rPr>
              <w:t>31.2</w:t>
            </w:r>
          </w:p>
        </w:tc>
        <w:tc>
          <w:tcPr>
            <w:tcW w:w="9680" w:type="dxa"/>
            <w:vAlign w:val="bottom"/>
            <w:gridSpan w:val="4"/>
          </w:tcPr>
          <w:p>
            <w:pPr>
              <w:spacing w:after="0"/>
              <w:rPr>
                <w:rFonts w:ascii="Arial" w:cs="Arial" w:eastAsia="Arial" w:hAnsi="Arial"/>
                <w:sz w:val="18"/>
                <w:szCs w:val="18"/>
                <w:color w:val="0000FF"/>
                <w:w w:val="96"/>
              </w:rPr>
            </w:pPr>
            <w:hyperlink w:anchor="page36">
              <w:r>
                <w:rPr>
                  <w:rFonts w:ascii="Arial" w:cs="Arial" w:eastAsia="Arial" w:hAnsi="Arial"/>
                  <w:sz w:val="18"/>
                  <w:szCs w:val="18"/>
                  <w:color w:val="0000FF"/>
                  <w:w w:val="96"/>
                </w:rPr>
                <w:t>Rule 13a-14(a) Certifications of Bryan M. Hackworth, Chief Financial Officer (principal financial officer and principal accounting</w:t>
              </w:r>
            </w:hyperlink>
          </w:p>
        </w:tc>
      </w:tr>
      <w:tr>
        <w:trPr>
          <w:trHeight w:val="156"/>
        </w:trPr>
        <w:tc>
          <w:tcPr>
            <w:tcW w:w="1380" w:type="dxa"/>
            <w:vAlign w:val="bottom"/>
          </w:tcPr>
          <w:p>
            <w:pPr>
              <w:spacing w:after="0"/>
              <w:rPr>
                <w:sz w:val="13"/>
                <w:szCs w:val="13"/>
                <w:color w:val="auto"/>
              </w:rPr>
            </w:pPr>
          </w:p>
        </w:tc>
        <w:tc>
          <w:tcPr>
            <w:tcW w:w="26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3"/>
              </w:rPr>
            </w:pPr>
            <w:hyperlink w:anchor="page36">
              <w:r>
                <w:rPr>
                  <w:rFonts w:ascii="Arial" w:cs="Arial" w:eastAsia="Arial" w:hAnsi="Arial"/>
                  <w:sz w:val="18"/>
                  <w:szCs w:val="18"/>
                  <w:color w:val="0000FF"/>
                  <w:w w:val="93"/>
                </w:rPr>
                <w:t>officer) of Universal Electronics Inc.</w:t>
              </w:r>
            </w:hyperlink>
          </w:p>
        </w:tc>
        <w:tc>
          <w:tcPr>
            <w:tcW w:w="700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r>
    </w:tbl>
    <w:p>
      <w:pPr>
        <w:spacing w:after="0" w:line="80" w:lineRule="exact"/>
        <w:rPr>
          <w:sz w:val="20"/>
          <w:szCs w:val="20"/>
          <w:color w:val="auto"/>
        </w:rPr>
      </w:pPr>
    </w:p>
    <w:p>
      <w:pPr>
        <w:jc w:val="both"/>
        <w:ind w:left="1540" w:hanging="1372"/>
        <w:spacing w:after="0" w:line="224" w:lineRule="auto"/>
        <w:tabs>
          <w:tab w:leader="none" w:pos="1540" w:val="left"/>
        </w:tabs>
        <w:numPr>
          <w:ilvl w:val="0"/>
          <w:numId w:val="16"/>
        </w:numPr>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Section 1350 Certifications of Paul D. Arling, Chief Executive Officer (principal executive officer) of Universal Electronics Inc., and</w:t>
        </w:r>
      </w:hyperlink>
      <w:r>
        <w:rPr>
          <w:rFonts w:ascii="Arial" w:cs="Arial" w:eastAsia="Arial" w:hAnsi="Arial"/>
          <w:sz w:val="18"/>
          <w:szCs w:val="18"/>
          <w:u w:val="single" w:color="auto"/>
          <w:color w:val="0000FF"/>
        </w:rPr>
        <w:t xml:space="preserve"> </w:t>
      </w:r>
      <w:hyperlink w:anchor="page37">
        <w:r>
          <w:rPr>
            <w:rFonts w:ascii="Arial" w:cs="Arial" w:eastAsia="Arial" w:hAnsi="Arial"/>
            <w:sz w:val="18"/>
            <w:szCs w:val="18"/>
            <w:u w:val="single" w:color="auto"/>
            <w:color w:val="0000FF"/>
          </w:rPr>
          <w:t>Bryan M. Hackworth, Chief Financial Officer (principal financial officer and principal accounting officer) of Universal Electronics</w:t>
        </w:r>
      </w:hyperlink>
      <w:r>
        <w:rPr>
          <w:rFonts w:ascii="Arial" w:cs="Arial" w:eastAsia="Arial" w:hAnsi="Arial"/>
          <w:sz w:val="18"/>
          <w:szCs w:val="18"/>
          <w:u w:val="single" w:color="auto"/>
          <w:color w:val="0000FF"/>
        </w:rPr>
        <w:t xml:space="preserve"> </w:t>
      </w:r>
      <w:hyperlink w:anchor="page37">
        <w:r>
          <w:rPr>
            <w:rFonts w:ascii="Arial" w:cs="Arial" w:eastAsia="Arial" w:hAnsi="Arial"/>
            <w:sz w:val="18"/>
            <w:szCs w:val="18"/>
            <w:u w:val="single" w:color="auto"/>
            <w:color w:val="0000FF"/>
          </w:rPr>
          <w:t>Inc., pursuant to 18 U.S.C. Section 1350</w:t>
        </w:r>
      </w:hyperlink>
    </w:p>
    <w:p>
      <w:pPr>
        <w:spacing w:after="0" w:line="55" w:lineRule="exact"/>
        <w:rPr>
          <w:rFonts w:ascii="Arial" w:cs="Arial" w:eastAsia="Arial" w:hAnsi="Arial"/>
          <w:sz w:val="18"/>
          <w:szCs w:val="18"/>
          <w:u w:val="single" w:color="auto"/>
          <w:color w:val="0000FF"/>
        </w:rPr>
      </w:pPr>
    </w:p>
    <w:tbl>
      <w:tblPr>
        <w:tblLayout w:type="fixed"/>
        <w:tblInd w:w="16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101.INS</w:t>
            </w:r>
          </w:p>
        </w:tc>
        <w:tc>
          <w:tcPr>
            <w:tcW w:w="5300" w:type="dxa"/>
            <w:vAlign w:val="bottom"/>
          </w:tcPr>
          <w:p>
            <w:pPr>
              <w:ind w:left="340"/>
              <w:spacing w:after="0"/>
              <w:rPr>
                <w:sz w:val="20"/>
                <w:szCs w:val="20"/>
                <w:color w:val="auto"/>
              </w:rPr>
            </w:pPr>
            <w:r>
              <w:rPr>
                <w:rFonts w:ascii="Arial" w:cs="Arial" w:eastAsia="Arial" w:hAnsi="Arial"/>
                <w:sz w:val="18"/>
                <w:szCs w:val="18"/>
                <w:color w:val="auto"/>
              </w:rPr>
              <w:t>Inline XBRL Instance Document</w:t>
            </w:r>
          </w:p>
        </w:tc>
      </w:tr>
      <w:tr>
        <w:trPr>
          <w:trHeight w:val="283"/>
        </w:trPr>
        <w:tc>
          <w:tcPr>
            <w:tcW w:w="1040" w:type="dxa"/>
            <w:vAlign w:val="bottom"/>
          </w:tcPr>
          <w:p>
            <w:pPr>
              <w:spacing w:after="0"/>
              <w:rPr>
                <w:sz w:val="20"/>
                <w:szCs w:val="20"/>
                <w:color w:val="auto"/>
              </w:rPr>
            </w:pPr>
            <w:r>
              <w:rPr>
                <w:rFonts w:ascii="Arial" w:cs="Arial" w:eastAsia="Arial" w:hAnsi="Arial"/>
                <w:sz w:val="18"/>
                <w:szCs w:val="18"/>
                <w:color w:val="auto"/>
              </w:rPr>
              <w:t>101.SCH</w:t>
            </w:r>
          </w:p>
        </w:tc>
        <w:tc>
          <w:tcPr>
            <w:tcW w:w="5300" w:type="dxa"/>
            <w:vAlign w:val="bottom"/>
          </w:tcPr>
          <w:p>
            <w:pPr>
              <w:ind w:left="340"/>
              <w:spacing w:after="0"/>
              <w:rPr>
                <w:sz w:val="20"/>
                <w:szCs w:val="20"/>
                <w:color w:val="auto"/>
              </w:rPr>
            </w:pPr>
            <w:r>
              <w:rPr>
                <w:rFonts w:ascii="Arial" w:cs="Arial" w:eastAsia="Arial" w:hAnsi="Arial"/>
                <w:sz w:val="18"/>
                <w:szCs w:val="18"/>
                <w:color w:val="auto"/>
              </w:rPr>
              <w:t>Inline XBRL Taxonomy Extension Schema Document</w:t>
            </w:r>
          </w:p>
        </w:tc>
      </w:tr>
      <w:tr>
        <w:trPr>
          <w:trHeight w:val="283"/>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5300" w:type="dxa"/>
            <w:vAlign w:val="bottom"/>
          </w:tcPr>
          <w:p>
            <w:pPr>
              <w:ind w:left="340"/>
              <w:spacing w:after="0"/>
              <w:rPr>
                <w:sz w:val="20"/>
                <w:szCs w:val="20"/>
                <w:color w:val="auto"/>
              </w:rPr>
            </w:pPr>
            <w:r>
              <w:rPr>
                <w:rFonts w:ascii="Arial" w:cs="Arial" w:eastAsia="Arial" w:hAnsi="Arial"/>
                <w:sz w:val="18"/>
                <w:szCs w:val="18"/>
                <w:color w:val="auto"/>
                <w:w w:val="93"/>
              </w:rPr>
              <w:t>Inline XBRL Taxonomy Extension Calculation Linkbase Document</w:t>
            </w:r>
          </w:p>
        </w:tc>
      </w:tr>
      <w:tr>
        <w:trPr>
          <w:trHeight w:val="284"/>
        </w:trPr>
        <w:tc>
          <w:tcPr>
            <w:tcW w:w="1040" w:type="dxa"/>
            <w:vAlign w:val="bottom"/>
          </w:tcPr>
          <w:p>
            <w:pPr>
              <w:spacing w:after="0"/>
              <w:rPr>
                <w:sz w:val="20"/>
                <w:szCs w:val="20"/>
                <w:color w:val="auto"/>
              </w:rPr>
            </w:pPr>
            <w:r>
              <w:rPr>
                <w:rFonts w:ascii="Arial" w:cs="Arial" w:eastAsia="Arial" w:hAnsi="Arial"/>
                <w:sz w:val="18"/>
                <w:szCs w:val="18"/>
                <w:color w:val="auto"/>
              </w:rPr>
              <w:t>101.DEF</w:t>
            </w:r>
          </w:p>
        </w:tc>
        <w:tc>
          <w:tcPr>
            <w:tcW w:w="5300" w:type="dxa"/>
            <w:vAlign w:val="bottom"/>
          </w:tcPr>
          <w:p>
            <w:pPr>
              <w:ind w:left="340"/>
              <w:spacing w:after="0"/>
              <w:rPr>
                <w:sz w:val="20"/>
                <w:szCs w:val="20"/>
                <w:color w:val="auto"/>
              </w:rPr>
            </w:pPr>
            <w:r>
              <w:rPr>
                <w:rFonts w:ascii="Arial" w:cs="Arial" w:eastAsia="Arial" w:hAnsi="Arial"/>
                <w:sz w:val="18"/>
                <w:szCs w:val="18"/>
                <w:color w:val="auto"/>
                <w:w w:val="96"/>
              </w:rPr>
              <w:t>Inline XBRL Taxonomy Extension Definition Linkbase Document</w:t>
            </w:r>
          </w:p>
        </w:tc>
      </w:tr>
      <w:tr>
        <w:trPr>
          <w:trHeight w:val="283"/>
        </w:trPr>
        <w:tc>
          <w:tcPr>
            <w:tcW w:w="1040" w:type="dxa"/>
            <w:vAlign w:val="bottom"/>
          </w:tcPr>
          <w:p>
            <w:pPr>
              <w:spacing w:after="0"/>
              <w:rPr>
                <w:sz w:val="20"/>
                <w:szCs w:val="20"/>
                <w:color w:val="auto"/>
              </w:rPr>
            </w:pPr>
            <w:r>
              <w:rPr>
                <w:rFonts w:ascii="Arial" w:cs="Arial" w:eastAsia="Arial" w:hAnsi="Arial"/>
                <w:sz w:val="18"/>
                <w:szCs w:val="18"/>
                <w:color w:val="auto"/>
              </w:rPr>
              <w:t>101.LAB</w:t>
            </w:r>
          </w:p>
        </w:tc>
        <w:tc>
          <w:tcPr>
            <w:tcW w:w="5300" w:type="dxa"/>
            <w:vAlign w:val="bottom"/>
          </w:tcPr>
          <w:p>
            <w:pPr>
              <w:ind w:left="34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83"/>
        </w:trPr>
        <w:tc>
          <w:tcPr>
            <w:tcW w:w="1040" w:type="dxa"/>
            <w:vAlign w:val="bottom"/>
          </w:tcPr>
          <w:p>
            <w:pPr>
              <w:spacing w:after="0"/>
              <w:rPr>
                <w:sz w:val="20"/>
                <w:szCs w:val="20"/>
                <w:color w:val="auto"/>
              </w:rPr>
            </w:pPr>
            <w:r>
              <w:rPr>
                <w:rFonts w:ascii="Arial" w:cs="Arial" w:eastAsia="Arial" w:hAnsi="Arial"/>
                <w:sz w:val="18"/>
                <w:szCs w:val="18"/>
                <w:color w:val="auto"/>
              </w:rPr>
              <w:t>101.PRE</w:t>
            </w:r>
          </w:p>
        </w:tc>
        <w:tc>
          <w:tcPr>
            <w:tcW w:w="5300" w:type="dxa"/>
            <w:vAlign w:val="bottom"/>
          </w:tcPr>
          <w:p>
            <w:pPr>
              <w:ind w:left="340"/>
              <w:spacing w:after="0"/>
              <w:rPr>
                <w:sz w:val="20"/>
                <w:szCs w:val="20"/>
                <w:color w:val="auto"/>
              </w:rPr>
            </w:pPr>
            <w:r>
              <w:rPr>
                <w:rFonts w:ascii="Arial" w:cs="Arial" w:eastAsia="Arial" w:hAnsi="Arial"/>
                <w:sz w:val="18"/>
                <w:szCs w:val="18"/>
                <w:color w:val="auto"/>
                <w:w w:val="91"/>
              </w:rPr>
              <w:t>Inline XBRL Taxonomy Extension Presentation Linkbase Document</w:t>
            </w:r>
          </w:p>
        </w:tc>
      </w:tr>
    </w:tbl>
    <w:p>
      <w:pPr>
        <w:spacing w:after="0" w:line="53" w:lineRule="exact"/>
        <w:rPr>
          <w:rFonts w:ascii="Arial" w:cs="Arial" w:eastAsia="Arial" w:hAnsi="Arial"/>
          <w:sz w:val="18"/>
          <w:szCs w:val="18"/>
          <w:u w:val="single" w:color="auto"/>
          <w:color w:val="0000FF"/>
        </w:rPr>
      </w:pPr>
    </w:p>
    <w:p>
      <w:pPr>
        <w:ind w:left="1540" w:hanging="1372"/>
        <w:spacing w:after="0"/>
        <w:tabs>
          <w:tab w:leader="none" w:pos="1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72"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33</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3" w:name="page34"/>
    <w:bookmarkEnd w:id="3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r>
              <w:rPr>
                <w:rFonts w:ascii="Arial" w:cs="Arial" w:eastAsia="Arial" w:hAnsi="Arial"/>
                <w:sz w:val="18"/>
                <w:szCs w:val="18"/>
                <w:color w:val="auto"/>
              </w:rPr>
              <w:t>Dated:   May 6, 2021</w:t>
            </w:r>
          </w:p>
        </w:tc>
        <w:tc>
          <w:tcPr>
            <w:tcW w:w="7660" w:type="dxa"/>
            <w:vAlign w:val="bottom"/>
            <w:gridSpan w:val="2"/>
          </w:tcPr>
          <w:p>
            <w:pPr>
              <w:ind w:left="1880"/>
              <w:spacing w:after="0"/>
              <w:rPr>
                <w:sz w:val="20"/>
                <w:szCs w:val="20"/>
                <w:color w:val="auto"/>
              </w:rPr>
            </w:pPr>
            <w:r>
              <w:rPr>
                <w:rFonts w:ascii="Arial" w:cs="Arial" w:eastAsia="Arial" w:hAnsi="Arial"/>
                <w:sz w:val="18"/>
                <w:szCs w:val="18"/>
                <w:b w:val="1"/>
                <w:bCs w:val="1"/>
                <w:color w:val="auto"/>
              </w:rPr>
              <w:t>UNIVERSAL ELECTRONICS INC.</w:t>
            </w:r>
          </w:p>
        </w:tc>
      </w:tr>
      <w:tr>
        <w:trPr>
          <w:trHeight w:val="283"/>
        </w:trPr>
        <w:tc>
          <w:tcPr>
            <w:tcW w:w="3520" w:type="dxa"/>
            <w:vAlign w:val="bottom"/>
          </w:tcPr>
          <w:p>
            <w:pPr>
              <w:spacing w:after="0"/>
              <w:rPr>
                <w:sz w:val="24"/>
                <w:szCs w:val="24"/>
                <w:color w:val="auto"/>
              </w:rPr>
            </w:pPr>
          </w:p>
        </w:tc>
        <w:tc>
          <w:tcPr>
            <w:tcW w:w="2600" w:type="dxa"/>
            <w:vAlign w:val="bottom"/>
          </w:tcPr>
          <w:p>
            <w:pPr>
              <w:ind w:left="1880"/>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Bryan M. Hackworth</w:t>
            </w:r>
          </w:p>
        </w:tc>
      </w:tr>
      <w:tr>
        <w:trPr>
          <w:trHeight w:val="222"/>
        </w:trPr>
        <w:tc>
          <w:tcPr>
            <w:tcW w:w="35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Bryan M. Hackworth</w:t>
            </w:r>
          </w:p>
        </w:tc>
      </w:tr>
      <w:tr>
        <w:trPr>
          <w:trHeight w:val="230"/>
        </w:trPr>
        <w:tc>
          <w:tcPr>
            <w:tcW w:w="35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Chief Financial Officer (principal financial officer</w:t>
            </w:r>
          </w:p>
        </w:tc>
      </w:tr>
      <w:tr>
        <w:trPr>
          <w:trHeight w:val="230"/>
        </w:trPr>
        <w:tc>
          <w:tcPr>
            <w:tcW w:w="35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and 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18"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Paul D. Arling, certify that:</w:t>
      </w:r>
    </w:p>
    <w:p>
      <w:pPr>
        <w:spacing w:after="0" w:line="171"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171"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340" w:firstLine="154"/>
        <w:spacing w:after="0" w:line="263" w:lineRule="auto"/>
        <w:tabs>
          <w:tab w:leader="none" w:pos="719"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340" w:firstLine="154"/>
        <w:spacing w:after="0" w:line="263" w:lineRule="auto"/>
        <w:tabs>
          <w:tab w:leader="none" w:pos="735"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340" w:firstLine="154"/>
        <w:spacing w:after="0" w:line="308" w:lineRule="auto"/>
        <w:tabs>
          <w:tab w:leader="none" w:pos="746" w:val="left"/>
        </w:tabs>
        <w:numPr>
          <w:ilvl w:val="1"/>
          <w:numId w:val="1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340" w:firstLine="154"/>
        <w:spacing w:after="0" w:line="342" w:lineRule="auto"/>
        <w:tabs>
          <w:tab w:leader="none" w:pos="715" w:val="left"/>
        </w:tabs>
        <w:numPr>
          <w:ilvl w:val="1"/>
          <w:numId w:val="1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35" w:lineRule="exact"/>
        <w:rPr>
          <w:rFonts w:ascii="Arial" w:cs="Arial" w:eastAsia="Arial" w:hAnsi="Arial"/>
          <w:sz w:val="18"/>
          <w:szCs w:val="18"/>
          <w:color w:val="auto"/>
        </w:rPr>
      </w:pPr>
    </w:p>
    <w:p>
      <w:pPr>
        <w:ind w:left="340" w:firstLine="154"/>
        <w:spacing w:after="0" w:line="277" w:lineRule="auto"/>
        <w:tabs>
          <w:tab w:leader="none" w:pos="714"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Arial" w:cs="Arial" w:eastAsia="Arial" w:hAnsi="Arial"/>
          <w:sz w:val="18"/>
          <w:szCs w:val="18"/>
          <w:color w:val="auto"/>
        </w:rPr>
      </w:pPr>
    </w:p>
    <w:p>
      <w:pPr>
        <w:ind w:left="340" w:right="20" w:firstLine="154"/>
        <w:spacing w:after="0" w:line="277" w:lineRule="auto"/>
        <w:tabs>
          <w:tab w:leader="none" w:pos="708"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May 6, 2021</w:t>
      </w:r>
    </w:p>
    <w:p>
      <w:pPr>
        <w:spacing w:after="0" w:line="34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229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Paul D. Arling</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and Chief Executive Officer</w:t>
      </w:r>
    </w:p>
    <w:p>
      <w:pPr>
        <w:ind w:left="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Bryan M. Hackworth, certify that:</w:t>
      </w:r>
    </w:p>
    <w:p>
      <w:pPr>
        <w:spacing w:after="0" w:line="171"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171"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left="340" w:firstLine="154"/>
        <w:spacing w:after="0" w:line="263" w:lineRule="auto"/>
        <w:tabs>
          <w:tab w:leader="none" w:pos="719"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jc w:val="both"/>
        <w:ind w:left="340" w:firstLine="154"/>
        <w:spacing w:after="0" w:line="263" w:lineRule="auto"/>
        <w:tabs>
          <w:tab w:leader="none" w:pos="735"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340" w:firstLine="154"/>
        <w:spacing w:after="0" w:line="308" w:lineRule="auto"/>
        <w:tabs>
          <w:tab w:leader="none" w:pos="746" w:val="left"/>
        </w:tabs>
        <w:numPr>
          <w:ilvl w:val="1"/>
          <w:numId w:val="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 w:lineRule="exact"/>
        <w:rPr>
          <w:rFonts w:ascii="Arial" w:cs="Arial" w:eastAsia="Arial" w:hAnsi="Arial"/>
          <w:sz w:val="17"/>
          <w:szCs w:val="17"/>
          <w:color w:val="auto"/>
        </w:rPr>
      </w:pPr>
    </w:p>
    <w:p>
      <w:pPr>
        <w:ind w:left="340" w:firstLine="154"/>
        <w:spacing w:after="0" w:line="334" w:lineRule="auto"/>
        <w:tabs>
          <w:tab w:leader="none" w:pos="715" w:val="left"/>
        </w:tabs>
        <w:numPr>
          <w:ilvl w:val="1"/>
          <w:numId w:val="1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ind w:left="34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48" w:lineRule="exact"/>
        <w:rPr>
          <w:rFonts w:ascii="Arial" w:cs="Arial" w:eastAsia="Arial" w:hAnsi="Arial"/>
          <w:sz w:val="18"/>
          <w:szCs w:val="18"/>
          <w:color w:val="auto"/>
        </w:rPr>
      </w:pPr>
    </w:p>
    <w:p>
      <w:pPr>
        <w:ind w:left="340" w:firstLine="154"/>
        <w:spacing w:after="0" w:line="277" w:lineRule="auto"/>
        <w:tabs>
          <w:tab w:leader="none" w:pos="714"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Arial" w:cs="Arial" w:eastAsia="Arial" w:hAnsi="Arial"/>
          <w:sz w:val="18"/>
          <w:szCs w:val="18"/>
          <w:color w:val="auto"/>
        </w:rPr>
      </w:pPr>
    </w:p>
    <w:p>
      <w:pPr>
        <w:ind w:left="340" w:right="20" w:firstLine="154"/>
        <w:spacing w:after="0" w:line="277" w:lineRule="auto"/>
        <w:tabs>
          <w:tab w:leader="none" w:pos="708"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May 6, 2021</w:t>
      </w:r>
    </w:p>
    <w:p>
      <w:pPr>
        <w:spacing w:after="0" w:line="34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229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Bryan M. Hackworth</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ind w:left="20"/>
        <w:spacing w:after="0" w:line="203" w:lineRule="auto"/>
        <w:rPr>
          <w:sz w:val="20"/>
          <w:szCs w:val="20"/>
          <w:color w:val="auto"/>
        </w:rPr>
      </w:pPr>
      <w:r>
        <w:rPr>
          <w:rFonts w:ascii="Arial" w:cs="Arial" w:eastAsia="Arial" w:hAnsi="Arial"/>
          <w:sz w:val="18"/>
          <w:szCs w:val="18"/>
          <w:color w:val="auto"/>
        </w:rPr>
        <w:t>(principal financial officer</w:t>
      </w:r>
    </w:p>
    <w:p>
      <w:pPr>
        <w:ind w:left="20"/>
        <w:spacing w:after="0"/>
        <w:rPr>
          <w:sz w:val="20"/>
          <w:szCs w:val="20"/>
          <w:color w:val="auto"/>
        </w:rPr>
      </w:pPr>
      <w:r>
        <w:rPr>
          <w:rFonts w:ascii="Arial" w:cs="Arial" w:eastAsia="Arial" w:hAnsi="Arial"/>
          <w:sz w:val="18"/>
          <w:szCs w:val="18"/>
          <w:color w:val="auto"/>
        </w:rPr>
        <w:t>and principal accounting officer)</w:t>
      </w:r>
    </w:p>
    <w:p>
      <w:pPr>
        <w:sectPr>
          <w:pgSz w:w="11900" w:h="16838" w:orient="portrait"/>
          <w:cols w:equalWidth="0" w:num="1">
            <w:col w:w="11240"/>
          </w:cols>
          <w:pgMar w:left="320" w:top="891"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18 U.S.C. Section 1350, as adopted pursuant to Section 906 of the Sarbanes-Oxley Act of 2002, each of the undersigned officers of Universal Electronics Inc. (the “Company”), hereby certifies that the (i) Company’s Form 10-Q for the fiscal quarter ended March 31, 2021 (the “Report”) fully complies with the requirements of Section 13(a) or 15(d), as applicable, of the Securities Exchange Act of 1934 and (ii)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Dated:   May 6, 2021</w:t>
            </w:r>
          </w:p>
        </w:tc>
        <w:tc>
          <w:tcPr>
            <w:tcW w:w="6280" w:type="dxa"/>
            <w:vAlign w:val="bottom"/>
            <w:gridSpan w:val="2"/>
          </w:tcPr>
          <w:p>
            <w:pPr>
              <w:ind w:left="31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Paul D. Arling</w:t>
            </w:r>
          </w:p>
        </w:tc>
      </w:tr>
      <w:tr>
        <w:trPr>
          <w:trHeight w:val="222"/>
        </w:trPr>
        <w:tc>
          <w:tcPr>
            <w:tcW w:w="476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28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Paul D. Arling</w:t>
            </w:r>
          </w:p>
        </w:tc>
      </w:tr>
      <w:tr>
        <w:trPr>
          <w:trHeight w:val="229"/>
        </w:trPr>
        <w:tc>
          <w:tcPr>
            <w:tcW w:w="476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0"/>
        </w:trPr>
        <w:tc>
          <w:tcPr>
            <w:tcW w:w="476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499"/>
        </w:trPr>
        <w:tc>
          <w:tcPr>
            <w:tcW w:w="4760" w:type="dxa"/>
            <w:vAlign w:val="bottom"/>
          </w:tcPr>
          <w:p>
            <w:pPr>
              <w:spacing w:after="0"/>
              <w:rPr>
                <w:sz w:val="24"/>
                <w:szCs w:val="24"/>
                <w:color w:val="auto"/>
              </w:rPr>
            </w:pPr>
          </w:p>
        </w:tc>
        <w:tc>
          <w:tcPr>
            <w:tcW w:w="6280" w:type="dxa"/>
            <w:vAlign w:val="bottom"/>
            <w:gridSpan w:val="2"/>
          </w:tcPr>
          <w:p>
            <w:pPr>
              <w:ind w:left="31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Bryan M. Hackworth</w:t>
            </w:r>
          </w:p>
        </w:tc>
      </w:tr>
      <w:tr>
        <w:trPr>
          <w:trHeight w:val="222"/>
        </w:trPr>
        <w:tc>
          <w:tcPr>
            <w:tcW w:w="476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28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Bryan M. Hackworth</w:t>
            </w:r>
          </w:p>
        </w:tc>
      </w:tr>
      <w:tr>
        <w:trPr>
          <w:trHeight w:val="229"/>
        </w:trPr>
        <w:tc>
          <w:tcPr>
            <w:tcW w:w="476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176"/>
        </w:trPr>
        <w:tc>
          <w:tcPr>
            <w:tcW w:w="476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2800" w:type="dxa"/>
            <w:vAlign w:val="bottom"/>
          </w:tcPr>
          <w:p>
            <w:pPr>
              <w:ind w:left="20"/>
              <w:spacing w:after="0" w:line="176" w:lineRule="exact"/>
              <w:rPr>
                <w:sz w:val="20"/>
                <w:szCs w:val="20"/>
                <w:color w:val="auto"/>
              </w:rPr>
            </w:pPr>
            <w:r>
              <w:rPr>
                <w:rFonts w:ascii="Arial" w:cs="Arial" w:eastAsia="Arial" w:hAnsi="Arial"/>
                <w:sz w:val="18"/>
                <w:szCs w:val="18"/>
                <w:color w:val="auto"/>
              </w:rPr>
              <w:t>(principal financial officer and</w:t>
            </w:r>
          </w:p>
        </w:tc>
      </w:tr>
      <w:tr>
        <w:trPr>
          <w:trHeight w:val="230"/>
        </w:trPr>
        <w:tc>
          <w:tcPr>
            <w:tcW w:w="476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bl>
    <w:p>
      <w:pPr>
        <w:spacing w:after="0" w:line="20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has been provided to Universal Electronics Inc. and will be retained by it and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1"/>
      <w:numFmt w:val="decimal"/>
      <w:start w:val="32"/>
    </w:lvl>
  </w:abstractNum>
  <w:abstractNum w:abstractNumId="16">
    <w:nsid w:val="431BD7B7"/>
    <w:multiLevelType w:val="hybridMultilevel"/>
    <w:lvl w:ilvl="0">
      <w:lvlJc w:val="left"/>
      <w:lvlText w:val="%1"/>
      <w:numFmt w:val="decimal"/>
      <w:start w:val="104"/>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2021-05-07T05:41:07Z</dcterms:created>
  <dcterms:modified xsi:type="dcterms:W3CDTF">2021-05-07T05:41:07Z</dcterms:modified>
</cp:coreProperties>
</file>