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For the quarterly period ended March 31, 2015</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84"/>
        </w:trPr>
        <w:tc>
          <w:tcPr>
            <w:tcW w:w="2780" w:type="dxa"/>
            <w:vAlign w:val="bottom"/>
          </w:tcPr>
          <w:p>
            <w:pPr>
              <w:spacing w:after="0"/>
              <w:rPr>
                <w:sz w:val="24"/>
                <w:szCs w:val="24"/>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48"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17"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560" w:space="720"/>
            <w:col w:w="1880" w:space="720"/>
            <w:col w:w="340"/>
          </w:cols>
          <w:pgMar w:left="240" w:top="517"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560" w:space="640"/>
            <w:col w:w="180" w:space="80"/>
            <w:col w:w="5300" w:space="720"/>
            <w:col w:w="1960" w:space="640"/>
            <w:col w:w="340"/>
          </w:cols>
          <w:pgMar w:left="240" w:top="517"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7440" w:space="160"/>
            <w:col w:w="260" w:space="100"/>
            <w:col w:w="160" w:space="180"/>
            <w:col w:w="220" w:space="80"/>
            <w:col w:w="2820"/>
          </w:cols>
          <w:pgMar w:left="240" w:top="517" w:right="239" w:bottom="1440"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15,864,518 shares of Common Stock, par value $0.01 per share, of the registrant were outstanding on May 5, 2015.</w:t>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20</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394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00"/>
          </w:cols>
          <w:pgMar w:left="280" w:top="364"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share-related data)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tabs>
          <w:tab w:leader="none" w:pos="790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Inventories, net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receivable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720"/>
        <w:spacing w:after="0"/>
        <w:tabs>
          <w:tab w:leader="none" w:pos="790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Line of credit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sales discounts, rebates and royalties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long-term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p>
      <w:pPr>
        <w:spacing w:after="0" w:line="86" w:lineRule="exact"/>
        <w:rPr>
          <w:sz w:val="20"/>
          <w:szCs w:val="20"/>
          <w:color w:val="auto"/>
        </w:rPr>
      </w:pPr>
    </w:p>
    <w:p>
      <w:pPr>
        <w:ind w:left="380" w:right="140"/>
        <w:spacing w:after="0" w:line="293" w:lineRule="auto"/>
        <w:rPr>
          <w:sz w:val="20"/>
          <w:szCs w:val="20"/>
          <w:color w:val="auto"/>
        </w:rPr>
      </w:pPr>
      <w:r>
        <w:rPr>
          <w:rFonts w:ascii="Arial" w:cs="Arial" w:eastAsia="Arial" w:hAnsi="Arial"/>
          <w:sz w:val="16"/>
          <w:szCs w:val="16"/>
          <w:color w:val="auto"/>
        </w:rPr>
        <w:t>Common stock, $0.01 par value, 50,000,000 shares authorized; 22,992,947 and 22,909,884 shares issued on March 31, 2015 and December 31,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Paid-in capital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36" w:lineRule="exact"/>
        <w:rPr>
          <w:sz w:val="20"/>
          <w:szCs w:val="20"/>
          <w:color w:val="auto"/>
        </w:rPr>
      </w:pPr>
    </w:p>
    <w:p>
      <w:pPr>
        <w:ind w:left="380" w:right="2800"/>
        <w:spacing w:after="0" w:line="288" w:lineRule="auto"/>
        <w:rPr>
          <w:sz w:val="20"/>
          <w:szCs w:val="20"/>
          <w:color w:val="auto"/>
        </w:rPr>
      </w:pPr>
      <w:r>
        <w:rPr>
          <w:rFonts w:ascii="Arial" w:cs="Arial" w:eastAsia="Arial" w:hAnsi="Arial"/>
          <w:sz w:val="16"/>
          <w:szCs w:val="16"/>
          <w:color w:val="auto"/>
        </w:rPr>
        <w:t>Less cost of common stock in treasury, 7,077,935 and 7,008,475 shares on March 31, 2015 and December 31, 2014, respectively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tabs>
          <w:tab w:leader="none" w:pos="1700" w:val="left"/>
        </w:tabs>
        <w:rPr>
          <w:sz w:val="20"/>
          <w:szCs w:val="20"/>
          <w:color w:val="auto"/>
        </w:rPr>
      </w:pPr>
      <w:r>
        <w:rPr>
          <w:rFonts w:ascii="Arial" w:cs="Arial" w:eastAsia="Arial" w:hAnsi="Arial"/>
          <w:sz w:val="14"/>
          <w:szCs w:val="14"/>
          <w:b w:val="1"/>
          <w:bCs w:val="1"/>
          <w:color w:val="auto"/>
        </w:rPr>
        <w:t>March 31, 2015</w:t>
      </w:r>
      <w:r>
        <w:rPr>
          <w:sz w:val="20"/>
          <w:szCs w:val="20"/>
          <w:color w:val="auto"/>
        </w:rPr>
        <w:tab/>
      </w:r>
      <w:r>
        <w:rPr>
          <w:rFonts w:ascii="Arial" w:cs="Arial" w:eastAsia="Arial" w:hAnsi="Arial"/>
          <w:sz w:val="12"/>
          <w:szCs w:val="12"/>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640" w:type="dxa"/>
        <w:tblCellMar>
          <w:top w:w="0" w:type="dxa"/>
          <w:left w:w="0" w:type="dxa"/>
          <w:bottom w:w="0" w:type="dxa"/>
          <w:right w:w="0" w:type="dxa"/>
        </w:tblCellMar>
      </w:tblPr>
      <w:tr>
        <w:trPr>
          <w:trHeight w:val="206"/>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97,102</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112,521</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93,808</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97,989</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100,181</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97,474</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5,817</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6,856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69</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5,203</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5,048</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302,180</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319,965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79,149</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76,135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30,525</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30,739</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24,225</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24,614</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6,802</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6,146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5,682</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5,471</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448,563</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463,070</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8"/>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64,201</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69,991</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34,219</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40,656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6,770</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8,097</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3,446</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4,263</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12,406</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13,358</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121,042</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136,365</w:t>
            </w:r>
          </w:p>
        </w:tc>
      </w:tr>
      <w:tr>
        <w:trPr>
          <w:trHeight w:val="54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8,474</w:t>
            </w: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8,456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566</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2,044</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2,062</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132,126</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147,449</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757"/>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230</w:t>
            </w: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229</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218,615</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214,710</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(8,704)</w:t>
            </w: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(4,446)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231,255</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226,066</w:t>
            </w:r>
          </w:p>
        </w:tc>
      </w:tr>
      <w:tr>
        <w:trPr>
          <w:trHeight w:val="33"/>
        </w:trPr>
        <w:tc>
          <w:tcPr>
            <w:tcW w:w="8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441,396</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436,559</w:t>
            </w:r>
          </w:p>
        </w:tc>
      </w:tr>
      <w:tr>
        <w:trPr>
          <w:trHeight w:val="459"/>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(124,959)</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(120,938)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-441325</wp:posOffset>
            </wp:positionV>
            <wp:extent cx="10979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-1933575</wp:posOffset>
            </wp:positionV>
            <wp:extent cx="10979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-4343400</wp:posOffset>
            </wp:positionV>
            <wp:extent cx="10979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8000" w:space="280"/>
            <w:col w:w="314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7900" w:type="dxa"/>
            <w:vAlign w:val="bottom"/>
          </w:tcPr>
          <w:p>
            <w:pPr>
              <w:ind w:left="1140"/>
              <w:spacing w:after="0"/>
              <w:rPr>
                <w:sz w:val="20"/>
                <w:szCs w:val="20"/>
                <w:color w:val="auto"/>
              </w:rPr>
            </w:pPr>
            <w:r>
              <w:rPr>
                <w:rFonts w:ascii="Arial" w:cs="Arial" w:eastAsia="Arial" w:hAnsi="Arial"/>
                <w:sz w:val="16"/>
                <w:szCs w:val="16"/>
                <w:color w:val="auto"/>
              </w:rPr>
              <w:t>Total stockholders' equity</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316,437</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315,621</w:t>
            </w:r>
          </w:p>
        </w:tc>
      </w:tr>
      <w:tr>
        <w:trPr>
          <w:trHeight w:val="33"/>
        </w:trPr>
        <w:tc>
          <w:tcPr>
            <w:tcW w:w="79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 and stockholders' equity</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448,563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463,070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See Note 4 for further information concerning our purchases from a related party vendor.</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132,705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129,845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95,296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93,299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37,409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26,872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6,103</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10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15,907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16,243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2,162</w:t>
            </w:r>
          </w:p>
        </w:tc>
      </w:tr>
      <w:tr>
        <w:trPr>
          <w:trHeight w:val="27"/>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for)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4,273</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Adjustments to reconcile net income to net cash provided by (used for)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4,260</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Provision for inventory write-downs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596</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731</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Excess tax benefit from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Shares issued for employee benefit plan</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347</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w:t>
            </w:r>
          </w:p>
        </w:tc>
      </w:tr>
      <w:tr>
        <w:trPr>
          <w:trHeight w:val="243"/>
        </w:trPr>
        <w:tc>
          <w:tcPr>
            <w:tcW w:w="810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9,967</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4,756</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(10,489)</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Accrued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r>
      <w:tr>
        <w:trPr>
          <w:trHeight w:val="237"/>
        </w:trPr>
        <w:tc>
          <w:tcPr>
            <w:tcW w:w="8100" w:type="dxa"/>
            <w:vAlign w:val="bottom"/>
          </w:tcPr>
          <w:p>
            <w:pPr>
              <w:ind w:left="700"/>
              <w:spacing w:after="0"/>
              <w:rPr>
                <w:sz w:val="20"/>
                <w:szCs w:val="20"/>
                <w:color w:val="auto"/>
              </w:rPr>
            </w:pPr>
            <w:r>
              <w:rPr>
                <w:rFonts w:ascii="Arial" w:cs="Arial" w:eastAsia="Arial" w:hAnsi="Arial"/>
                <w:sz w:val="18"/>
                <w:szCs w:val="18"/>
                <w:color w:val="auto"/>
              </w:rPr>
              <w:t>Net cash provided by (used for) operating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13,906</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for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Acquisition of property, plant, and equipment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(2,396)</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7"/>
        </w:trPr>
        <w:tc>
          <w:tcPr>
            <w:tcW w:w="8100" w:type="dxa"/>
            <w:vAlign w:val="bottom"/>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(2,600)</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Proceeds from stock options exercised</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3,272</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purchased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723</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provided by (used for)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3,590</w:t>
            </w: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112,521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76,174</w:t>
            </w:r>
          </w:p>
        </w:tc>
      </w:tr>
      <w:tr>
        <w:trPr>
          <w:trHeight w:val="27"/>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97,102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90,400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1,601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months ended March 31, 2015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and notes thereto included in Items 1A, 7, 7A, and 8, respectively, of our Annual Report on Form 10-K for the year ended December 31,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of impairment of long-lived assets, intangible assets and goodwill, income taxes and stock-based compensation expense. Actual results may differ from these estimates and assumptions, and they may be adjusted as more information becomes available. Any adjustment may be material.</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2014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Early adoption is not permitted. We have not yet selected a transition method and are evaluating the impact that this new standard will have on our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4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CCEEFF"/>
            </w:tcBorders>
            <w:vMerge w:val="continue"/>
          </w:tcPr>
          <w:p>
            <w:pPr>
              <w:spacing w:after="0"/>
              <w:rPr>
                <w:sz w:val="16"/>
                <w:szCs w:val="16"/>
                <w:color w:val="auto"/>
              </w:rPr>
            </w:pPr>
          </w:p>
        </w:tc>
        <w:tc>
          <w:tcPr>
            <w:tcW w:w="3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43,546</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Asia</w:t>
            </w:r>
          </w:p>
        </w:tc>
        <w:tc>
          <w:tcPr>
            <w:tcW w:w="3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63,540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50,799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12,912</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South America</w:t>
            </w:r>
          </w:p>
        </w:tc>
        <w:tc>
          <w:tcPr>
            <w:tcW w:w="3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w:t>
            </w:r>
          </w:p>
        </w:tc>
        <w:tc>
          <w:tcPr>
            <w:tcW w:w="4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97,102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112,521</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4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84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88,959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91,605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Net trade receivables</w:t>
            </w: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87,821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90,372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5,987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93,808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97,989</w:t>
            </w:r>
          </w:p>
        </w:tc>
        <w:tc>
          <w:tcPr>
            <w:tcW w:w="0" w:type="dxa"/>
            <w:vAlign w:val="bottom"/>
          </w:tcPr>
          <w:p>
            <w:pPr>
              <w:spacing w:after="0"/>
              <w:rPr>
                <w:sz w:val="1"/>
                <w:szCs w:val="1"/>
                <w:color w:val="auto"/>
              </w:rPr>
            </w:pPr>
          </w:p>
        </w:tc>
      </w:tr>
      <w:tr>
        <w:trPr>
          <w:trHeight w:val="27"/>
        </w:trPr>
        <w:tc>
          <w:tcPr>
            <w:tcW w:w="7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gridSpan w:val="2"/>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Additions to costs and expenses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(Write-offs)/FX effects</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March 31, 2015 and December 31, 2014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$0.3 million and $0.4 million on March 31, 2015 and December 31, 2014, respectively. The value of these returned goods was included in our inventory balance at March 31, 2015 and December 31,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Three Months Ended March 31,</w:t>
            </w:r>
          </w:p>
        </w:tc>
        <w:tc>
          <w:tcPr>
            <w:tcW w:w="154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1540" w:type="dxa"/>
            <w:vAlign w:val="bottom"/>
            <w:tcBorders>
              <w:bottom w:val="single" w:sz="8" w:color="auto"/>
            </w:tcBorders>
          </w:tcPr>
          <w:p>
            <w:pPr>
              <w:spacing w:after="0"/>
              <w:rPr>
                <w:sz w:val="22"/>
                <w:szCs w:val="22"/>
                <w:color w:val="auto"/>
              </w:rPr>
            </w:pPr>
          </w:p>
        </w:tc>
      </w:tr>
      <w:tr>
        <w:trPr>
          <w:trHeight w:val="264"/>
        </w:trPr>
        <w:tc>
          <w:tcPr>
            <w:tcW w:w="4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 (thousands)</w:t>
            </w: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 Sales</w:t>
            </w:r>
          </w:p>
        </w:tc>
        <w:tc>
          <w:tcPr>
            <w:tcW w:w="180" w:type="dxa"/>
            <w:vAlign w:val="bottom"/>
          </w:tcPr>
          <w:p>
            <w:pPr>
              <w:spacing w:after="0"/>
              <w:rPr>
                <w:sz w:val="22"/>
                <w:szCs w:val="22"/>
                <w:color w:val="auto"/>
              </w:rPr>
            </w:pPr>
          </w:p>
        </w:tc>
        <w:tc>
          <w:tcPr>
            <w:tcW w:w="15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1"/>
              </w:rPr>
              <w:t>$ (thousands)</w:t>
            </w:r>
          </w:p>
        </w:tc>
        <w:tc>
          <w:tcPr>
            <w:tcW w:w="1540" w:type="dxa"/>
            <w:vAlign w:val="bottom"/>
          </w:tcPr>
          <w:p>
            <w:pPr>
              <w:jc w:val="right"/>
              <w:ind w:right="465"/>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17,365</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13.1%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14,716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ind w:right="305"/>
              <w:spacing w:after="0"/>
              <w:rPr>
                <w:sz w:val="20"/>
                <w:szCs w:val="20"/>
                <w:color w:val="auto"/>
              </w:rPr>
            </w:pPr>
            <w:r>
              <w:rPr>
                <w:rFonts w:ascii="Arial" w:cs="Arial" w:eastAsia="Arial" w:hAnsi="Arial"/>
                <w:sz w:val="18"/>
                <w:szCs w:val="18"/>
                <w:color w:val="auto"/>
              </w:rPr>
              <w:t>11.3%</w:t>
            </w:r>
          </w:p>
        </w:tc>
      </w:tr>
      <w:tr>
        <w:trPr>
          <w:trHeight w:val="374"/>
        </w:trPr>
        <w:tc>
          <w:tcPr>
            <w:tcW w:w="4920" w:type="dxa"/>
            <w:vAlign w:val="bottom"/>
          </w:tcPr>
          <w:p>
            <w:pPr>
              <w:ind w:left="40"/>
              <w:spacing w:after="0"/>
              <w:rPr>
                <w:sz w:val="20"/>
                <w:szCs w:val="20"/>
                <w:color w:val="auto"/>
              </w:rPr>
            </w:pPr>
            <w:r>
              <w:rPr>
                <w:rFonts w:ascii="Arial" w:cs="Arial" w:eastAsia="Arial" w:hAnsi="Arial"/>
                <w:sz w:val="18"/>
                <w:szCs w:val="18"/>
                <w:color w:val="auto"/>
              </w:rPr>
              <w:t>Comcast Corporation</w:t>
            </w:r>
          </w:p>
        </w:tc>
        <w:tc>
          <w:tcPr>
            <w:tcW w:w="16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15,577</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720"/>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right"/>
              <w:ind w:right="280"/>
              <w:spacing w:after="0" w:line="373" w:lineRule="exact"/>
              <w:rPr>
                <w:sz w:val="20"/>
                <w:szCs w:val="20"/>
                <w:color w:val="auto"/>
              </w:rPr>
            </w:pPr>
            <w:r>
              <w:rPr>
                <w:rFonts w:ascii="Arial" w:cs="Arial" w:eastAsia="Arial" w:hAnsi="Arial"/>
                <w:sz w:val="36"/>
                <w:szCs w:val="36"/>
                <w:color w:val="auto"/>
                <w:vertAlign w:val="subscript"/>
              </w:rPr>
              <w:t>—</w:t>
            </w:r>
            <w:r>
              <w:rPr>
                <w:rFonts w:ascii="Arial" w:cs="Arial" w:eastAsia="Arial" w:hAnsi="Arial"/>
                <w:sz w:val="13"/>
                <w:szCs w:val="13"/>
                <w:color w:val="auto"/>
              </w:rPr>
              <w:t xml:space="preserve">  (1)</w:t>
            </w:r>
          </w:p>
        </w:tc>
        <w:tc>
          <w:tcPr>
            <w:tcW w:w="1540" w:type="dxa"/>
            <w:vAlign w:val="bottom"/>
          </w:tcPr>
          <w:p>
            <w:pPr>
              <w:jc w:val="right"/>
              <w:ind w:right="85"/>
              <w:spacing w:after="0" w:line="373" w:lineRule="exact"/>
              <w:rPr>
                <w:sz w:val="20"/>
                <w:szCs w:val="20"/>
                <w:color w:val="auto"/>
              </w:rPr>
            </w:pPr>
            <w:r>
              <w:rPr>
                <w:rFonts w:ascii="Arial" w:cs="Arial" w:eastAsia="Arial" w:hAnsi="Arial"/>
                <w:sz w:val="36"/>
                <w:szCs w:val="36"/>
                <w:color w:val="auto"/>
                <w:vertAlign w:val="subscript"/>
              </w:rPr>
              <w:t>—</w:t>
            </w:r>
            <w:r>
              <w:rPr>
                <w:rFonts w:ascii="Arial" w:cs="Arial" w:eastAsia="Arial" w:hAnsi="Arial"/>
                <w:sz w:val="13"/>
                <w:szCs w:val="13"/>
                <w:color w:val="auto"/>
              </w:rPr>
              <w:t xml:space="preserve">   (1)</w:t>
            </w:r>
          </w:p>
        </w:tc>
      </w:tr>
    </w:tbl>
    <w:p>
      <w:pPr>
        <w:ind w:left="660" w:hanging="328"/>
        <w:spacing w:after="0" w:line="183"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Net sales to this customer did not total more than 10% of our total net sales in the prior period.</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Trade receivables associated with Comcast Corporation accounted for $10.6 million, or 11.3%, of our accounts receivable, net at March 31, 2015. We had no other customers with trade receivables greater than 10% of our accounts receivable, net at March 31, 2015 or December 31, 2014.</w:t>
      </w:r>
    </w:p>
    <w:p>
      <w:pPr>
        <w:spacing w:after="0" w:line="10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loss of these customers or any other customer, either in the United States or abroad, due to their financial weakness or bankruptcy, or our inability to obtain orders or maintain our order volume with them, may have a material adverse effect on our financial condition, results of operations and cash flows.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Pr>
          <w:p>
            <w:pPr>
              <w:spacing w:after="0"/>
              <w:rPr>
                <w:sz w:val="16"/>
                <w:szCs w:val="16"/>
                <w:color w:val="auto"/>
              </w:rPr>
            </w:pPr>
          </w:p>
        </w:tc>
        <w:tc>
          <w:tcPr>
            <w:tcW w:w="1440" w:type="dxa"/>
            <w:vAlign w:val="bottom"/>
          </w:tcPr>
          <w:p>
            <w:pPr>
              <w:jc w:val="right"/>
              <w:ind w:right="33"/>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24,763</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2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14,839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53,699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56,458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100,181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97,474</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Write-offs/FX effects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$95 thousand and $45 thousand for the three months ended March 31, 2015 and 2014, respectively. These amounts are production waste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reversal of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We had purchases from the following significant suppliers that totaled more than 10% of our total inventory purchases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1344"/>
              <w:spacing w:after="0"/>
              <w:rPr>
                <w:sz w:val="20"/>
                <w:szCs w:val="20"/>
                <w:color w:val="auto"/>
              </w:rPr>
            </w:pPr>
            <w:r>
              <w:rPr>
                <w:rFonts w:ascii="Arial" w:cs="Arial" w:eastAsia="Arial" w:hAnsi="Arial"/>
                <w:sz w:val="14"/>
                <w:szCs w:val="14"/>
                <w:b w:val="1"/>
                <w:bCs w:val="1"/>
                <w:color w:val="auto"/>
                <w:w w:val="83"/>
              </w:rPr>
              <w:t>2015</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2"/>
          </w:tcPr>
          <w:p>
            <w:pPr>
              <w:jc w:val="right"/>
              <w:ind w:right="1671"/>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right"/>
              <w:ind w:right="384"/>
              <w:spacing w:after="0" w:line="153" w:lineRule="exact"/>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ind w:left="440"/>
              <w:spacing w:after="0" w:line="153"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auto"/>
                <w:w w:val="93"/>
              </w:rPr>
              <w:t>$ (thousands)</w:t>
            </w: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ind w:right="404"/>
              <w:spacing w:after="0" w:line="149" w:lineRule="exact"/>
              <w:rPr>
                <w:sz w:val="20"/>
                <w:szCs w:val="20"/>
                <w:color w:val="auto"/>
              </w:rPr>
            </w:pPr>
            <w:r>
              <w:rPr>
                <w:rFonts w:ascii="Arial" w:cs="Arial" w:eastAsia="Arial" w:hAnsi="Arial"/>
                <w:sz w:val="14"/>
                <w:szCs w:val="14"/>
                <w:b w:val="1"/>
                <w:bCs w:val="1"/>
                <w:color w:val="auto"/>
              </w:rPr>
              <w:t>Inventory</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w w:val="93"/>
              </w:rPr>
              <w:t>$ (thousands)</w:t>
            </w: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Inventory</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Purchases</w:t>
            </w:r>
          </w:p>
        </w:tc>
        <w:tc>
          <w:tcPr>
            <w:tcW w:w="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Purchases</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Victory Chemical Co., Ltd.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8,230</w:t>
            </w:r>
          </w:p>
        </w:tc>
        <w:tc>
          <w:tcPr>
            <w:tcW w:w="1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60" w:type="dxa"/>
            <w:vAlign w:val="bottom"/>
            <w:shd w:val="clear" w:color="auto" w:fill="CCEEFF"/>
          </w:tcPr>
          <w:p>
            <w:pPr>
              <w:spacing w:after="0"/>
              <w:rPr>
                <w:sz w:val="23"/>
                <w:szCs w:val="23"/>
                <w:color w:val="auto"/>
              </w:rPr>
            </w:pPr>
          </w:p>
        </w:tc>
        <w:tc>
          <w:tcPr>
            <w:tcW w:w="1880" w:type="dxa"/>
            <w:vAlign w:val="bottom"/>
            <w:shd w:val="clear" w:color="auto" w:fill="CCEEFF"/>
          </w:tcPr>
          <w:p>
            <w:pPr>
              <w:ind w:left="11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0" w:type="dxa"/>
            <w:vAlign w:val="bottom"/>
          </w:tcPr>
          <w:p>
            <w:pPr>
              <w:spacing w:after="0"/>
              <w:rPr>
                <w:sz w:val="1"/>
                <w:szCs w:val="1"/>
                <w:color w:val="auto"/>
              </w:rPr>
            </w:pPr>
          </w:p>
        </w:tc>
      </w:tr>
      <w:tr>
        <w:trPr>
          <w:trHeight w:val="374"/>
        </w:trPr>
        <w:tc>
          <w:tcPr>
            <w:tcW w:w="4480" w:type="dxa"/>
            <w:vAlign w:val="bottom"/>
          </w:tcPr>
          <w:p>
            <w:pPr>
              <w:ind w:left="40"/>
              <w:spacing w:after="0"/>
              <w:rPr>
                <w:sz w:val="20"/>
                <w:szCs w:val="20"/>
                <w:color w:val="auto"/>
              </w:rPr>
            </w:pPr>
            <w:r>
              <w:rPr>
                <w:rFonts w:ascii="Arial" w:cs="Arial" w:eastAsia="Arial" w:hAnsi="Arial"/>
                <w:sz w:val="18"/>
                <w:szCs w:val="18"/>
                <w:color w:val="auto"/>
              </w:rPr>
              <w:t>Maxim Integrated Products International Limited</w:t>
            </w:r>
          </w:p>
        </w:tc>
        <w:tc>
          <w:tcPr>
            <w:tcW w:w="160" w:type="dxa"/>
            <w:vAlign w:val="bottom"/>
          </w:tcPr>
          <w:p>
            <w:pPr>
              <w:spacing w:after="0"/>
              <w:rPr>
                <w:sz w:val="24"/>
                <w:szCs w:val="24"/>
                <w:color w:val="auto"/>
              </w:rPr>
            </w:pPr>
          </w:p>
        </w:tc>
        <w:tc>
          <w:tcPr>
            <w:tcW w:w="1280" w:type="dxa"/>
            <w:vAlign w:val="bottom"/>
            <w:gridSpan w:val="2"/>
          </w:tcPr>
          <w:p>
            <w:pPr>
              <w:ind w:left="800"/>
              <w:spacing w:after="0" w:line="373" w:lineRule="exact"/>
              <w:rPr>
                <w:sz w:val="20"/>
                <w:szCs w:val="20"/>
                <w:color w:val="auto"/>
              </w:rPr>
            </w:pPr>
            <w:r>
              <w:rPr>
                <w:rFonts w:ascii="Arial" w:cs="Arial" w:eastAsia="Arial" w:hAnsi="Arial"/>
                <w:sz w:val="36"/>
                <w:szCs w:val="36"/>
                <w:color w:val="auto"/>
                <w:w w:val="97"/>
                <w:vertAlign w:val="subscript"/>
              </w:rPr>
              <w:t>—</w:t>
            </w:r>
            <w:r>
              <w:rPr>
                <w:rFonts w:ascii="Arial" w:cs="Arial" w:eastAsia="Arial" w:hAnsi="Arial"/>
                <w:sz w:val="13"/>
                <w:szCs w:val="13"/>
                <w:color w:val="auto"/>
                <w:w w:val="97"/>
              </w:rPr>
              <w:t xml:space="preserve">  (1)</w:t>
            </w:r>
          </w:p>
        </w:tc>
        <w:tc>
          <w:tcPr>
            <w:tcW w:w="160" w:type="dxa"/>
            <w:vAlign w:val="bottom"/>
          </w:tcPr>
          <w:p>
            <w:pPr>
              <w:spacing w:after="0"/>
              <w:rPr>
                <w:sz w:val="24"/>
                <w:szCs w:val="24"/>
                <w:color w:val="auto"/>
              </w:rPr>
            </w:pPr>
          </w:p>
        </w:tc>
        <w:tc>
          <w:tcPr>
            <w:tcW w:w="1540" w:type="dxa"/>
            <w:vAlign w:val="bottom"/>
          </w:tcPr>
          <w:p>
            <w:pPr>
              <w:jc w:val="right"/>
              <w:ind w:right="12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83"/>
              <w:spacing w:after="0"/>
              <w:rPr>
                <w:sz w:val="20"/>
                <w:szCs w:val="20"/>
                <w:color w:val="auto"/>
              </w:rPr>
            </w:pPr>
            <w:r>
              <w:rPr>
                <w:rFonts w:ascii="Arial" w:cs="Arial" w:eastAsia="Arial" w:hAnsi="Arial"/>
                <w:sz w:val="13"/>
                <w:szCs w:val="13"/>
                <w:color w:val="auto"/>
                <w:w w:val="87"/>
              </w:rPr>
              <w:t>(1)</w:t>
            </w:r>
          </w:p>
        </w:tc>
        <w:tc>
          <w:tcPr>
            <w:tcW w:w="180" w:type="dxa"/>
            <w:vAlign w:val="bottom"/>
          </w:tcPr>
          <w:p>
            <w:pPr>
              <w:spacing w:after="0"/>
              <w:rPr>
                <w:sz w:val="24"/>
                <w:szCs w:val="24"/>
                <w:color w:val="auto"/>
              </w:rPr>
            </w:pPr>
          </w:p>
        </w:tc>
        <w:tc>
          <w:tcPr>
            <w:tcW w:w="1080" w:type="dxa"/>
            <w:vAlign w:val="bottom"/>
          </w:tcPr>
          <w:p>
            <w:pPr>
              <w:jc w:val="right"/>
              <w:ind w:right="26"/>
              <w:spacing w:after="0"/>
              <w:rPr>
                <w:sz w:val="20"/>
                <w:szCs w:val="20"/>
                <w:color w:val="auto"/>
              </w:rPr>
            </w:pPr>
            <w:r>
              <w:rPr>
                <w:rFonts w:ascii="Arial" w:cs="Arial" w:eastAsia="Arial" w:hAnsi="Arial"/>
                <w:sz w:val="18"/>
                <w:szCs w:val="18"/>
                <w:color w:val="auto"/>
              </w:rPr>
              <w:t>8,054</w:t>
            </w:r>
          </w:p>
        </w:tc>
        <w:tc>
          <w:tcPr>
            <w:tcW w:w="180" w:type="dxa"/>
            <w:vAlign w:val="bottom"/>
          </w:tcPr>
          <w:p>
            <w:pPr>
              <w:spacing w:after="0"/>
              <w:rPr>
                <w:sz w:val="24"/>
                <w:szCs w:val="24"/>
                <w:color w:val="auto"/>
              </w:rPr>
            </w:pPr>
          </w:p>
        </w:tc>
        <w:tc>
          <w:tcPr>
            <w:tcW w:w="2040" w:type="dxa"/>
            <w:vAlign w:val="bottom"/>
            <w:gridSpan w:val="2"/>
          </w:tcPr>
          <w:p>
            <w:pPr>
              <w:jc w:val="right"/>
              <w:ind w:right="45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ind w:left="5660" w:right="3280" w:hanging="5328"/>
        <w:spacing w:after="0" w:line="955" w:lineRule="auto"/>
        <w:tabs>
          <w:tab w:leader="none" w:pos="647"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Purchases from this supplier did not total more than 10% of our total inventory purchases in this period. 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vendor. The vendor is considered a related party for financial reporting purposes because our Senior Vice President of Manufacturing owns 40% of this vendor. Inventory purchases from this vendor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rPr>
              <w:t>Three Months Ended March 31,</w:t>
            </w: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40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38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120" w:type="dxa"/>
            <w:vAlign w:val="bottom"/>
            <w:vMerge w:val="restart"/>
          </w:tcPr>
          <w:p>
            <w:pPr>
              <w:spacing w:after="0"/>
              <w:rPr>
                <w:sz w:val="13"/>
                <w:szCs w:val="13"/>
                <w:color w:val="auto"/>
              </w:rPr>
            </w:pPr>
          </w:p>
        </w:tc>
        <w:tc>
          <w:tcPr>
            <w:tcW w:w="214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8"/>
              </w:rPr>
              <w:t>% of Total</w:t>
            </w:r>
          </w:p>
        </w:tc>
        <w:tc>
          <w:tcPr>
            <w:tcW w:w="11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3"/>
              </w:rPr>
              <w:t>$ (thousands)</w:t>
            </w:r>
          </w:p>
        </w:tc>
        <w:tc>
          <w:tcPr>
            <w:tcW w:w="100" w:type="dxa"/>
            <w:vAlign w:val="bottom"/>
            <w:vMerge w:val="restart"/>
          </w:tcPr>
          <w:p>
            <w:pPr>
              <w:spacing w:after="0"/>
              <w:rPr>
                <w:sz w:val="13"/>
                <w:szCs w:val="13"/>
                <w:color w:val="auto"/>
              </w:rPr>
            </w:pPr>
          </w:p>
        </w:tc>
        <w:tc>
          <w:tcPr>
            <w:tcW w:w="1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Inventory Purchases</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2,094</w:t>
            </w:r>
          </w:p>
        </w:tc>
        <w:tc>
          <w:tcPr>
            <w:tcW w:w="120" w:type="dxa"/>
            <w:vAlign w:val="bottom"/>
            <w:shd w:val="clear" w:color="auto" w:fill="CCEEFF"/>
          </w:tcPr>
          <w:p>
            <w:pPr>
              <w:spacing w:after="0"/>
              <w:rPr>
                <w:sz w:val="21"/>
                <w:szCs w:val="21"/>
                <w:color w:val="auto"/>
              </w:rPr>
            </w:pPr>
          </w:p>
        </w:tc>
        <w:tc>
          <w:tcPr>
            <w:tcW w:w="2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  $</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Total accounts payable to this vendor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December 31, 2014</w:t>
            </w:r>
          </w:p>
        </w:tc>
      </w:tr>
      <w:tr>
        <w:trPr>
          <w:trHeight w:val="264"/>
        </w:trPr>
        <w:tc>
          <w:tcPr>
            <w:tcW w:w="50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 of Accounts Payable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of Accounts Payable</w:t>
            </w: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  $</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payable terms and pricing with this vendor are consistent with the terms offered by other vendors in the ordinary course of business. The accounting policies that we apply to our transactions with our related party vendor are consistent with those applied in transactions with independent third parties. Corporate management routinely monitors purchases from our related party vendor to ensure these purchases remain consistent with our business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Goodwill and 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380"/>
              <w:spacing w:after="0"/>
              <w:rPr>
                <w:sz w:val="20"/>
                <w:szCs w:val="20"/>
                <w:color w:val="auto"/>
              </w:rPr>
            </w:pPr>
            <w:r>
              <w:rPr>
                <w:rFonts w:ascii="Arial" w:cs="Arial" w:eastAsia="Arial" w:hAnsi="Arial"/>
                <w:sz w:val="18"/>
                <w:szCs w:val="18"/>
                <w:color w:val="auto"/>
              </w:rPr>
              <w:t>FX effects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00" w:type="dxa"/>
            <w:vAlign w:val="bottom"/>
            <w:gridSpan w:val="4"/>
          </w:tcPr>
          <w:p>
            <w:pPr>
              <w:spacing w:after="0"/>
              <w:rPr>
                <w:sz w:val="20"/>
                <w:szCs w:val="20"/>
                <w:color w:val="auto"/>
              </w:rPr>
            </w:pPr>
            <w:r>
              <w:rPr>
                <w:rFonts w:ascii="Arial" w:cs="Arial" w:eastAsia="Arial" w:hAnsi="Arial"/>
                <w:sz w:val="18"/>
                <w:szCs w:val="18"/>
                <w:color w:val="auto"/>
                <w:w w:val="97"/>
              </w:rPr>
              <w:t>The components of intangible assets, net were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2015</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2014</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10,471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10,107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26,406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14,847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26,406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42,643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$8.2 million and $7.9 million on March 31, 2015 and December 31, 2014, respectively.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right"/>
              <w:ind w:right="6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Estimated future amortization expense related to our intangible assets at March 31, 2015, is as follows: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(remaining 9 months)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24,225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9, 2014, we extended the term of our Amended and Restated Credit Agreement ("Amended Credit Agreement") with U.S. Bank National Association ("U.S. Bank") to November 1, 2017. The Amended Credit Agreement provides for a $55.0 million line of credit ("Credit Line") that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March 31, 2015.</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March 31, 2015, we were in compliance with the covenants and conditions of the Amended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income tax expense of $1.3 million and $1.4 million for the three months ended March 31, 2015 and 2014, respectively. Our effective tax rate was 19.5% and 24.0% during the three months ended March 31, 2015 and 2014, respectively. The decrease in our effective tax rate was primarily due to the recording of a $0.3 million tax refund during the three months ended March 31, 2015 related to certain deductible research and development expenses incurred in China during 2013.</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2015, we had gross unrecognized tax benefits of $3.7 million, including interest and penalties, of which $3.2 million would affect the annual effective tax rate if these tax benefits are realized. Further, we are unaware of any positions for which 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$0.5 million within the next twelve months. We have classified uncertain tax positions as non-current income tax liabilities unless expected to be paid within one year.</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and $0.2 million on March 31, 2015 and December 31, 2014, respectively, are included in our unrecognized tax benefits.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file income tax returns in the U.S. federal jurisdiction, and in various state and foreign jurisdictions. On March 31, 2015, the open statutes of limitations in our significant tax jurisdictions were as follows: federal 2011 through 2013, state 2010 through 2013, and foreign 2008 through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2014</w:t>
            </w:r>
          </w:p>
        </w:tc>
      </w:tr>
      <w:tr>
        <w:trPr>
          <w:trHeight w:val="270"/>
        </w:trPr>
        <w:tc>
          <w:tcPr>
            <w:tcW w:w="7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19,898</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19,941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7,073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6,114</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2,222</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8,492</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236</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1,854</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34,219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40,656</w:t>
            </w:r>
          </w:p>
        </w:tc>
      </w:tr>
      <w:tr>
        <w:trPr>
          <w:trHeight w:val="27"/>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March 31, 2015 and December 31, 2014.</w:t>
      </w:r>
    </w:p>
    <w:p>
      <w:pPr>
        <w:spacing w:after="0" w:line="96"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$0.3 million and $0.6 million at March 31, 2015 and December 31, 2014,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648</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Freight and handling fees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1,522</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Product warranty claim costs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353</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Sales taxes and VAT</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2,057</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commissions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1,089</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foreign currency exchange futures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275</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3,383</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13,358</w:t>
            </w:r>
          </w:p>
        </w:tc>
      </w:tr>
      <w:tr>
        <w:trPr>
          <w:trHeight w:val="27"/>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2014</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Accruals for warranties issued during the period</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21</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(in cash or in kind) during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 2012, we filed a lawsuit against Universal Remote Control, Inc. ("URC") in the United States District Court, Central District of California (Universal Electronics Inc. v. Universal Remote Control, Inc., SACV12-0039 AG (JPRx)) alleging that URC was infringing, directly and indirectly, four of our patents related to remote control technology. We alleged that this complaint related to multiple URC remote control products, including the URC model numbers UR5U-9000L, WR7 and other remote controls with different model names or numbers, but with substantially the same designs, features, and functionalities. We sought monetary relief for the infringement, including enhanced damages due to the willfulness of URC's actions, injunctive relief to enjoin URC from further infringing, including contributory infringement and/or inducing infringement, and attorney's fees. URC denied infringing our patents and asserted a variety of counterclaims and affirmative defenses including invalidity and unenforceability of our patents, misuse of patents, and a breach of contract action stemming from the settlement by us of an earlier lawsuit against URC. On January 29, 2013, the Court held its "Markman" hearing and on February 1, 2013, the Court issued its ruling that four of the 24 claims we asserted against URC were invalid, effectively removing one of the four patents alleged by us to be infringed by URC from this litigation. In March 2014, the Court further narrowed the scope of this litigation granting URC's motion for summary judgment with respect to certain issues that effectively removed two additional patents. In March 2014, the Court also granted our motion for summary judgment on certain of URC's defenses and counterclaims, including URC's counterclaim for</w:t>
      </w:r>
    </w:p>
    <w:p>
      <w:pPr>
        <w:sectPr>
          <w:pgSz w:w="11900" w:h="16838" w:orient="portrait"/>
          <w:cols w:equalWidth="0" w:num="1">
            <w:col w:w="11420"/>
          </w:cols>
          <w:pgMar w:left="240" w:top="118"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breach of contract. A trial was held from May 6, 2014 through May 20, 2014, and the jury returned a verdict that URC did not infringe on our remaining patent, and found for URC on patent validity and several equitable defenses in the lawsuit, although the jury's verdict on the equitable defenses was advisory in nature. A hearing on motions pertaining to the jury's verdict was held on August 18, 2014. On December 16, 2014, the Court entered its findings of fact and conclusions of law on the equitable issues and determined that our assertion of URC's infringement of one of the patents at issue was barred by laches, but not by equitable estoppel or patent misuse. Further, the Court determined that our right to seek relief was not barred by unclean hands and on January 27, 2015, final judgment was entered by the Court accepting the jury's verdict pertaining to invalidity, non-infringement, marking, and the equitable defense of laches and ordered us to pay URC's costs of litigation, exclusive of attorney's fees. The parties have filed briefs in support of and opposition to the amount of such costs and fees to be awarded. URC is seeking an award of its costs in excess of $0.2 million. We have vigorously opposed this request as unreasonably excessive. We are awaiting the Court's determination of the amount of the award and depending upon the Court's decision, we will decide whether to appeal the ruling or not. At this time, since URC's and our opinions are very far apart as to the amount of costs to which URC should be awarded, we cannot estimate the amount the Court may award. On January 22, 2015, URC filed a motion seeking to recover its attorneys' fees and expenses incurred in connection with its defense of this lawsuit. We opposed this motion. On March 10, 2015, after a hearing, the Court granted URC's motion for a portion of its attorneys' fees and expenses and the parties have filed briefs in support of and opposition to the amount of fees and expenses to be awarded. URC is seeking an award of attorneys' fees and expenses in excess of $5.7 million. We have vigorously opposed this request as unreasonably excessive. We are awaiting the Court's determination of the amount of the award and depending upon the Court's decision, we will decide whether to appeal the ruling or not. At this time, since URC's and our opinions are very far apart as to the amount of fees and expenses to which URC could be awarded and due to the lack of guiding judicial precedent, we cannot estimate the amount the Court may award and thus no accrual for potential loss has been recorded as of March 31, 2015. On February 26, 2015, URC filed its notice of appeal with respect to rulings against it pertaining to the issues of patent misuse, unclean hands, implied license and all adverse orders, decisions, and opinions rulings of the Court, which appeal we will vigorously defend against and on March 11, 2015, we filed our notice of appeal with respect to the final judgment entered against us on January 27, 2015, with respect to the Court's claim construction order entered on February 1, 2013 and from the order granted URC's motion for attorneys' fees. Finally, on April 8, 2015, URC filed its notice of appeal with respect to the Court's order granting its motion for attorneys' fees.</w:t>
      </w:r>
    </w:p>
    <w:p>
      <w:pPr>
        <w:spacing w:after="0" w:line="39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28, 2013, we filed a second lawsuit against URC, also in the United States District Court, Central District of California (Universal Electronics Inc. v. Universal Remote Control, Inc., SACV13-00987 JAK (SHx)). In this second lawsuit, we are alleging that URC is infringing, directly and indirectly, ten additional patents that we own related to remote control technology. As in the first lawsuit, in this second lawsuit we have alleged that this complaint relates to multiple URC remote control products. We are seeking monetary relief for infringement, including enhanced damages due to the willfulness of URC's actions, injunctive relief to enjoin URC from further infringing, including contributory infringement and/or inducing infringement, and attorney's fees. In mid-July 2013, URC filed a Notice of Related Cases seeking to join this lawsuit with the lawsuit we filed against URC on March 2, 2012 and we did not object to this Notice. Consequently, this lawsuit was transferred to the Judge and Magistrate hearing our first lawsuit filed against URC. In addition, URC answered this complaint with a denial of infringement, asserting affirmative defenses, and seeking a ruling that URC has not infringed our patents, that our patents are invalid and unenforceable, that the patents have been licensed to URC, and an award of attorneys' fees and costs. In mid-November 2013, we filed a motion to add affiliated URC suppliers, Ohsung Electronics Co, Ltd, a South Korean entity, and Ohsung Electronics USA, Inc., a California entity, (collectively "Ohsung"), to the lawsuit. In February 2014, Ohsung answered and counterclaimed with a general denial of wrongdoing and asserted the standard affirmative defenses of non-infringement, invalidity and unenforceability of our patents and breach of contract action stemming from the settlement by us of an earlier lawsuit against URC. In March 2014, we answered by disputing Ohsung's defenses and with a general denial of Ohsung's breach of contract complaint. In late June and early July of 2014, URC and Ohsung requested inter partes review ("IPR") with the US Patent and Trademark Office ("Patent Office" or "USPTO") for each of the ten patents pending in the second URC lawsuit. We intend to vigorously defend each patent before the Patent Office. During December 2014 and January 2015, the Patent Office issued its decisions on URC's petitions and accepted for review all claims at issue with respect to five of the patents, certain claims at issue with respect to two of the patents and denied in full the request to review the other three patents at issue.We are presently reviewing the Patent Office's decisions to determine our next steps which could include appealing the Patent Office's acceptance of some or all of the seven patents and/or defending the patents in front of the USPTO. While the Patent Office was considering the IPR requests, this second lawsuit was stayed by the Court. On March 5, 2015, the Court granted the parties Joint Stipulation agreeing that the stay continue while the Patent Office decides the IPRs, which decisions are not expected until January 2016.</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share data)</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2014</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69,460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11,112</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405</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 During the three months ended March 31, 2014, we issued 7,500 shares from treasury to outside directors for services performed (see Note 13).</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March 31, 2015, we had 998,195 shares available for repurchase under the Board's authorizations. On April 29, 2015, our Board increased these repurchase authorizations by 101,805 shares bringing the total authorization as of the approval date to 1,100,000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47,896</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4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31,020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31,518</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20,670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15,022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15,271</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9,025</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5,546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5,465</w:t>
            </w: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132,705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129,845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2014</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74,563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70,619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5,271</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84,831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81,606</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5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9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101</w:t>
            </w:r>
          </w:p>
        </w:tc>
      </w:tr>
      <w:tr>
        <w:trPr>
          <w:trHeight w:val="27"/>
        </w:trPr>
        <w:tc>
          <w:tcPr>
            <w:tcW w:w="43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1,358</w:t>
            </w:r>
          </w:p>
        </w:tc>
      </w:tr>
      <w:tr>
        <w:trPr>
          <w:trHeight w:val="27"/>
        </w:trPr>
        <w:tc>
          <w:tcPr>
            <w:tcW w:w="43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5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w:t>
            </w: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356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1,678</w:t>
            </w:r>
          </w:p>
        </w:tc>
      </w:tr>
      <w:tr>
        <w:trPr>
          <w:trHeight w:val="67"/>
        </w:trPr>
        <w:tc>
          <w:tcPr>
            <w:tcW w:w="4300" w:type="dxa"/>
            <w:vAlign w:val="bottom"/>
            <w:tcBorders>
              <w:bottom w:val="single" w:sz="8" w:color="CCEEFF"/>
            </w:tcBorders>
          </w:tcPr>
          <w:p>
            <w:pPr>
              <w:spacing w:after="0"/>
              <w:rPr>
                <w:sz w:val="5"/>
                <w:szCs w:val="5"/>
                <w:color w:val="auto"/>
              </w:rPr>
            </w:pPr>
          </w:p>
        </w:tc>
        <w:tc>
          <w:tcPr>
            <w:tcW w:w="35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78"/>
        </w:trPr>
        <w:tc>
          <w:tcPr>
            <w:tcW w:w="4300" w:type="dxa"/>
            <w:vAlign w:val="bottom"/>
            <w:shd w:val="clear" w:color="auto" w:fill="CCEEFF"/>
          </w:tcPr>
          <w:p>
            <w:pPr>
              <w:spacing w:after="0"/>
              <w:rPr>
                <w:sz w:val="24"/>
                <w:szCs w:val="24"/>
                <w:color w:val="auto"/>
              </w:rPr>
            </w:pPr>
          </w:p>
        </w:tc>
        <w:tc>
          <w:tcPr>
            <w:tcW w:w="3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9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490</w:t>
            </w:r>
          </w:p>
        </w:tc>
      </w:tr>
      <w:tr>
        <w:trPr>
          <w:trHeight w:val="702"/>
        </w:trPr>
        <w:tc>
          <w:tcPr>
            <w:tcW w:w="4300" w:type="dxa"/>
            <w:vAlign w:val="bottom"/>
          </w:tcPr>
          <w:p>
            <w:pPr>
              <w:spacing w:after="0"/>
              <w:rPr>
                <w:sz w:val="24"/>
                <w:szCs w:val="24"/>
                <w:color w:val="auto"/>
              </w:rPr>
            </w:pPr>
          </w:p>
        </w:tc>
        <w:tc>
          <w:tcPr>
            <w:tcW w:w="3560" w:type="dxa"/>
            <w:vAlign w:val="bottom"/>
          </w:tcPr>
          <w:p>
            <w:pPr>
              <w:jc w:val="right"/>
              <w:ind w:right="197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4"/>
                <w:szCs w:val="14"/>
                <w:color w:val="auto"/>
              </w:rPr>
            </w:pPr>
          </w:p>
        </w:tc>
        <w:tc>
          <w:tcPr>
            <w:tcW w:w="13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Number of Options</w:t>
            </w:r>
          </w:p>
        </w:tc>
        <w:tc>
          <w:tcPr>
            <w:tcW w:w="280" w:type="dxa"/>
            <w:vAlign w:val="bottom"/>
          </w:tcPr>
          <w:p>
            <w:pPr>
              <w:spacing w:after="0"/>
              <w:rPr>
                <w:sz w:val="12"/>
                <w:szCs w:val="12"/>
                <w:color w:val="auto"/>
              </w:rPr>
            </w:pPr>
          </w:p>
        </w:tc>
        <w:tc>
          <w:tcPr>
            <w:tcW w:w="13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Weighted-Average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Terms</w:t>
            </w:r>
          </w:p>
        </w:tc>
        <w:tc>
          <w:tcPr>
            <w:tcW w:w="18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(in 000's)</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25.56</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65.54</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25.60</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21.54</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on March 31, 2015 </w:t>
            </w:r>
            <w:r>
              <w:rPr>
                <w:rFonts w:ascii="Arial" w:cs="Arial" w:eastAsia="Arial" w:hAnsi="Arial"/>
                <w:sz w:val="25"/>
                <w:szCs w:val="25"/>
                <w:color w:val="auto"/>
                <w:vertAlign w:val="superscript"/>
              </w:rPr>
              <w:t>(1)</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29.94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18,647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on March 31, 2015 </w:t>
            </w:r>
            <w:r>
              <w:rPr>
                <w:rFonts w:ascii="Arial" w:cs="Arial" w:eastAsia="Arial" w:hAnsi="Arial"/>
                <w:sz w:val="25"/>
                <w:szCs w:val="25"/>
                <w:color w:val="auto"/>
                <w:vertAlign w:val="superscript"/>
              </w:rPr>
              <w:t>(1)</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29.95</w:t>
            </w:r>
          </w:p>
        </w:tc>
        <w:tc>
          <w:tcPr>
            <w:tcW w:w="1800" w:type="dxa"/>
            <w:vAlign w:val="bottom"/>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18,633</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on March 31, 2015 </w:t>
            </w:r>
            <w:r>
              <w:rPr>
                <w:rFonts w:ascii="Arial" w:cs="Arial" w:eastAsia="Arial" w:hAnsi="Arial"/>
                <w:sz w:val="25"/>
                <w:szCs w:val="25"/>
                <w:color w:val="auto"/>
                <w:vertAlign w:val="superscript"/>
              </w:rPr>
              <w:t>(1)</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24.58</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14,318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180" w:hanging="328"/>
        <w:spacing w:after="0" w:line="238"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first quarter of 2015 and the exercise price, multiplied by the number of in-the-money options) that would have been received by the option holders had they all exercised their options on March 31, 2015.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r>
      <w:tr>
        <w:trPr>
          <w:trHeight w:val="270"/>
        </w:trPr>
        <w:tc>
          <w:tcPr>
            <w:tcW w:w="7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25"/>
                <w:szCs w:val="25"/>
                <w:color w:val="auto"/>
                <w:vertAlign w:val="superscript"/>
              </w:rPr>
              <w:t>(1)</w:t>
            </w: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13.64</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110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4.56</w:t>
            </w:r>
          </w:p>
        </w:tc>
      </w:tr>
    </w:tbl>
    <w:p>
      <w:pPr>
        <w:spacing w:after="0" w:line="17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2015, we expect to recognize $3.4 million of total unrecognized pre-tax stock-based compensation expense related to non-vested stock options over a remaining weighted-average life of 2.2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720" w:type="dxa"/>
            <w:vAlign w:val="bottom"/>
          </w:tcPr>
          <w:p>
            <w:pPr>
              <w:jc w:val="right"/>
              <w:ind w:right="275"/>
              <w:spacing w:after="0"/>
              <w:rPr>
                <w:sz w:val="20"/>
                <w:szCs w:val="20"/>
                <w:color w:val="auto"/>
              </w:rPr>
            </w:pPr>
            <w:r>
              <w:rPr>
                <w:rFonts w:ascii="Arial" w:cs="Arial" w:eastAsia="Arial" w:hAnsi="Arial"/>
                <w:sz w:val="14"/>
                <w:szCs w:val="14"/>
                <w:b w:val="1"/>
                <w:bCs w:val="1"/>
                <w:color w:val="auto"/>
              </w:rPr>
              <w:t>Shares Granted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215"/>
              <w:spacing w:after="0"/>
              <w:rPr>
                <w:sz w:val="20"/>
                <w:szCs w:val="20"/>
                <w:color w:val="auto"/>
              </w:rPr>
            </w:pPr>
            <w:r>
              <w:rPr>
                <w:rFonts w:ascii="Arial" w:cs="Arial" w:eastAsia="Arial" w:hAnsi="Arial"/>
                <w:sz w:val="14"/>
                <w:szCs w:val="14"/>
                <w:b w:val="1"/>
                <w:bCs w:val="1"/>
                <w:color w:val="auto"/>
              </w:rPr>
              <w:t>Weighted-Average</w:t>
            </w:r>
          </w:p>
        </w:tc>
      </w:tr>
      <w:tr>
        <w:trPr>
          <w:trHeight w:val="192"/>
        </w:trPr>
        <w:tc>
          <w:tcPr>
            <w:tcW w:w="78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(in 000's)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8"/>
              </w:rPr>
              <w:t>Grant Date Fair Value</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2014</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39.28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65.53</w:t>
            </w:r>
          </w:p>
        </w:tc>
      </w:tr>
      <w:tr>
        <w:trPr>
          <w:trHeight w:val="27"/>
        </w:trPr>
        <w:tc>
          <w:tcPr>
            <w:tcW w:w="7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33.04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2015</w:t>
            </w:r>
          </w:p>
        </w:tc>
        <w:tc>
          <w:tcPr>
            <w:tcW w:w="1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43.13</w:t>
            </w:r>
          </w:p>
        </w:tc>
      </w:tr>
      <w:tr>
        <w:trPr>
          <w:trHeight w:val="20"/>
        </w:trPr>
        <w:tc>
          <w:tcPr>
            <w:tcW w:w="78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2015, we expect to recognize $9.9 million of total unrecognized pre-tax stock-based compensation expense related to non-vested restricted stock awards over a weighted-average life of 2.3 years.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693</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7"/>
        </w:trPr>
        <w:tc>
          <w:tcPr>
            <w:tcW w:w="7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16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4,273</w:t>
            </w:r>
          </w:p>
        </w:tc>
      </w:tr>
      <w:tr>
        <w:trPr>
          <w:trHeight w:val="67"/>
        </w:trPr>
        <w:tc>
          <w:tcPr>
            <w:tcW w:w="78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1"/>
        </w:trPr>
        <w:tc>
          <w:tcPr>
            <w:tcW w:w="7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15,787</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0.27</w:t>
            </w:r>
          </w:p>
        </w:tc>
      </w:tr>
      <w:tr>
        <w:trPr>
          <w:trHeight w:val="67"/>
        </w:trPr>
        <w:tc>
          <w:tcPr>
            <w:tcW w:w="78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7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4,273</w:t>
            </w:r>
          </w:p>
        </w:tc>
      </w:tr>
      <w:tr>
        <w:trPr>
          <w:trHeight w:val="67"/>
        </w:trPr>
        <w:tc>
          <w:tcPr>
            <w:tcW w:w="78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7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15,907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4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376</w:t>
            </w: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16,243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16,163</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0.26</w:t>
            </w:r>
          </w:p>
        </w:tc>
      </w:tr>
      <w:tr>
        <w:trPr>
          <w:trHeight w:val="27"/>
        </w:trPr>
        <w:tc>
          <w:tcPr>
            <w:tcW w:w="7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2014</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720" w:type="dxa"/>
            <w:vAlign w:val="bottom"/>
          </w:tcPr>
          <w:p>
            <w:pPr>
              <w:jc w:val="right"/>
              <w:ind w:right="39"/>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28</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and Indian Rupee. Derivative financial instruments are used to manage risk and are not used for trading or other speculative purposes. We do not use leveraged derivative financial instruments and these derivatives have not qualified for hedge accounting.</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and losses on the derivatives are recorded in other income (expense), net. Derivatives are recorded on the balance sheet at fair value. The estimated fair values of our derivative financial instruments represent the amount required to enter into offsetting</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contracts with similar remaining maturities based on quoted market prices. We have determined that the fair value of our derivatives are derived from level 2 inputs in the fair value hierarchy. The following table sets forth the total net fair value of derivatives: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March 31, 2015</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gridSpan w:val="2"/>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futures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810</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gain of $1.0 million for the three months ended March 31, 2015 and a net pre-tax loss of $1.0 million for the three months ended March 31,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Details of futures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Gain/(Loss)</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20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24, 2015</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March 31, 2015</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6.2645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July 17, 2015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17, 2015</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2014</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1.2450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January 23, 2015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16, 2015</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2014</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2.3401</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January 16, 2015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Brazilian Real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2.5442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16, 2015</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540" w:hanging="328"/>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develop and manufacture a broad line of pre-programmed universal remote control products, audio-video ("AV") accessories, and software that are marketed to enhance home entertainment systems. Our customers operate in the consumer electronics market and include subscription broadcasters, original equipment manufacturers ("OEMs"), international retailers, private labels, and companies in the computing industry. We also sell integrated circuits, on which our software and infrared ("IR") code database, or library, is embedded, to OEMs that manufacture wireless control devices, cable converters or satellite receivers for resale in their products.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881,000 individual device functions and approximately 7,000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library contains device codes that are capable of controlling virtually all IR controlled set-top boxes, televisions, audio components, DVD players, Blu-Ray players and CD players, as well as most other remote controlled home entertainment devices and home automation control modules worldwide.</w:t>
      </w:r>
    </w:p>
    <w:p>
      <w:pPr>
        <w:spacing w:after="0" w:line="13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operate as one business segment. We have twenty-two international subsidiaries located in Argentina, Brazil, British Virgin Islands (3), Cayman Islands, France, Germany, Hong Kong (4), India, Italy, the Netherlands, People's Republic of China (4), Singapore, Spain, and the United Kingdom.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2015:</w:t>
      </w:r>
    </w:p>
    <w:p>
      <w:pPr>
        <w:spacing w:after="0" w:line="63"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sales increased 2.2% to $132.7 million for the three months ended March 31, 2015 from $129.8 million for the three months ended March 31, 2014.</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gross margin percentage increased from 28.1% for the three months ended March 31, 2014 to 28.2% for the three months ended March 31, 2015.</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expenses, as a percent of sales, increased from 23.5% for the three months ended March 31, 2014 to 23.6% for the three months ended March 31, 2015.</w:t>
      </w:r>
    </w:p>
    <w:p>
      <w:pPr>
        <w:spacing w:after="0" w:line="8" w:lineRule="exact"/>
        <w:rPr>
          <w:rFonts w:ascii="Arial" w:cs="Arial" w:eastAsia="Arial" w:hAnsi="Arial"/>
          <w:sz w:val="18"/>
          <w:szCs w:val="18"/>
          <w:color w:val="auto"/>
        </w:rPr>
      </w:pPr>
    </w:p>
    <w:p>
      <w:pPr>
        <w:ind w:left="980" w:right="20" w:hanging="324"/>
        <w:spacing w:after="0" w:line="29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operating income increased 1.9% to $6.1 million for the three months ended March 31, 2015 from $6.0 million for the three months ended March 31, 2014, and our operating margin percentage remained at 4.6% for the three months ended March 31, 2015 and 2014.</w:t>
      </w: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effective tax rate decreased to 19.5% for the three months ended March 31, 2015, compared to 24.0% for the three months ended March 31,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2015 include the following:</w:t>
      </w:r>
    </w:p>
    <w:p>
      <w:pPr>
        <w:spacing w:after="0" w:line="6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in order to improve profitability;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increase our market share in newer product categories, such as smart devices and game consoles;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returns and doubtful accounts, inventory valuation,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2015 to the items that we disclosed as our critical accounting policies and estimates in Item 7, "Management's Discussion and Analysis of Financial Condition and Results of Operations" contained in our Annual Report on Form 10-K for our fiscal year ended December 31, 2014.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368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800" w:type="dxa"/>
            <w:vAlign w:val="bottom"/>
          </w:tcPr>
          <w:p>
            <w:pPr>
              <w:jc w:val="right"/>
              <w:ind w:right="131"/>
              <w:spacing w:after="0"/>
              <w:rPr>
                <w:sz w:val="20"/>
                <w:szCs w:val="20"/>
                <w:color w:val="auto"/>
              </w:rPr>
            </w:pPr>
            <w:r>
              <w:rPr>
                <w:rFonts w:ascii="Arial" w:cs="Arial" w:eastAsia="Arial" w:hAnsi="Arial"/>
                <w:sz w:val="18"/>
                <w:szCs w:val="18"/>
                <w:color w:val="auto"/>
              </w:rPr>
              <w:t>71.9</w:t>
            </w:r>
          </w:p>
        </w:tc>
      </w:tr>
      <w:tr>
        <w:trPr>
          <w:trHeight w:val="27"/>
        </w:trPr>
        <w:tc>
          <w:tcPr>
            <w:tcW w:w="77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28.1</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0" w:type="dxa"/>
            <w:vAlign w:val="bottom"/>
          </w:tcPr>
          <w:p>
            <w:pPr>
              <w:jc w:val="right"/>
              <w:ind w:right="131"/>
              <w:spacing w:after="0"/>
              <w:rPr>
                <w:sz w:val="20"/>
                <w:szCs w:val="20"/>
                <w:color w:val="auto"/>
              </w:rPr>
            </w:pPr>
            <w:r>
              <w:rPr>
                <w:rFonts w:ascii="Arial" w:cs="Arial" w:eastAsia="Arial" w:hAnsi="Arial"/>
                <w:sz w:val="18"/>
                <w:szCs w:val="18"/>
                <w:color w:val="auto"/>
              </w:rPr>
              <w:t>3.3</w:t>
            </w:r>
          </w:p>
        </w:tc>
      </w:tr>
      <w:tr>
        <w:trPr>
          <w:trHeight w:val="27"/>
        </w:trPr>
        <w:tc>
          <w:tcPr>
            <w:tcW w:w="7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20.2</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7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4.6</w:t>
            </w:r>
          </w:p>
        </w:tc>
      </w:tr>
      <w:tr>
        <w:trPr>
          <w:trHeight w:val="27"/>
        </w:trPr>
        <w:tc>
          <w:tcPr>
            <w:tcW w:w="7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(0.3)</w:t>
            </w:r>
          </w:p>
        </w:tc>
      </w:tr>
      <w:tr>
        <w:trPr>
          <w:trHeight w:val="27"/>
        </w:trPr>
        <w:tc>
          <w:tcPr>
            <w:tcW w:w="77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27"/>
        </w:trPr>
        <w:tc>
          <w:tcPr>
            <w:tcW w:w="77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versus Three Months Ended March 31, 2014</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March 31, 2015 were $132.7 million, an increase of 2.2% compared to $129.8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2014.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2014</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8.8</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our Business lines (subscription broadcasting, OEM, and computing companies) were 91.6% of net sales for the three months ended March 31, 2015 compared to 91.2% for the three months ended March 31, 2014. Net sales in our Business lines for the three months ended March 31, 2015 increased by 2.6% to $121.5 million from $118.4 million driven primarily by strong demand and increased market share with North American and Latin American subscription broadcasters.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8.4% of net sales for the three months ended March 31, 2015 compared to 8.8% for the three months ended March 31, 2014. Net sales in our Consumer lines for the three months ended March 31, 2015 decreased by 1.8% to $11.2 million from $11.4 million in the three months ended March 31, 2014. This decrease was driven primarily by the weakening of the Euro and the British Pound compared to the U.S. Dollar, which negatively impacted sales in the current year period by $1.3 million. This unfavorable currency impact was largely offset by increased sales in the European market.</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three months ended March 31, 2015 was $37.4 million compared to $36.5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2014. Gross profit as a percent of sales increased modestly to 28.2% for the three months ended March 31, 2015 compared to 28.1% for the three months ended March 31, 2014. The gross margin percentage was favorably impacted by an increase in licensing revenue associated with the smart device channel and the weakening of the Chinese Yuan Renminbi and the Brazilian Real compared to the U.S. Dollar. Offsetting these favorable items was an increase in sales to certain large customers that yield a lower gross margin than our company average.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was $4.4 million for the three months ended March 31, 2015 compared to $4.3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2014 as we continue to develop new product offerings for new and existing categories.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increased 2.3% to $26.9 million for the three months ended March 31, 2015 from</w:t>
      </w:r>
      <w:r>
        <w:rPr>
          <w:rFonts w:ascii="Arial" w:cs="Arial" w:eastAsia="Arial" w:hAnsi="Arial"/>
          <w:sz w:val="17"/>
          <w:szCs w:val="17"/>
          <w:i w:val="1"/>
          <w:iCs w:val="1"/>
          <w:color w:val="auto"/>
        </w:rPr>
        <w:t xml:space="preserve"> </w:t>
      </w:r>
      <w:r>
        <w:rPr>
          <w:rFonts w:ascii="Arial" w:cs="Arial" w:eastAsia="Arial" w:hAnsi="Arial"/>
          <w:sz w:val="17"/>
          <w:szCs w:val="17"/>
          <w:color w:val="auto"/>
        </w:rPr>
        <w:t>$26.3 million for the three months ended March 31, 2014. This increase was primarily due to increased payroll expense associated with annual merit increases and additional headcount to support both the smart device channel and the European subscription broadcasting channel. In addition, our delivery and freight costs were higher than normal as we had to reroute certain shipments as a result of temporary port congestion in Los Angeles, California. Partially offsetting these increases in SG&amp;A expense was the favorable impact of the weakening of the Euro against the U.S. Dollar.</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was $0.1 million for the three months ended March 31, 2015 compared to net interest expense of $16</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three months ended March 31, 2014.</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$0.2 million for the three months ended March 31, 2015 compared to net other expense of $0.3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2014. This change was driven primarily by a foreign currency gain being recorded for the three months ended March 31, 2015 compared to a foreign currency loss for the three months ended March 31, 2014 and was mostly associated with fluctuations in foreign currency exchange rates related to the Chinese Yuan Renminbi and Euro.</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$1.3 million for the three months ended March 31, 2015 compared to $1.4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2014. Our effective tax rate was 19.5% for the three months ended March 31, 2015 compared to 24.0% for the three months ended March 31, 2014. The decrease in our effective tax rate was primarily due to the recording of a $0.3 million tax refund in the current year period related to certain deductible research and development expenses incurred in China during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Three Months Ended March</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31, 2015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31, 2014</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operating activities</w:t>
            </w:r>
          </w:p>
        </w:tc>
        <w:tc>
          <w:tcPr>
            <w:tcW w:w="146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13,906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504"/>
        </w:trPr>
        <w:tc>
          <w:tcPr>
            <w:tcW w:w="4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24"/>
                <w:szCs w:val="24"/>
                <w:color w:val="auto"/>
              </w:rPr>
            </w:pPr>
          </w:p>
        </w:tc>
        <w:tc>
          <w:tcPr>
            <w:tcW w:w="16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9"/>
              </w:rPr>
              <w:t>December 31, 2014</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6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112,521</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181,138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183,600</w:t>
            </w:r>
          </w:p>
        </w:tc>
        <w:tc>
          <w:tcPr>
            <w:tcW w:w="0" w:type="dxa"/>
            <w:vAlign w:val="bottom"/>
          </w:tcPr>
          <w:p>
            <w:pPr>
              <w:spacing w:after="0"/>
              <w:rPr>
                <w:sz w:val="1"/>
                <w:szCs w:val="1"/>
                <w:color w:val="auto"/>
              </w:rPr>
            </w:pPr>
          </w:p>
        </w:tc>
      </w:tr>
      <w:tr>
        <w:trPr>
          <w:trHeight w:val="486"/>
        </w:trPr>
        <w:tc>
          <w:tcPr>
            <w:tcW w:w="4540" w:type="dxa"/>
            <w:vAlign w:val="bottom"/>
          </w:tcPr>
          <w:p>
            <w:pPr>
              <w:spacing w:after="0"/>
              <w:rPr>
                <w:sz w:val="24"/>
                <w:szCs w:val="24"/>
                <w:color w:val="auto"/>
              </w:rPr>
            </w:pPr>
          </w:p>
        </w:tc>
        <w:tc>
          <w:tcPr>
            <w:tcW w:w="1460" w:type="dxa"/>
            <w:vAlign w:val="bottom"/>
            <w:gridSpan w:val="2"/>
          </w:tcPr>
          <w:p>
            <w:pPr>
              <w:jc w:val="right"/>
              <w:ind w:right="128"/>
              <w:spacing w:after="0"/>
              <w:rPr>
                <w:sz w:val="20"/>
                <w:szCs w:val="20"/>
                <w:color w:val="auto"/>
              </w:rPr>
            </w:pPr>
            <w:r>
              <w:rPr>
                <w:rFonts w:ascii="Arial" w:cs="Arial" w:eastAsia="Arial" w:hAnsi="Arial"/>
                <w:sz w:val="18"/>
                <w:szCs w:val="18"/>
                <w:color w:val="auto"/>
              </w:rPr>
              <w:t>22</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cash used for operating activities </w:t>
      </w:r>
      <w:r>
        <w:rPr>
          <w:rFonts w:ascii="Arial" w:cs="Arial" w:eastAsia="Arial" w:hAnsi="Arial"/>
          <w:sz w:val="18"/>
          <w:szCs w:val="18"/>
          <w:color w:val="auto"/>
        </w:rPr>
        <w:t>was $5.6 million during the three months ended March 31, 2015 compared to net cash provided by 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$13.9 million during the three months ended March 31, 2014. This decrease in operating cash flows was primarily due to cash flows associated with inventories and accounts receivable. During the three months ended March 31, 2015, we made a strategic purchase of resin to take advantage of attractive pricing, which resulted in an additional $6.0 million of inventory at March 31, 2015. With respect to accounts receivable, days sales outstanding increased from 59 days at March 31, 2014 to 64 days at March 31, 2015 due to strong collections in the prior year period. Our days sales outstanding typically fluctuates between 62 and 69 days.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three months ended March 31, 2015 was $7.9 million compared to $2.6 million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2014. Cash outflows to purchase property, plant and equipment were $7.2 million during the three months ended March 31, 2015 compared to $2.4 million for the three months ended March 31, 2014. This increase was driven primarily by additional machinery and equipment purchases which are required to meet the increased demand for more advanced remote controls. In addition, we are increasing the amount of automation in our factories in an effort to mitigate the rising cost of labor in China. As a result, for the full year 2015 we expect property, plant and equipment purchases to total between $18 million to $22 million.</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$2.4 million during the three months ended March 31, 2015 compared to net cash provided by 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$3.6 million during the three months ended March 31, 2014. The increase in cash used for financing activities was driven primarily by an increased level of stock repurchases and a reduced level of stock option exercises in the current year period.</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months ended March 31, 2015, we repurchased 69,460 shares of our common stock at a cost of $4.0 million compared to our repurchase of 11,112 shares at a cost of $0.4 million during the three months ended March 31, 2014. We hold these shares as treasury stock and they are available for reissue. Presently, we have no plans to distribute these shares, although we may change these plans if necessary to fulfill our on-going business objectives.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March 31, 2015, we had 998,195 shares available for repurchase under the Board's authorizations. On April 29, 2015, our Board increased these repurchase authorizations by 101,805 shares bringing the total authorization as of the approval date to 1,100,000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5,255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17,005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8,147</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Purchase obligations consist of contractual payments to purchase property, plant and equipment.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Our working capital needs have typically been greatest during the third and fourth quarters when accounts receivable and inventories increase in connection with the fourth quarter holiday selling season. We believe our current cash balances and anticipated cash flow to be generated from operations will be sufficient to cover expected cash outlays during the next twelve months; however, because our cash is located in various jurisdictions throughout the world, we may at times need to borrow from our revolving line of credit or take on additional debt until we are able to transfer cash among our various entities.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1">
              <w:r>
                <w:rPr>
                  <w:rFonts w:ascii="Arial" w:cs="Arial" w:eastAsia="Arial" w:hAnsi="Arial"/>
                  <w:sz w:val="14"/>
                  <w:szCs w:val="14"/>
                  <w:b w:val="1"/>
                  <w:bCs w:val="1"/>
                  <w:color w:val="0000EE"/>
                  <w:w w:val="91"/>
                </w:rPr>
                <w:t>Table of Contents</w:t>
              </w:r>
            </w:hyperlink>
          </w:p>
        </w:tc>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649"/>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4"/>
                <w:szCs w:val="24"/>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 2015</w:t>
            </w:r>
          </w:p>
        </w:tc>
        <w:tc>
          <w:tcPr>
            <w:tcW w:w="300" w:type="dxa"/>
            <w:vAlign w:val="bottom"/>
          </w:tcPr>
          <w:p>
            <w:pPr>
              <w:spacing w:after="0"/>
              <w:rPr>
                <w:sz w:val="24"/>
                <w:szCs w:val="24"/>
                <w:color w:val="auto"/>
              </w:rPr>
            </w:pPr>
          </w:p>
        </w:tc>
        <w:tc>
          <w:tcPr>
            <w:tcW w:w="186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6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112,521</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Debt</w:t>
            </w:r>
          </w:p>
        </w:tc>
        <w:tc>
          <w:tcPr>
            <w:tcW w:w="400" w:type="dxa"/>
            <w:vAlign w:val="bottom"/>
          </w:tcPr>
          <w:p>
            <w:pPr>
              <w:spacing w:after="0"/>
              <w:rPr>
                <w:sz w:val="21"/>
                <w:szCs w:val="21"/>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Available borrowing resources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54,987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54,987</w:t>
            </w:r>
          </w:p>
        </w:tc>
      </w:tr>
      <w:tr>
        <w:trPr>
          <w:trHeight w:val="27"/>
        </w:trPr>
        <w:tc>
          <w:tcPr>
            <w:tcW w:w="110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31, 2015, we had $20.1 million, $63.6 million, $10.4 million and $3.0 million of cash and cash equivalents in the United States, Asia, Europe, and South America, respectively. On December 31, 2014, we had approximately $43.5 million, $50.8 million, $12.9 million, and $5.3 million of cash and cash equivalents in the United States, Asia, Europe and South America, respectively. We attempt to mitigate our exposure to liquidity, credit and other relevant risks by placing our cash and cash equivalents with financial institutions we believe are high quality.</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9, 2014, we extended the term of our Amended and Restated Credit Agreement ("Amended Credit Agreement") with U.S. Bank National Association ("U.S. Bank") to November 1, 2017. The Amended Credit Agreement provides for a $55.0 million line of credit ("Credit Line") that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March 31, 2015.</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March 31, 2015, we were in compliance with the covenants and conditions of the Amended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2014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interest rate risk related to our debt. Although at March 31, 2015 we had no outstanding borrowings under our Credit Line, from time to time we may need to borrow amounts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 100 basis point increase in interest rates would have had an insignificant effect on reported net income for the three months ended March 31, 2015.</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March 31, 2015 we had wholly owned subsidiaries in Argentina, Brazil, Cayman Islands, France, Germany, Hong Kong, India, Italy, the Netherlands, the PRC,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are the Chinese Yuan Renminbi, Euro, British Pound, Argentinian Peso, Brazilian Real, and Indian Rupee.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and Indian Rupee and therefore benefit from a stronger U.S. Dollar and are adversely affected by a weaker U.S. Dollar relateive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March 31, 2015, we believe that movements in foreign currency rates may have a material effect on our financial position and results of operations. We estimate that if the exchange rates for the Chinese Yuan Renminbi, Euro, British Pound, Argentinian Peso, Brazilian Real, and Indian Rupee relative to the U.S. Dollar fluctuate 10% from March 31, 2015, net income in the second quarter of 2015 would fluctuate by approximately $7.2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1A: Risk Factors" of the Company's 2014 Annual Report on Form 10-K incorporated herein by reference. These factors may cause our actual results to differ materially from those stated in forward-looking statements contained in this document and elsewhere.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March 31, 2015, we repurchased 69,460 shares of our issued and outstanding common stock for $4.0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March 31, 2015, we had 998,195 shares available for repurchase under the Board's authorizations. On April 29, 2015, our Board increased these repurchase authorizations by 101,805 shares bringing the total authorization as of the approval date to 1,100,000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for the three months ended March 31, 2015, our total stock repurchases, average price paid per share and the maximum number of shares that may yet be purchased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Total 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Shares Purchased</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2015 - January 31, 2015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1,067,655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February 1, 2015 - February 28, 2015</w:t>
            </w:r>
          </w:p>
        </w:tc>
        <w:tc>
          <w:tcPr>
            <w:tcW w:w="1320" w:type="dxa"/>
            <w:vAlign w:val="bottom"/>
          </w:tcPr>
          <w:p>
            <w:pPr>
              <w:jc w:val="right"/>
              <w:spacing w:after="0"/>
              <w:rPr>
                <w:sz w:val="20"/>
                <w:szCs w:val="20"/>
                <w:color w:val="auto"/>
              </w:rPr>
            </w:pPr>
            <w:r>
              <w:rPr>
                <w:rFonts w:ascii="Arial" w:cs="Arial" w:eastAsia="Arial" w:hAnsi="Arial"/>
                <w:sz w:val="18"/>
                <w:szCs w:val="18"/>
                <w:color w:val="auto"/>
              </w:rPr>
              <w:t>58,859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58,859</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1,008,796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2015 - March 31, 2015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56.11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10,601</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998,195</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69,460</w:t>
            </w:r>
          </w:p>
        </w:tc>
        <w:tc>
          <w:tcPr>
            <w:tcW w:w="60" w:type="dxa"/>
            <w:vAlign w:val="bottom"/>
            <w:tcBorders>
              <w:top w:val="single" w:sz="8" w:color="auto"/>
              <w:bottom w:val="single" w:sz="8" w:color="auto"/>
            </w:tcBorders>
          </w:tcPr>
          <w:p>
            <w:pPr>
              <w:spacing w:after="0"/>
              <w:rPr>
                <w:sz w:val="22"/>
                <w:szCs w:val="2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69,460</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998,195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4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918"/>
        </w:trPr>
        <w:tc>
          <w:tcPr>
            <w:tcW w:w="1040" w:type="dxa"/>
            <w:vAlign w:val="bottom"/>
          </w:tcPr>
          <w:p>
            <w:pPr>
              <w:spacing w:after="0"/>
              <w:rPr>
                <w:sz w:val="24"/>
                <w:szCs w:val="24"/>
                <w:color w:val="auto"/>
              </w:rPr>
            </w:pPr>
          </w:p>
        </w:tc>
        <w:tc>
          <w:tcPr>
            <w:tcW w:w="4860" w:type="dxa"/>
            <w:vAlign w:val="bottom"/>
          </w:tcPr>
          <w:p>
            <w:pPr>
              <w:ind w:left="420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180"/>
          </w:cols>
          <w:pgMar w:left="240" w:top="118" w:right="4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color w:val="auto"/>
                <w:w w:val="92"/>
              </w:rPr>
              <w:t>Dated:May 8, 2015</w:t>
            </w:r>
          </w:p>
        </w:tc>
        <w:tc>
          <w:tcPr>
            <w:tcW w:w="7720" w:type="dxa"/>
            <w:vAlign w:val="bottom"/>
            <w:gridSpan w:val="2"/>
          </w:tcPr>
          <w:p>
            <w:pPr>
              <w:ind w:left="196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660" w:type="dxa"/>
            <w:vAlign w:val="bottom"/>
          </w:tcPr>
          <w:p>
            <w:pPr>
              <w:spacing w:after="0"/>
              <w:rPr>
                <w:sz w:val="24"/>
                <w:szCs w:val="24"/>
                <w:color w:val="auto"/>
              </w:rPr>
            </w:pP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6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6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660" w:type="dxa"/>
            <w:vAlign w:val="bottom"/>
          </w:tcPr>
          <w:p>
            <w:pPr>
              <w:spacing w:after="0"/>
              <w:rPr>
                <w:sz w:val="24"/>
                <w:szCs w:val="24"/>
                <w:color w:val="auto"/>
              </w:rPr>
            </w:pPr>
          </w:p>
        </w:tc>
        <w:tc>
          <w:tcPr>
            <w:tcW w:w="2580" w:type="dxa"/>
            <w:vAlign w:val="bottom"/>
          </w:tcPr>
          <w:p>
            <w:pPr>
              <w:ind w:left="1920"/>
              <w:spacing w:after="0"/>
              <w:rPr>
                <w:sz w:val="20"/>
                <w:szCs w:val="20"/>
                <w:color w:val="auto"/>
              </w:rPr>
            </w:pPr>
            <w:r>
              <w:rPr>
                <w:rFonts w:ascii="Arial" w:cs="Arial" w:eastAsia="Arial" w:hAnsi="Arial"/>
                <w:sz w:val="18"/>
                <w:szCs w:val="18"/>
                <w:color w:val="auto"/>
              </w:rPr>
              <w:t>29</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7"/>
              </w:rPr>
              <w:t>Rule 13a-14(a) Certifications of Bryan M. Hackworth, Chief Financial Officer (principal financial officer and principal accounting</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5"/>
              </w:rPr>
              <w:t>Section 1350 Certifications of Paul D. Arling, Chief Executive Officer (principal executive officer) of Universal Electronics Inc., and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4"/>
              </w:rPr>
              <w:t>Bryan M. Hackworth, Chief Financial Officer (principal financial officer and principal accounting officer) of Universal Electronics Inc.</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pursuant to 18 U.S.C. Section 1350</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18" w:right="2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2015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2019-12-29T16:41:08Z</dcterms:created>
  <dcterms:modified xsi:type="dcterms:W3CDTF">2019-12-29T16:41:08Z</dcterms:modified>
</cp:coreProperties>
</file>