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_______________________________________</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91"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_______________________________________</w:t>
      </w:r>
    </w:p>
    <w:p>
      <w:pPr>
        <w:spacing w:after="0" w:line="86"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54" w:lineRule="exact"/>
        <w:rPr>
          <w:sz w:val="24"/>
          <w:szCs w:val="24"/>
          <w:color w:val="auto"/>
        </w:rPr>
      </w:pPr>
    </w:p>
    <w:p>
      <w:pPr>
        <w:ind w:left="720" w:right="20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8" w:lineRule="exact"/>
        <w:rPr>
          <w:sz w:val="24"/>
          <w:szCs w:val="24"/>
          <w:color w:val="auto"/>
        </w:rPr>
      </w:pPr>
    </w:p>
    <w:p>
      <w:pPr>
        <w:ind w:left="3560"/>
        <w:spacing w:after="0"/>
        <w:rPr>
          <w:sz w:val="20"/>
          <w:szCs w:val="20"/>
          <w:color w:val="auto"/>
        </w:rPr>
      </w:pPr>
      <w:r>
        <w:rPr>
          <w:rFonts w:ascii="Arial" w:cs="Arial" w:eastAsia="Arial" w:hAnsi="Arial"/>
          <w:sz w:val="22"/>
          <w:szCs w:val="22"/>
          <w:b w:val="1"/>
          <w:bCs w:val="1"/>
          <w:color w:val="auto"/>
        </w:rPr>
        <w:t>For the quarterly period ended September 30, 2016</w:t>
      </w:r>
    </w:p>
    <w:p>
      <w:pPr>
        <w:spacing w:after="0" w:line="85" w:lineRule="exact"/>
        <w:rPr>
          <w:sz w:val="24"/>
          <w:szCs w:val="24"/>
          <w:color w:val="auto"/>
        </w:rPr>
      </w:pPr>
    </w:p>
    <w:p>
      <w:pPr>
        <w:ind w:left="5560"/>
        <w:spacing w:after="0"/>
        <w:rPr>
          <w:sz w:val="20"/>
          <w:szCs w:val="20"/>
          <w:color w:val="auto"/>
        </w:rPr>
      </w:pPr>
      <w:r>
        <w:rPr>
          <w:rFonts w:ascii="Arial" w:cs="Arial" w:eastAsia="Arial" w:hAnsi="Arial"/>
          <w:sz w:val="22"/>
          <w:szCs w:val="22"/>
          <w:b w:val="1"/>
          <w:bCs w:val="1"/>
          <w:color w:val="auto"/>
        </w:rPr>
        <w:t>OR</w:t>
      </w:r>
    </w:p>
    <w:p>
      <w:pPr>
        <w:spacing w:after="0" w:line="152" w:lineRule="exact"/>
        <w:rPr>
          <w:sz w:val="24"/>
          <w:szCs w:val="24"/>
          <w:color w:val="auto"/>
        </w:rPr>
      </w:pPr>
    </w:p>
    <w:p>
      <w:pPr>
        <w:ind w:left="720" w:right="18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8" w:lineRule="exact"/>
        <w:rPr>
          <w:sz w:val="24"/>
          <w:szCs w:val="24"/>
          <w:color w:val="auto"/>
        </w:rPr>
      </w:pPr>
    </w:p>
    <w:p>
      <w:pPr>
        <w:ind w:left="440"/>
        <w:spacing w:after="0"/>
        <w:tabs>
          <w:tab w:leader="none" w:pos="386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 0-21044</w:t>
      </w:r>
    </w:p>
    <w:p>
      <w:pPr>
        <w:spacing w:after="0" w:line="71"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_______________________________________</w:t>
      </w: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UNIVERSAL ELECTRONICS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40" w:lineRule="exact"/>
        <w:rPr>
          <w:sz w:val="24"/>
          <w:szCs w:val="24"/>
          <w:color w:val="auto"/>
        </w:rPr>
      </w:pPr>
    </w:p>
    <w:tbl>
      <w:tblPr>
        <w:tblLayout w:type="fixed"/>
        <w:tblInd w:w="1360" w:type="dxa"/>
        <w:tblCellMar>
          <w:top w:w="0" w:type="dxa"/>
          <w:left w:w="0" w:type="dxa"/>
          <w:bottom w:w="0" w:type="dxa"/>
          <w:right w:w="0" w:type="dxa"/>
        </w:tblCellMar>
      </w:tblPr>
      <w:tr>
        <w:trPr>
          <w:trHeight w:val="234"/>
        </w:trPr>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100" w:type="dxa"/>
            <w:vAlign w:val="bottom"/>
          </w:tcPr>
          <w:p>
            <w:pPr>
              <w:jc w:val="right"/>
              <w:ind w:right="39"/>
              <w:spacing w:after="0"/>
              <w:rPr>
                <w:sz w:val="20"/>
                <w:szCs w:val="20"/>
                <w:color w:val="auto"/>
              </w:rPr>
            </w:pPr>
            <w:r>
              <w:rPr>
                <w:rFonts w:ascii="Arial" w:cs="Arial" w:eastAsia="Arial" w:hAnsi="Arial"/>
                <w:sz w:val="18"/>
                <w:szCs w:val="18"/>
                <w:b w:val="1"/>
                <w:bCs w:val="1"/>
                <w:color w:val="auto"/>
              </w:rPr>
              <w:t>33-0204817</w:t>
            </w:r>
          </w:p>
        </w:tc>
      </w:tr>
      <w:tr>
        <w:trPr>
          <w:trHeight w:val="180"/>
        </w:trPr>
        <w:tc>
          <w:tcPr>
            <w:tcW w:w="2780" w:type="dxa"/>
            <w:vAlign w:val="bottom"/>
          </w:tcPr>
          <w:p>
            <w:pPr>
              <w:jc w:val="center"/>
              <w:spacing w:after="0"/>
              <w:rPr>
                <w:sz w:val="20"/>
                <w:szCs w:val="20"/>
                <w:color w:val="auto"/>
              </w:rPr>
            </w:pPr>
            <w:r>
              <w:rPr>
                <w:rFonts w:ascii="Arial" w:cs="Arial" w:eastAsia="Arial" w:hAnsi="Arial"/>
                <w:sz w:val="14"/>
                <w:szCs w:val="14"/>
                <w:b w:val="1"/>
                <w:bCs w:val="1"/>
                <w:color w:val="auto"/>
                <w:w w:val="93"/>
              </w:rPr>
              <w:t>(State or Other Jurisdiction of</w:t>
            </w:r>
          </w:p>
        </w:tc>
        <w:tc>
          <w:tcPr>
            <w:tcW w:w="5100" w:type="dxa"/>
            <w:vAlign w:val="bottom"/>
          </w:tcPr>
          <w:p>
            <w:pPr>
              <w:jc w:val="center"/>
              <w:ind w:left="3899"/>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780" w:type="dxa"/>
            <w:vAlign w:val="bottom"/>
          </w:tcPr>
          <w:p>
            <w:pPr>
              <w:jc w:val="center"/>
              <w:spacing w:after="0"/>
              <w:rPr>
                <w:sz w:val="20"/>
                <w:szCs w:val="20"/>
                <w:color w:val="auto"/>
              </w:rPr>
            </w:pPr>
            <w:r>
              <w:rPr>
                <w:rFonts w:ascii="Arial" w:cs="Arial" w:eastAsia="Arial" w:hAnsi="Arial"/>
                <w:sz w:val="14"/>
                <w:szCs w:val="14"/>
                <w:b w:val="1"/>
                <w:bCs w:val="1"/>
                <w:color w:val="auto"/>
                <w:w w:val="95"/>
              </w:rPr>
              <w:t>Incorporation or Organization)</w:t>
            </w:r>
          </w:p>
        </w:tc>
        <w:tc>
          <w:tcPr>
            <w:tcW w:w="5100" w:type="dxa"/>
            <w:vAlign w:val="bottom"/>
          </w:tcPr>
          <w:p>
            <w:pPr>
              <w:jc w:val="center"/>
              <w:ind w:left="3899"/>
              <w:spacing w:after="0"/>
              <w:rPr>
                <w:sz w:val="20"/>
                <w:szCs w:val="20"/>
                <w:color w:val="auto"/>
              </w:rPr>
            </w:pPr>
            <w:r>
              <w:rPr>
                <w:rFonts w:ascii="Arial" w:cs="Arial" w:eastAsia="Arial" w:hAnsi="Arial"/>
                <w:sz w:val="14"/>
                <w:szCs w:val="14"/>
                <w:b w:val="1"/>
                <w:bCs w:val="1"/>
                <w:color w:val="auto"/>
                <w:w w:val="94"/>
              </w:rPr>
              <w:t>Identification No.)</w:t>
            </w:r>
          </w:p>
        </w:tc>
      </w:tr>
      <w:tr>
        <w:trPr>
          <w:trHeight w:val="358"/>
        </w:trPr>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89"/>
              </w:rPr>
              <w:t>201 E. Sandpointe Avenue, 8</w:t>
            </w:r>
            <w:r>
              <w:rPr>
                <w:rFonts w:ascii="Arial" w:cs="Arial" w:eastAsia="Arial" w:hAnsi="Arial"/>
                <w:sz w:val="25"/>
                <w:szCs w:val="25"/>
                <w:b w:val="1"/>
                <w:bCs w:val="1"/>
                <w:color w:val="auto"/>
                <w:w w:val="89"/>
                <w:vertAlign w:val="superscript"/>
              </w:rPr>
              <w:t>th</w:t>
            </w:r>
            <w:r>
              <w:rPr>
                <w:rFonts w:ascii="Arial" w:cs="Arial" w:eastAsia="Arial" w:hAnsi="Arial"/>
                <w:sz w:val="18"/>
                <w:szCs w:val="18"/>
                <w:b w:val="1"/>
                <w:bCs w:val="1"/>
                <w:color w:val="auto"/>
                <w:w w:val="89"/>
              </w:rPr>
              <w:t xml:space="preserve"> Floor</w:t>
            </w:r>
          </w:p>
        </w:tc>
        <w:tc>
          <w:tcPr>
            <w:tcW w:w="5100" w:type="dxa"/>
            <w:vAlign w:val="bottom"/>
          </w:tcPr>
          <w:p>
            <w:pPr>
              <w:spacing w:after="0"/>
              <w:rPr>
                <w:sz w:val="24"/>
                <w:szCs w:val="24"/>
                <w:color w:val="auto"/>
              </w:rPr>
            </w:pPr>
          </w:p>
        </w:tc>
      </w:tr>
      <w:tr>
        <w:trPr>
          <w:trHeight w:val="234"/>
        </w:trPr>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93"/>
              </w:rPr>
              <w:t>Santa Ana, California</w:t>
            </w:r>
          </w:p>
        </w:tc>
        <w:tc>
          <w:tcPr>
            <w:tcW w:w="5100" w:type="dxa"/>
            <w:vAlign w:val="bottom"/>
          </w:tcPr>
          <w:p>
            <w:pPr>
              <w:jc w:val="right"/>
              <w:ind w:right="239"/>
              <w:spacing w:after="0"/>
              <w:rPr>
                <w:sz w:val="20"/>
                <w:szCs w:val="20"/>
                <w:color w:val="auto"/>
              </w:rPr>
            </w:pPr>
            <w:r>
              <w:rPr>
                <w:rFonts w:ascii="Arial" w:cs="Arial" w:eastAsia="Arial" w:hAnsi="Arial"/>
                <w:sz w:val="18"/>
                <w:szCs w:val="18"/>
                <w:b w:val="1"/>
                <w:bCs w:val="1"/>
                <w:color w:val="auto"/>
              </w:rPr>
              <w:t>92707</w:t>
            </w:r>
          </w:p>
        </w:tc>
      </w:tr>
      <w:tr>
        <w:trPr>
          <w:trHeight w:val="218"/>
        </w:trPr>
        <w:tc>
          <w:tcPr>
            <w:tcW w:w="27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5100" w:type="dxa"/>
            <w:vAlign w:val="bottom"/>
          </w:tcPr>
          <w:p>
            <w:pPr>
              <w:jc w:val="center"/>
              <w:ind w:left="3919"/>
              <w:spacing w:after="0"/>
              <w:rPr>
                <w:sz w:val="20"/>
                <w:szCs w:val="20"/>
                <w:color w:val="auto"/>
              </w:rPr>
            </w:pPr>
            <w:r>
              <w:rPr>
                <w:rFonts w:ascii="Arial" w:cs="Arial" w:eastAsia="Arial" w:hAnsi="Arial"/>
                <w:sz w:val="14"/>
                <w:szCs w:val="14"/>
                <w:b w:val="1"/>
                <w:bCs w:val="1"/>
                <w:color w:val="auto"/>
                <w:w w:val="95"/>
              </w:rPr>
              <w:t>(Zip Code)</w:t>
            </w:r>
          </w:p>
        </w:tc>
      </w:tr>
      <w:tr>
        <w:trPr>
          <w:trHeight w:val="390"/>
        </w:trPr>
        <w:tc>
          <w:tcPr>
            <w:tcW w:w="7880" w:type="dxa"/>
            <w:vAlign w:val="bottom"/>
            <w:gridSpan w:val="2"/>
          </w:tcPr>
          <w:p>
            <w:pPr>
              <w:jc w:val="center"/>
              <w:ind w:left="738"/>
              <w:spacing w:after="0"/>
              <w:rPr>
                <w:sz w:val="20"/>
                <w:szCs w:val="20"/>
                <w:color w:val="auto"/>
              </w:rPr>
            </w:pPr>
            <w:r>
              <w:rPr>
                <w:rFonts w:ascii="Arial" w:cs="Arial" w:eastAsia="Arial" w:hAnsi="Arial"/>
                <w:sz w:val="18"/>
                <w:szCs w:val="18"/>
                <w:b w:val="1"/>
                <w:bCs w:val="1"/>
                <w:color w:val="auto"/>
                <w:w w:val="89"/>
              </w:rPr>
              <w:t>Registrant's telephone number, including area code: (714) 918-9500</w:t>
            </w:r>
          </w:p>
        </w:tc>
      </w:tr>
      <w:tr>
        <w:trPr>
          <w:trHeight w:val="284"/>
        </w:trPr>
        <w:tc>
          <w:tcPr>
            <w:tcW w:w="2780" w:type="dxa"/>
            <w:vAlign w:val="bottom"/>
          </w:tcPr>
          <w:p>
            <w:pPr>
              <w:spacing w:after="0"/>
              <w:rPr>
                <w:sz w:val="24"/>
                <w:szCs w:val="24"/>
                <w:color w:val="auto"/>
              </w:rPr>
            </w:pPr>
          </w:p>
        </w:tc>
        <w:tc>
          <w:tcPr>
            <w:tcW w:w="5100" w:type="dxa"/>
            <w:vAlign w:val="bottom"/>
          </w:tcPr>
          <w:p>
            <w:pPr>
              <w:jc w:val="right"/>
              <w:ind w:right="1939"/>
              <w:spacing w:after="0"/>
              <w:rPr>
                <w:sz w:val="20"/>
                <w:szCs w:val="20"/>
                <w:color w:val="auto"/>
              </w:rPr>
            </w:pPr>
            <w:r>
              <w:rPr>
                <w:rFonts w:ascii="Arial" w:cs="Arial" w:eastAsia="Arial" w:hAnsi="Arial"/>
                <w:sz w:val="18"/>
                <w:szCs w:val="18"/>
                <w:color w:val="auto"/>
                <w:w w:val="89"/>
              </w:rPr>
              <w:t>__________________________________</w:t>
            </w:r>
          </w:p>
        </w:tc>
      </w:tr>
    </w:tbl>
    <w:p>
      <w:pPr>
        <w:spacing w:after="0" w:line="148" w:lineRule="exact"/>
        <w:rPr>
          <w:sz w:val="24"/>
          <w:szCs w:val="24"/>
          <w:color w:val="auto"/>
        </w:rPr>
      </w:pPr>
    </w:p>
    <w:p>
      <w:pPr>
        <w:ind w:right="480"/>
        <w:spacing w:after="0" w:line="233"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28"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any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74" w:right="239" w:bottom="1440" w:gutter="0" w:footer="0" w:header="0"/>
        </w:sectPr>
      </w:pPr>
    </w:p>
    <w:p>
      <w:pPr>
        <w:spacing w:after="0" w:line="282"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1660" w:space="540"/>
            <w:col w:w="5560" w:space="720"/>
            <w:col w:w="1880" w:space="720"/>
            <w:col w:w="340"/>
          </w:cols>
          <w:pgMar w:left="240" w:top="274" w:right="23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45" w:lineRule="exact"/>
        <w:rPr>
          <w:sz w:val="24"/>
          <w:szCs w:val="24"/>
          <w:color w:val="auto"/>
        </w:rPr>
      </w:pPr>
    </w:p>
    <w:p>
      <w:pPr>
        <w:sectPr>
          <w:pgSz w:w="11900" w:h="16838" w:orient="portrait"/>
          <w:cols w:equalWidth="0" w:num="5">
            <w:col w:w="1560" w:space="640"/>
            <w:col w:w="180" w:space="80"/>
            <w:col w:w="5300" w:space="720"/>
            <w:col w:w="1960" w:space="640"/>
            <w:col w:w="340"/>
          </w:cols>
          <w:pgMar w:left="240" w:top="274"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64" w:lineRule="exact"/>
        <w:rPr>
          <w:sz w:val="24"/>
          <w:szCs w:val="24"/>
          <w:color w:val="auto"/>
        </w:rPr>
      </w:pPr>
    </w:p>
    <w:p>
      <w:pPr>
        <w:sectPr>
          <w:pgSz w:w="11900" w:h="16838" w:orient="portrait"/>
          <w:cols w:equalWidth="0" w:num="5">
            <w:col w:w="7440" w:space="160"/>
            <w:col w:w="260" w:space="100"/>
            <w:col w:w="160" w:space="180"/>
            <w:col w:w="220" w:space="80"/>
            <w:col w:w="2820"/>
          </w:cols>
          <w:pgMar w:left="240" w:top="274" w:right="239" w:bottom="1440" w:gutter="0" w:footer="0" w:header="0"/>
          <w:type w:val="continuous"/>
        </w:sectPr>
      </w:pPr>
    </w:p>
    <w:p>
      <w:pPr>
        <w:ind w:right="340"/>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14,572,220 shares of Common Stock, par value $0.01 per share, of the registrant were outstanding on November 3, 2016.</w:t>
      </w:r>
    </w:p>
    <w:p>
      <w:pPr>
        <w:sectPr>
          <w:pgSz w:w="11900" w:h="16838" w:orient="portrait"/>
          <w:cols w:equalWidth="0" w:num="1">
            <w:col w:w="11420"/>
          </w:cols>
          <w:pgMar w:left="240" w:top="274"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80" w:type="dxa"/>
            <w:vAlign w:val="bottom"/>
            <w:gridSpan w:val="3"/>
          </w:tcPr>
          <w:p>
            <w:pPr>
              <w:jc w:val="center"/>
              <w:ind w:right="1440"/>
              <w:spacing w:after="0"/>
              <w:rPr>
                <w:sz w:val="20"/>
                <w:szCs w:val="20"/>
                <w:color w:val="auto"/>
              </w:rPr>
            </w:pPr>
            <w:r>
              <w:rPr>
                <w:rFonts w:ascii="Arial" w:cs="Arial" w:eastAsia="Arial" w:hAnsi="Arial"/>
                <w:sz w:val="18"/>
                <w:szCs w:val="18"/>
                <w:b w:val="1"/>
                <w:bCs w:val="1"/>
                <w:color w:val="auto"/>
              </w:rPr>
              <w:t>UNIVERSAL ELECTRONICS INC.</w:t>
            </w:r>
          </w:p>
        </w:tc>
        <w:tc>
          <w:tcPr>
            <w:tcW w:w="1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940" w:type="dxa"/>
            <w:vAlign w:val="bottom"/>
            <w:gridSpan w:val="2"/>
          </w:tcPr>
          <w:p>
            <w:pPr>
              <w:jc w:val="center"/>
              <w:ind w:right="2400"/>
              <w:spacing w:after="0"/>
              <w:rPr>
                <w:sz w:val="20"/>
                <w:szCs w:val="20"/>
                <w:color w:val="auto"/>
              </w:rPr>
            </w:pPr>
            <w:r>
              <w:rPr>
                <w:rFonts w:ascii="Arial" w:cs="Arial" w:eastAsia="Arial" w:hAnsi="Arial"/>
                <w:sz w:val="18"/>
                <w:szCs w:val="18"/>
                <w:b w:val="1"/>
                <w:bCs w:val="1"/>
                <w:color w:val="auto"/>
              </w:rPr>
              <w:t>INDEX</w:t>
            </w: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7"/>
        </w:trPr>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b w:val="1"/>
                <w:bCs w:val="1"/>
                <w:color w:val="auto"/>
              </w:rPr>
              <w:t>Page</w:t>
            </w:r>
          </w:p>
        </w:tc>
      </w:tr>
      <w:tr>
        <w:trPr>
          <w:trHeight w:val="158"/>
        </w:trPr>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520" w:type="dxa"/>
            <w:vAlign w:val="bottom"/>
            <w:tcBorders>
              <w:bottom w:val="single" w:sz="8" w:color="auto"/>
            </w:tcBorders>
            <w:gridSpan w:val="3"/>
          </w:tcPr>
          <w:p>
            <w:pPr>
              <w:jc w:val="right"/>
              <w:spacing w:after="0" w:line="158" w:lineRule="exact"/>
              <w:rPr>
                <w:sz w:val="20"/>
                <w:szCs w:val="20"/>
                <w:color w:val="auto"/>
              </w:rPr>
            </w:pPr>
            <w:r>
              <w:rPr>
                <w:rFonts w:ascii="Arial" w:cs="Arial" w:eastAsia="Arial" w:hAnsi="Arial"/>
                <w:sz w:val="14"/>
                <w:szCs w:val="14"/>
                <w:b w:val="1"/>
                <w:bCs w:val="1"/>
                <w:color w:val="auto"/>
                <w:w w:val="94"/>
              </w:rPr>
              <w:t>Number</w:t>
            </w:r>
          </w:p>
        </w:tc>
      </w:tr>
      <w:tr>
        <w:trPr>
          <w:trHeight w:val="223"/>
        </w:trPr>
        <w:tc>
          <w:tcPr>
            <w:tcW w:w="8840" w:type="dxa"/>
            <w:vAlign w:val="bottom"/>
            <w:gridSpan w:val="18"/>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2260" w:type="dxa"/>
            <w:vAlign w:val="bottom"/>
            <w:gridSpan w:val="4"/>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884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Consolidated Financial Statements (Unaudited)</w:t>
              </w:r>
            </w:hyperlink>
          </w:p>
        </w:tc>
        <w:tc>
          <w:tcPr>
            <w:tcW w:w="2260" w:type="dxa"/>
            <w:vAlign w:val="bottom"/>
            <w:gridSpan w:val="4"/>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50"/>
        </w:trPr>
        <w:tc>
          <w:tcPr>
            <w:tcW w:w="240" w:type="dxa"/>
            <w:vAlign w:val="bottom"/>
            <w:tcBorders>
              <w:top w:val="single" w:sz="8" w:color="0000EE"/>
            </w:tcBorders>
          </w:tcPr>
          <w:p>
            <w:pPr>
              <w:spacing w:after="0"/>
              <w:rPr>
                <w:sz w:val="21"/>
                <w:szCs w:val="21"/>
                <w:color w:val="auto"/>
              </w:rPr>
            </w:pPr>
          </w:p>
        </w:tc>
        <w:tc>
          <w:tcPr>
            <w:tcW w:w="21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w:t>
              </w:r>
            </w:hyperlink>
          </w:p>
        </w:tc>
        <w:tc>
          <w:tcPr>
            <w:tcW w:w="1620" w:type="dxa"/>
            <w:vAlign w:val="bottom"/>
            <w:tcBorders>
              <w:top w:val="single" w:sz="8" w:color="0000EE"/>
            </w:tcBorders>
            <w:gridSpan w:val="7"/>
          </w:tcPr>
          <w:p>
            <w:pPr>
              <w:spacing w:after="0"/>
              <w:rPr>
                <w:sz w:val="21"/>
                <w:szCs w:val="21"/>
                <w:color w:val="auto"/>
              </w:rPr>
            </w:pPr>
          </w:p>
        </w:tc>
        <w:tc>
          <w:tcPr>
            <w:tcW w:w="4880" w:type="dxa"/>
            <w:vAlign w:val="bottom"/>
            <w:gridSpan w:val="3"/>
          </w:tcPr>
          <w:p>
            <w:pPr>
              <w:spacing w:after="0"/>
              <w:rPr>
                <w:sz w:val="21"/>
                <w:szCs w:val="21"/>
                <w:color w:val="auto"/>
              </w:rPr>
            </w:pPr>
          </w:p>
        </w:tc>
        <w:tc>
          <w:tcPr>
            <w:tcW w:w="2160" w:type="dxa"/>
            <w:vAlign w:val="bottom"/>
            <w:gridSpan w:val="3"/>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250"/>
        </w:trPr>
        <w:tc>
          <w:tcPr>
            <w:tcW w:w="240" w:type="dxa"/>
            <w:vAlign w:val="bottom"/>
          </w:tcPr>
          <w:p>
            <w:pPr>
              <w:spacing w:after="0"/>
              <w:rPr>
                <w:sz w:val="21"/>
                <w:szCs w:val="21"/>
                <w:color w:val="auto"/>
              </w:rPr>
            </w:pPr>
          </w:p>
        </w:tc>
        <w:tc>
          <w:tcPr>
            <w:tcW w:w="860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Income Statements</w:t>
              </w:r>
            </w:hyperlink>
          </w:p>
        </w:tc>
        <w:tc>
          <w:tcPr>
            <w:tcW w:w="2260" w:type="dxa"/>
            <w:vAlign w:val="bottom"/>
            <w:gridSpan w:val="4"/>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0"/>
        </w:trPr>
        <w:tc>
          <w:tcPr>
            <w:tcW w:w="2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860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Comprehensive Income Statements</w:t>
              </w:r>
            </w:hyperlink>
          </w:p>
        </w:tc>
        <w:tc>
          <w:tcPr>
            <w:tcW w:w="2260" w:type="dxa"/>
            <w:vAlign w:val="bottom"/>
            <w:gridSpan w:val="4"/>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50"/>
        </w:trPr>
        <w:tc>
          <w:tcPr>
            <w:tcW w:w="240" w:type="dxa"/>
            <w:vAlign w:val="bottom"/>
          </w:tcPr>
          <w:p>
            <w:pPr>
              <w:spacing w:after="0"/>
              <w:rPr>
                <w:sz w:val="21"/>
                <w:szCs w:val="21"/>
                <w:color w:val="auto"/>
              </w:rPr>
            </w:pPr>
          </w:p>
        </w:tc>
        <w:tc>
          <w:tcPr>
            <w:tcW w:w="3540" w:type="dxa"/>
            <w:vAlign w:val="bottom"/>
            <w:tcBorders>
              <w:top w:val="single" w:sz="8" w:color="0000EE"/>
            </w:tcBorders>
            <w:gridSpan w:val="1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w:t>
              </w:r>
            </w:hyperlink>
          </w:p>
        </w:tc>
        <w:tc>
          <w:tcPr>
            <w:tcW w:w="5060" w:type="dxa"/>
            <w:vAlign w:val="bottom"/>
            <w:gridSpan w:val="4"/>
          </w:tcPr>
          <w:p>
            <w:pPr>
              <w:spacing w:after="0"/>
              <w:rPr>
                <w:sz w:val="21"/>
                <w:szCs w:val="21"/>
                <w:color w:val="auto"/>
              </w:rPr>
            </w:pPr>
          </w:p>
        </w:tc>
        <w:tc>
          <w:tcPr>
            <w:tcW w:w="2160" w:type="dxa"/>
            <w:vAlign w:val="bottom"/>
            <w:gridSpan w:val="3"/>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r>
      <w:tr>
        <w:trPr>
          <w:trHeight w:val="20"/>
        </w:trPr>
        <w:tc>
          <w:tcPr>
            <w:tcW w:w="2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8600" w:type="dxa"/>
            <w:vAlign w:val="bottom"/>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w:t>
              </w:r>
            </w:hyperlink>
          </w:p>
        </w:tc>
        <w:tc>
          <w:tcPr>
            <w:tcW w:w="2260" w:type="dxa"/>
            <w:vAlign w:val="bottom"/>
            <w:gridSpan w:val="4"/>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20"/>
        </w:trPr>
        <w:tc>
          <w:tcPr>
            <w:tcW w:w="2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7000" w:type="dxa"/>
            <w:vAlign w:val="bottom"/>
            <w:gridSpan w:val="17"/>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2. Management's Discussion and Analysis of Financial Condition and Results of Operations</w:t>
              </w:r>
            </w:hyperlink>
          </w:p>
        </w:tc>
        <w:tc>
          <w:tcPr>
            <w:tcW w:w="1840" w:type="dxa"/>
            <w:vAlign w:val="bottom"/>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26">
              <w:r>
                <w:rPr>
                  <w:rFonts w:ascii="Arial" w:cs="Arial" w:eastAsia="Arial" w:hAnsi="Arial"/>
                  <w:sz w:val="18"/>
                  <w:szCs w:val="18"/>
                  <w:color w:val="0000EE"/>
                </w:rPr>
                <w:t>26</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140" w:type="dxa"/>
            <w:vAlign w:val="bottom"/>
            <w:gridSpan w:val="6"/>
            <w:shd w:val="clear" w:color="auto" w:fill="0000EE"/>
          </w:tcPr>
          <w:p>
            <w:pPr>
              <w:spacing w:after="0" w:line="20" w:lineRule="exact"/>
              <w:rPr>
                <w:sz w:val="1"/>
                <w:szCs w:val="1"/>
                <w:color w:val="auto"/>
              </w:rPr>
            </w:pPr>
          </w:p>
        </w:tc>
        <w:tc>
          <w:tcPr>
            <w:tcW w:w="2100" w:type="dxa"/>
            <w:vAlign w:val="bottom"/>
            <w:tcBorders>
              <w:left w:val="single" w:sz="8" w:color="0000EE"/>
            </w:tcBorders>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900" w:type="dxa"/>
            <w:vAlign w:val="bottom"/>
            <w:gridSpan w:val="16"/>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Item 3. Quantitative and Qualitative Disclosures About Market Risk</w:t>
              </w:r>
            </w:hyperlink>
          </w:p>
        </w:tc>
        <w:tc>
          <w:tcPr>
            <w:tcW w:w="2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140" w:type="dxa"/>
            <w:vAlign w:val="bottom"/>
            <w:gridSpan w:val="6"/>
            <w:shd w:val="clear" w:color="auto" w:fill="0000EE"/>
          </w:tcPr>
          <w:p>
            <w:pPr>
              <w:spacing w:after="0" w:line="20" w:lineRule="exact"/>
              <w:rPr>
                <w:sz w:val="1"/>
                <w:szCs w:val="1"/>
                <w:color w:val="auto"/>
              </w:rPr>
            </w:pPr>
          </w:p>
        </w:tc>
        <w:tc>
          <w:tcPr>
            <w:tcW w:w="3940" w:type="dxa"/>
            <w:vAlign w:val="bottom"/>
            <w:tcBorders>
              <w:left w:val="single" w:sz="8" w:color="0000EE"/>
            </w:tcBorders>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320" w:type="dxa"/>
            <w:vAlign w:val="bottom"/>
            <w:gridSpan w:val="7"/>
          </w:tcPr>
          <w:p>
            <w:pPr>
              <w:spacing w:after="0"/>
              <w:rPr>
                <w:rFonts w:ascii="Arial" w:cs="Arial" w:eastAsia="Arial" w:hAnsi="Arial"/>
                <w:sz w:val="18"/>
                <w:szCs w:val="18"/>
                <w:color w:val="0000EE"/>
                <w:w w:val="88"/>
              </w:rPr>
            </w:pPr>
            <w:hyperlink w:anchor="page35">
              <w:r>
                <w:rPr>
                  <w:rFonts w:ascii="Arial" w:cs="Arial" w:eastAsia="Arial" w:hAnsi="Arial"/>
                  <w:sz w:val="18"/>
                  <w:szCs w:val="18"/>
                  <w:color w:val="0000EE"/>
                  <w:w w:val="88"/>
                </w:rPr>
                <w:t>Item 4. Controls and Procedures</w:t>
              </w:r>
            </w:hyperlink>
          </w:p>
        </w:tc>
        <w:tc>
          <w:tcPr>
            <w:tcW w:w="2580" w:type="dxa"/>
            <w:vAlign w:val="bottom"/>
            <w:gridSpan w:val="9"/>
          </w:tcPr>
          <w:p>
            <w:pPr>
              <w:spacing w:after="0"/>
              <w:rPr>
                <w:sz w:val="21"/>
                <w:szCs w:val="21"/>
                <w:color w:val="auto"/>
              </w:rPr>
            </w:pPr>
          </w:p>
        </w:tc>
        <w:tc>
          <w:tcPr>
            <w:tcW w:w="3940" w:type="dxa"/>
            <w:vAlign w:val="bottom"/>
            <w:gridSpan w:val="2"/>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8840" w:type="dxa"/>
            <w:vAlign w:val="bottom"/>
            <w:gridSpan w:val="18"/>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PART II. OTHER INFORMATION</w:t>
              </w:r>
            </w:hyperlink>
          </w:p>
        </w:tc>
        <w:tc>
          <w:tcPr>
            <w:tcW w:w="2260" w:type="dxa"/>
            <w:vAlign w:val="bottom"/>
            <w:gridSpan w:val="4"/>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760" w:type="dxa"/>
            <w:vAlign w:val="bottom"/>
            <w:gridSpan w:val="10"/>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1. Legal Proceedings</w:t>
              </w:r>
            </w:hyperlink>
          </w:p>
        </w:tc>
        <w:tc>
          <w:tcPr>
            <w:tcW w:w="6080" w:type="dxa"/>
            <w:vAlign w:val="bottom"/>
            <w:gridSpan w:val="8"/>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20" w:type="dxa"/>
            <w:vAlign w:val="bottom"/>
            <w:gridSpan w:val="10"/>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880" w:type="dxa"/>
            <w:vAlign w:val="bottom"/>
            <w:gridSpan w:val="6"/>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1A. Risk Factors</w:t>
              </w:r>
            </w:hyperlink>
          </w:p>
        </w:tc>
        <w:tc>
          <w:tcPr>
            <w:tcW w:w="6960" w:type="dxa"/>
            <w:vAlign w:val="bottom"/>
            <w:gridSpan w:val="12"/>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320" w:type="dxa"/>
            <w:vAlign w:val="bottom"/>
            <w:gridSpan w:val="11"/>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900" w:type="dxa"/>
            <w:vAlign w:val="bottom"/>
            <w:gridSpan w:val="16"/>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Item 2. Unregistered Sales of Equity Securities and Use of Proceeds</w:t>
              </w:r>
            </w:hyperlink>
          </w:p>
        </w:tc>
        <w:tc>
          <w:tcPr>
            <w:tcW w:w="3940" w:type="dxa"/>
            <w:vAlign w:val="bottom"/>
            <w:gridSpan w:val="2"/>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760" w:type="dxa"/>
            <w:vAlign w:val="bottom"/>
            <w:gridSpan w:val="12"/>
            <w:shd w:val="clear" w:color="auto" w:fill="0000EE"/>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900" w:type="dxa"/>
            <w:vAlign w:val="bottom"/>
            <w:gridSpan w:val="16"/>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6. Exhibits</w:t>
              </w:r>
            </w:hyperlink>
          </w:p>
        </w:tc>
        <w:tc>
          <w:tcPr>
            <w:tcW w:w="3940" w:type="dxa"/>
            <w:vAlign w:val="bottom"/>
            <w:gridSpan w:val="2"/>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700" w:type="dxa"/>
            <w:vAlign w:val="bottom"/>
            <w:gridSpan w:val="14"/>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gridSpan w:val="4"/>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Signature</w:t>
              </w:r>
            </w:hyperlink>
          </w:p>
        </w:tc>
        <w:tc>
          <w:tcPr>
            <w:tcW w:w="7700" w:type="dxa"/>
            <w:vAlign w:val="bottom"/>
            <w:gridSpan w:val="14"/>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60" w:type="dxa"/>
            <w:vAlign w:val="bottom"/>
            <w:gridSpan w:val="15"/>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980" w:type="dxa"/>
            <w:vAlign w:val="bottom"/>
            <w:gridSpan w:val="3"/>
          </w:tcPr>
          <w:p>
            <w:pPr>
              <w:spacing w:after="0"/>
              <w:rPr>
                <w:rFonts w:ascii="Arial" w:cs="Arial" w:eastAsia="Arial" w:hAnsi="Arial"/>
                <w:sz w:val="18"/>
                <w:szCs w:val="18"/>
                <w:color w:val="0000EE"/>
                <w:w w:val="93"/>
              </w:rPr>
            </w:pPr>
            <w:hyperlink w:anchor="page39">
              <w:r>
                <w:rPr>
                  <w:rFonts w:ascii="Arial" w:cs="Arial" w:eastAsia="Arial" w:hAnsi="Arial"/>
                  <w:sz w:val="18"/>
                  <w:szCs w:val="18"/>
                  <w:color w:val="0000EE"/>
                  <w:w w:val="93"/>
                </w:rPr>
                <w:t>Exhibit Index</w:t>
              </w:r>
            </w:hyperlink>
          </w:p>
        </w:tc>
        <w:tc>
          <w:tcPr>
            <w:tcW w:w="7860" w:type="dxa"/>
            <w:vAlign w:val="bottom"/>
            <w:gridSpan w:val="15"/>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r>
      <w:tr>
        <w:trPr>
          <w:trHeight w:val="20"/>
        </w:trPr>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1100"/>
          </w:cols>
          <w:pgMar w:left="280" w:top="364" w:right="51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 (Unaudited)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UNIVERSAL ELECTRONICS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share-related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2016</w:t>
            </w:r>
          </w:p>
        </w:tc>
        <w:tc>
          <w:tcPr>
            <w:tcW w:w="180" w:type="dxa"/>
            <w:vAlign w:val="bottom"/>
          </w:tcPr>
          <w:p>
            <w:pPr>
              <w:spacing w:after="0"/>
              <w:rPr>
                <w:sz w:val="16"/>
                <w:szCs w:val="16"/>
                <w:color w:val="auto"/>
              </w:rPr>
            </w:pPr>
          </w:p>
        </w:tc>
        <w:tc>
          <w:tcPr>
            <w:tcW w:w="1500" w:type="dxa"/>
            <w:vAlign w:val="bottom"/>
          </w:tcPr>
          <w:p>
            <w:pPr>
              <w:jc w:val="right"/>
              <w:ind w:right="179"/>
              <w:spacing w:after="0"/>
              <w:rPr>
                <w:sz w:val="20"/>
                <w:szCs w:val="20"/>
                <w:color w:val="auto"/>
              </w:rPr>
            </w:pPr>
            <w:r>
              <w:rPr>
                <w:rFonts w:ascii="Arial" w:cs="Arial" w:eastAsia="Arial" w:hAnsi="Arial"/>
                <w:sz w:val="14"/>
                <w:szCs w:val="14"/>
                <w:b w:val="1"/>
                <w:bCs w:val="1"/>
                <w:color w:val="auto"/>
                <w:w w:val="96"/>
              </w:rPr>
              <w:t>December 31, 2015</w:t>
            </w:r>
          </w:p>
        </w:tc>
        <w:tc>
          <w:tcPr>
            <w:tcW w:w="0" w:type="dxa"/>
            <w:vAlign w:val="bottom"/>
          </w:tcPr>
          <w:p>
            <w:pPr>
              <w:spacing w:after="0"/>
              <w:rPr>
                <w:sz w:val="1"/>
                <w:szCs w:val="1"/>
                <w:color w:val="auto"/>
              </w:rPr>
            </w:pPr>
          </w:p>
        </w:tc>
      </w:tr>
      <w:tr>
        <w:trPr>
          <w:trHeight w:val="250"/>
        </w:trPr>
        <w:tc>
          <w:tcPr>
            <w:tcW w:w="7900" w:type="dxa"/>
            <w:vAlign w:val="bottom"/>
            <w:tcBorders>
              <w:top w:val="single" w:sz="8" w:color="CCEEFF"/>
              <w:bottom w:val="single" w:sz="8" w:color="CCEEFF"/>
            </w:tcBorders>
            <w:shd w:val="clear" w:color="auto" w:fill="CCEEFF"/>
          </w:tcPr>
          <w:p>
            <w:pPr>
              <w:ind w:left="364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48,141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52,966</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Restricted cash</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4,623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4,623</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134,438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121,801</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Inventories, net</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124,091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122,366</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6,217</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Income tax receivable</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441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7,243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7,296</w:t>
            </w:r>
          </w:p>
        </w:tc>
        <w:tc>
          <w:tcPr>
            <w:tcW w:w="0" w:type="dxa"/>
            <w:vAlign w:val="bottom"/>
          </w:tcPr>
          <w:p>
            <w:pPr>
              <w:spacing w:after="0"/>
              <w:rPr>
                <w:sz w:val="1"/>
                <w:szCs w:val="1"/>
                <w:color w:val="auto"/>
              </w:rPr>
            </w:pPr>
          </w:p>
        </w:tc>
      </w:tr>
      <w:tr>
        <w:trPr>
          <w:trHeight w:val="217"/>
        </w:trPr>
        <w:tc>
          <w:tcPr>
            <w:tcW w:w="7900" w:type="dxa"/>
            <w:vAlign w:val="bottom"/>
          </w:tcPr>
          <w:p>
            <w:pPr>
              <w:ind w:left="82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325,718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315,324</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103,117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90,015</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43,162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43,116</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29,615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32,926</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9,112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8,474</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restricted cash</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4,797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5,065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5,365</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520,586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495,220</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220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9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102,754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93,843</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Line of credit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50,000</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Accrued compensation</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32,406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37,452</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sales discounts, rebates and royalties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7,618</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Accrued income taxes</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359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4,745</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accrued expenses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23,288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21,466</w:t>
            </w:r>
          </w:p>
        </w:tc>
        <w:tc>
          <w:tcPr>
            <w:tcW w:w="0" w:type="dxa"/>
            <w:vAlign w:val="bottom"/>
          </w:tcPr>
          <w:p>
            <w:pPr>
              <w:spacing w:after="0"/>
              <w:rPr>
                <w:sz w:val="1"/>
                <w:szCs w:val="1"/>
                <w:color w:val="auto"/>
              </w:rPr>
            </w:pPr>
          </w:p>
        </w:tc>
      </w:tr>
      <w:tr>
        <w:trPr>
          <w:trHeight w:val="217"/>
        </w:trPr>
        <w:tc>
          <w:tcPr>
            <w:tcW w:w="7900" w:type="dxa"/>
            <w:vAlign w:val="bottom"/>
          </w:tcPr>
          <w:p>
            <w:pPr>
              <w:ind w:left="72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202,473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215,124</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Long-term contingent consideration</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11,600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11,751</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7,891</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Income tax payable</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629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629</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long-term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6,568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1,917</w:t>
            </w:r>
          </w:p>
        </w:tc>
        <w:tc>
          <w:tcPr>
            <w:tcW w:w="0" w:type="dxa"/>
            <w:vAlign w:val="bottom"/>
          </w:tcPr>
          <w:p>
            <w:pPr>
              <w:spacing w:after="0"/>
              <w:rPr>
                <w:sz w:val="1"/>
                <w:szCs w:val="1"/>
                <w:color w:val="auto"/>
              </w:rPr>
            </w:pPr>
          </w:p>
        </w:tc>
      </w:tr>
      <w:tr>
        <w:trPr>
          <w:trHeight w:val="217"/>
        </w:trPr>
        <w:tc>
          <w:tcPr>
            <w:tcW w:w="7900" w:type="dxa"/>
            <w:vAlign w:val="bottom"/>
          </w:tcPr>
          <w:p>
            <w:pPr>
              <w:ind w:left="820"/>
              <w:spacing w:after="0"/>
              <w:rPr>
                <w:sz w:val="20"/>
                <w:szCs w:val="20"/>
                <w:color w:val="auto"/>
              </w:rPr>
            </w:pPr>
            <w:r>
              <w:rPr>
                <w:rFonts w:ascii="Arial" w:cs="Arial" w:eastAsia="Arial" w:hAnsi="Arial"/>
                <w:sz w:val="16"/>
                <w:szCs w:val="16"/>
                <w:color w:val="auto"/>
              </w:rPr>
              <w:t>Total liabilities</w:t>
            </w: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231,242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237,312</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Preferred stock, $0.01 par value, 5,000,000 shares authorized; none issued or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7900" w:type="dxa"/>
            <w:vAlign w:val="bottom"/>
          </w:tcPr>
          <w:p>
            <w:pPr>
              <w:ind w:left="380"/>
              <w:spacing w:after="0"/>
              <w:rPr>
                <w:sz w:val="20"/>
                <w:szCs w:val="20"/>
                <w:color w:val="auto"/>
              </w:rPr>
            </w:pPr>
            <w:r>
              <w:rPr>
                <w:rFonts w:ascii="Arial" w:cs="Arial" w:eastAsia="Arial" w:hAnsi="Arial"/>
                <w:sz w:val="16"/>
                <w:szCs w:val="16"/>
                <w:color w:val="auto"/>
                <w:w w:val="96"/>
              </w:rPr>
              <w:t>Common stock, $0.01 par value, 50,000,000 shares authorized; 23,435,769 and 23,176,277 shares issued on</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900" w:type="dxa"/>
            <w:vAlign w:val="bottom"/>
          </w:tcPr>
          <w:p>
            <w:pPr>
              <w:ind w:left="380"/>
              <w:spacing w:after="0"/>
              <w:rPr>
                <w:sz w:val="20"/>
                <w:szCs w:val="20"/>
                <w:color w:val="auto"/>
              </w:rPr>
            </w:pPr>
            <w:r>
              <w:rPr>
                <w:rFonts w:ascii="Arial" w:cs="Arial" w:eastAsia="Arial" w:hAnsi="Arial"/>
                <w:sz w:val="16"/>
                <w:szCs w:val="16"/>
                <w:color w:val="auto"/>
              </w:rPr>
              <w:t>September 30, 2016 and December 31, 2015, respectively</w:t>
            </w:r>
          </w:p>
        </w:tc>
        <w:tc>
          <w:tcPr>
            <w:tcW w:w="180" w:type="dxa"/>
            <w:vAlign w:val="bottom"/>
          </w:tcPr>
          <w:p>
            <w:pPr>
              <w:spacing w:after="0"/>
              <w:rPr>
                <w:sz w:val="17"/>
                <w:szCs w:val="17"/>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234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246,930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228,269</w:t>
            </w:r>
          </w:p>
        </w:tc>
        <w:tc>
          <w:tcPr>
            <w:tcW w:w="0" w:type="dxa"/>
            <w:vAlign w:val="bottom"/>
          </w:tcPr>
          <w:p>
            <w:pPr>
              <w:spacing w:after="0"/>
              <w:rPr>
                <w:sz w:val="1"/>
                <w:szCs w:val="1"/>
                <w:color w:val="auto"/>
              </w:rPr>
            </w:pPr>
          </w:p>
        </w:tc>
      </w:tr>
      <w:tr>
        <w:trPr>
          <w:trHeight w:val="220"/>
        </w:trPr>
        <w:tc>
          <w:tcPr>
            <w:tcW w:w="7900" w:type="dxa"/>
            <w:vAlign w:val="bottom"/>
          </w:tcPr>
          <w:p>
            <w:pPr>
              <w:ind w:left="380"/>
              <w:spacing w:after="0"/>
              <w:rPr>
                <w:sz w:val="20"/>
                <w:szCs w:val="20"/>
                <w:color w:val="auto"/>
              </w:rPr>
            </w:pPr>
            <w:r>
              <w:rPr>
                <w:rFonts w:ascii="Arial" w:cs="Arial" w:eastAsia="Arial" w:hAnsi="Arial"/>
                <w:sz w:val="16"/>
                <w:szCs w:val="16"/>
                <w:color w:val="auto"/>
                <w:w w:val="99"/>
              </w:rPr>
              <w:t>Treasury stock, at cost, 8,864,299 and 8,824,768 shares on September 30, 2016 and December 31, 2015,</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900" w:type="dxa"/>
            <w:vAlign w:val="bottom"/>
          </w:tcPr>
          <w:p>
            <w:pPr>
              <w:ind w:left="380"/>
              <w:spacing w:after="0"/>
              <w:rPr>
                <w:sz w:val="20"/>
                <w:szCs w:val="20"/>
                <w:color w:val="auto"/>
              </w:rPr>
            </w:pPr>
            <w:r>
              <w:rPr>
                <w:rFonts w:ascii="Arial" w:cs="Arial" w:eastAsia="Arial" w:hAnsi="Arial"/>
                <w:sz w:val="16"/>
                <w:szCs w:val="16"/>
                <w:color w:val="auto"/>
              </w:rPr>
              <w:t>respectively</w:t>
            </w:r>
          </w:p>
        </w:tc>
        <w:tc>
          <w:tcPr>
            <w:tcW w:w="1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(212,521)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(210,333)</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(15,799)</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Retained earnings</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272,358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255,240</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Universal Electronics Inc. stockholders'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289,344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257,609</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Noncontrolling interest</w:t>
            </w:r>
          </w:p>
        </w:tc>
        <w:tc>
          <w:tcPr>
            <w:tcW w:w="180" w:type="dxa"/>
            <w:vAlign w:val="bottom"/>
          </w:tcPr>
          <w:p>
            <w:pPr>
              <w:spacing w:after="0"/>
              <w:rPr>
                <w:sz w:val="20"/>
                <w:szCs w:val="20"/>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299</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289,344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257,908</w:t>
            </w:r>
          </w:p>
        </w:tc>
        <w:tc>
          <w:tcPr>
            <w:tcW w:w="0" w:type="dxa"/>
            <w:vAlign w:val="bottom"/>
          </w:tcPr>
          <w:p>
            <w:pPr>
              <w:spacing w:after="0"/>
              <w:rPr>
                <w:sz w:val="1"/>
                <w:szCs w:val="1"/>
                <w:color w:val="auto"/>
              </w:rPr>
            </w:pPr>
          </w:p>
        </w:tc>
      </w:tr>
      <w:tr>
        <w:trPr>
          <w:trHeight w:val="231"/>
        </w:trPr>
        <w:tc>
          <w:tcPr>
            <w:tcW w:w="7900" w:type="dxa"/>
            <w:vAlign w:val="bottom"/>
          </w:tcPr>
          <w:p>
            <w:pPr>
              <w:ind w:left="82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520,586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495,220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12700</wp:posOffset>
            </wp:positionV>
            <wp:extent cx="223837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38375" cy="2603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See Notes 4 and 9 for further information concerning our purchases from related party vendors.</w:t>
      </w:r>
    </w:p>
    <w:p>
      <w:pPr>
        <w:spacing w:after="0" w:line="19"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420"/>
          </w:cols>
          <w:pgMar w:left="240" w:top="118" w:right="239" w:bottom="935"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18" w:right="239" w:bottom="935" w:gutter="0" w:footer="0" w:header="0"/>
          <w:type w:val="continuous"/>
        </w:sectPr>
      </w:pPr>
    </w:p>
    <w:bookmarkStart w:id="3" w:name="page4"/>
    <w:bookmarkEnd w:id="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169,185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160,467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490,829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440,723</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127,400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117,658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367,941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320,225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41,785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42,809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122,888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120,498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2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4,955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4,134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15,292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12,664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28,709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29,642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88,465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82,298</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8,121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9,033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19,131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25,536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1,726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25,462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2,185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2,956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5,624</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19,838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2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Universal Electronics Inc.</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7,807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6,271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17,118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19,835</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 attributable to Universal Electronics Inc.:</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56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0.54</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0.42</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51"/>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8"/>
                <w:szCs w:val="18"/>
                <w:color w:val="auto"/>
              </w:rPr>
              <w:t>Shares used in computing earnings per share:</w:t>
            </w: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14,510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14,966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14,441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15,535</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620" w:type="dxa"/>
            <w:vAlign w:val="bottom"/>
          </w:tcPr>
          <w:p>
            <w:pPr>
              <w:ind w:left="38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14,848</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15,230</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14,740</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15,834</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Notes 4 and 9 for further information concerning our purchases from related party vendors.</w:t>
      </w:r>
    </w:p>
    <w:p>
      <w:pPr>
        <w:spacing w:after="0" w:line="17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COMPREHENSIVE INCOME STATEMENTS</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3"/>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7,807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17,148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19,838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foreign currency translation adjustment</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(7,396)</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comprehensive income (loss)</w:t>
            </w: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7,267</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2,038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15,290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12,442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Comprehensive income (loss) attributable to noncontrolling interest</w:t>
            </w:r>
          </w:p>
        </w:tc>
        <w:tc>
          <w:tcPr>
            <w:tcW w:w="9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9"/>
        </w:trPr>
        <w:tc>
          <w:tcPr>
            <w:tcW w:w="5160" w:type="dxa"/>
            <w:vAlign w:val="bottom"/>
          </w:tcPr>
          <w:p>
            <w:pPr>
              <w:ind w:left="40"/>
              <w:spacing w:after="0"/>
              <w:rPr>
                <w:sz w:val="20"/>
                <w:szCs w:val="20"/>
                <w:color w:val="auto"/>
              </w:rPr>
            </w:pPr>
            <w:r>
              <w:rPr>
                <w:rFonts w:ascii="Arial" w:cs="Arial" w:eastAsia="Arial" w:hAnsi="Arial"/>
                <w:sz w:val="18"/>
                <w:szCs w:val="18"/>
                <w:color w:val="auto"/>
                <w:w w:val="97"/>
              </w:rPr>
              <w:t>Comprehensive income (loss) attributable to Universal Electronics</w:t>
            </w:r>
          </w:p>
        </w:tc>
        <w:tc>
          <w:tcPr>
            <w:tcW w:w="940" w:type="dxa"/>
            <w:vAlign w:val="bottom"/>
            <w:tcBorders>
              <w:top w:val="single" w:sz="8" w:color="auto"/>
            </w:tcBorders>
            <w:vMerge w:val="restart"/>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3"/>
              </w:rPr>
              <w:t>7,267</w:t>
            </w:r>
          </w:p>
        </w:tc>
        <w:tc>
          <w:tcPr>
            <w:tcW w:w="120" w:type="dxa"/>
            <w:vAlign w:val="bottom"/>
          </w:tcPr>
          <w:p>
            <w:pPr>
              <w:spacing w:after="0"/>
              <w:rPr>
                <w:sz w:val="18"/>
                <w:szCs w:val="18"/>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2,035</w:t>
            </w:r>
          </w:p>
        </w:tc>
        <w:tc>
          <w:tcPr>
            <w:tcW w:w="100" w:type="dxa"/>
            <w:vAlign w:val="bottom"/>
          </w:tcPr>
          <w:p>
            <w:pPr>
              <w:spacing w:after="0"/>
              <w:rPr>
                <w:sz w:val="18"/>
                <w:szCs w:val="18"/>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18"/>
                <w:szCs w:val="18"/>
                <w:color w:val="auto"/>
              </w:rPr>
              <w:t>15,260</w:t>
            </w:r>
          </w:p>
        </w:tc>
        <w:tc>
          <w:tcPr>
            <w:tcW w:w="100" w:type="dxa"/>
            <w:vAlign w:val="bottom"/>
          </w:tcPr>
          <w:p>
            <w:pPr>
              <w:spacing w:after="0"/>
              <w:rPr>
                <w:sz w:val="18"/>
                <w:szCs w:val="18"/>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12,439</w:t>
            </w:r>
          </w:p>
        </w:tc>
        <w:tc>
          <w:tcPr>
            <w:tcW w:w="0" w:type="dxa"/>
            <w:vAlign w:val="bottom"/>
          </w:tcPr>
          <w:p>
            <w:pPr>
              <w:spacing w:after="0"/>
              <w:rPr>
                <w:sz w:val="1"/>
                <w:szCs w:val="1"/>
                <w:color w:val="auto"/>
              </w:rPr>
            </w:pPr>
          </w:p>
        </w:tc>
      </w:tr>
      <w:tr>
        <w:trPr>
          <w:trHeight w:val="242"/>
        </w:trPr>
        <w:tc>
          <w:tcPr>
            <w:tcW w:w="5160" w:type="dxa"/>
            <w:vAlign w:val="bottom"/>
          </w:tcPr>
          <w:p>
            <w:pPr>
              <w:ind w:left="40"/>
              <w:spacing w:after="0"/>
              <w:rPr>
                <w:sz w:val="20"/>
                <w:szCs w:val="20"/>
                <w:color w:val="auto"/>
              </w:rPr>
            </w:pPr>
            <w:r>
              <w:rPr>
                <w:rFonts w:ascii="Arial" w:cs="Arial" w:eastAsia="Arial" w:hAnsi="Arial"/>
                <w:sz w:val="18"/>
                <w:szCs w:val="18"/>
                <w:color w:val="auto"/>
              </w:rPr>
              <w:t>Inc.</w:t>
            </w:r>
          </w:p>
        </w:tc>
        <w:tc>
          <w:tcPr>
            <w:tcW w:w="940" w:type="dxa"/>
            <w:vAlign w:val="bottom"/>
            <w:tcBorders>
              <w:bottom w:val="single" w:sz="8" w:color="auto"/>
            </w:tcBorders>
            <w:vMerge w:val="continue"/>
          </w:tcPr>
          <w:p>
            <w:pPr>
              <w:spacing w:after="0"/>
              <w:rPr>
                <w:sz w:val="20"/>
                <w:szCs w:val="20"/>
                <w:color w:val="auto"/>
              </w:rPr>
            </w:pPr>
          </w:p>
        </w:tc>
        <w:tc>
          <w:tcPr>
            <w:tcW w:w="5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Notes 4 and 9 for further information concerning our purchases from related party vendors.</w:t>
      </w:r>
    </w:p>
    <w:p>
      <w:pPr>
        <w:spacing w:after="0" w:line="17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(Unaudited)</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3280" w:type="dxa"/>
            <w:vAlign w:val="bottom"/>
            <w:tcBorders>
              <w:bottom w:val="single" w:sz="8" w:color="auto"/>
            </w:tcBorders>
            <w:gridSpan w:val="5"/>
          </w:tcPr>
          <w:p>
            <w:pPr>
              <w:jc w:val="right"/>
              <w:ind w:right="488"/>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8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2015</w:t>
            </w:r>
          </w:p>
        </w:tc>
      </w:tr>
      <w:tr>
        <w:trPr>
          <w:trHeight w:val="270"/>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provided by (used for) operating activities:</w:t>
            </w:r>
          </w:p>
        </w:tc>
        <w:tc>
          <w:tcPr>
            <w:tcW w:w="9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64"/>
        </w:trPr>
        <w:tc>
          <w:tcPr>
            <w:tcW w:w="8100" w:type="dxa"/>
            <w:vAlign w:val="bottom"/>
          </w:tcPr>
          <w:p>
            <w:pPr>
              <w:ind w:left="380"/>
              <w:spacing w:after="0"/>
              <w:rPr>
                <w:sz w:val="20"/>
                <w:szCs w:val="20"/>
                <w:color w:val="auto"/>
              </w:rPr>
            </w:pPr>
            <w:r>
              <w:rPr>
                <w:rFonts w:ascii="Arial" w:cs="Arial" w:eastAsia="Arial" w:hAnsi="Arial"/>
                <w:sz w:val="14"/>
                <w:szCs w:val="14"/>
                <w:color w:val="auto"/>
              </w:rPr>
              <w:t>Net income</w:t>
            </w:r>
          </w:p>
        </w:tc>
        <w:tc>
          <w:tcPr>
            <w:tcW w:w="960" w:type="dxa"/>
            <w:vAlign w:val="bottom"/>
          </w:tcPr>
          <w:p>
            <w:pPr>
              <w:jc w:val="right"/>
              <w:ind w:right="78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17,148</w:t>
            </w:r>
          </w:p>
        </w:tc>
        <w:tc>
          <w:tcPr>
            <w:tcW w:w="10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19,838</w:t>
            </w:r>
          </w:p>
        </w:tc>
      </w:tr>
      <w:tr>
        <w:trPr>
          <w:trHeight w:val="276"/>
        </w:trPr>
        <w:tc>
          <w:tcPr>
            <w:tcW w:w="8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Adjustments to reconcile net income to net cash provided by (used for) operating activities:</w:t>
            </w:r>
          </w:p>
        </w:tc>
        <w:tc>
          <w:tcPr>
            <w:tcW w:w="9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4"/>
        </w:trPr>
        <w:tc>
          <w:tcPr>
            <w:tcW w:w="8100" w:type="dxa"/>
            <w:vAlign w:val="bottom"/>
          </w:tcPr>
          <w:p>
            <w:pPr>
              <w:ind w:left="820"/>
              <w:spacing w:after="0"/>
              <w:rPr>
                <w:sz w:val="20"/>
                <w:szCs w:val="20"/>
                <w:color w:val="auto"/>
              </w:rPr>
            </w:pPr>
            <w:r>
              <w:rPr>
                <w:rFonts w:ascii="Arial" w:cs="Arial" w:eastAsia="Arial" w:hAnsi="Arial"/>
                <w:sz w:val="14"/>
                <w:szCs w:val="14"/>
                <w:color w:val="auto"/>
              </w:rPr>
              <w:t>Depreciation and amortization</w:t>
            </w:r>
          </w:p>
        </w:tc>
        <w:tc>
          <w:tcPr>
            <w:tcW w:w="96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18,994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14,459</w:t>
            </w:r>
          </w:p>
        </w:tc>
      </w:tr>
      <w:tr>
        <w:trPr>
          <w:trHeight w:val="276"/>
        </w:trPr>
        <w:tc>
          <w:tcPr>
            <w:tcW w:w="8100" w:type="dxa"/>
            <w:vAlign w:val="bottom"/>
            <w:shd w:val="clear" w:color="auto" w:fill="CCEEFF"/>
          </w:tcPr>
          <w:p>
            <w:pPr>
              <w:ind w:left="820"/>
              <w:spacing w:after="0"/>
              <w:rPr>
                <w:sz w:val="20"/>
                <w:szCs w:val="20"/>
                <w:color w:val="auto"/>
              </w:rPr>
            </w:pPr>
            <w:r>
              <w:rPr>
                <w:rFonts w:ascii="Arial" w:cs="Arial" w:eastAsia="Arial" w:hAnsi="Arial"/>
                <w:sz w:val="14"/>
                <w:szCs w:val="14"/>
                <w:color w:val="auto"/>
              </w:rPr>
              <w:t>Provision for doubtful accounts</w:t>
            </w:r>
          </w:p>
        </w:tc>
        <w:tc>
          <w:tcPr>
            <w:tcW w:w="9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189</w:t>
            </w:r>
          </w:p>
        </w:tc>
      </w:tr>
      <w:tr>
        <w:trPr>
          <w:trHeight w:val="264"/>
        </w:trPr>
        <w:tc>
          <w:tcPr>
            <w:tcW w:w="8100" w:type="dxa"/>
            <w:vAlign w:val="bottom"/>
          </w:tcPr>
          <w:p>
            <w:pPr>
              <w:ind w:left="820"/>
              <w:spacing w:after="0"/>
              <w:rPr>
                <w:sz w:val="20"/>
                <w:szCs w:val="20"/>
                <w:color w:val="auto"/>
              </w:rPr>
            </w:pPr>
            <w:r>
              <w:rPr>
                <w:rFonts w:ascii="Arial" w:cs="Arial" w:eastAsia="Arial" w:hAnsi="Arial"/>
                <w:sz w:val="14"/>
                <w:szCs w:val="14"/>
                <w:color w:val="auto"/>
              </w:rPr>
              <w:t>Provision for inventory write-downs</w:t>
            </w:r>
          </w:p>
        </w:tc>
        <w:tc>
          <w:tcPr>
            <w:tcW w:w="96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2,398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2,258</w:t>
            </w:r>
          </w:p>
        </w:tc>
      </w:tr>
      <w:tr>
        <w:trPr>
          <w:trHeight w:val="276"/>
        </w:trPr>
        <w:tc>
          <w:tcPr>
            <w:tcW w:w="8100" w:type="dxa"/>
            <w:vAlign w:val="bottom"/>
            <w:shd w:val="clear" w:color="auto" w:fill="CCEEFF"/>
          </w:tcPr>
          <w:p>
            <w:pPr>
              <w:ind w:left="820"/>
              <w:spacing w:after="0"/>
              <w:rPr>
                <w:sz w:val="20"/>
                <w:szCs w:val="20"/>
                <w:color w:val="auto"/>
              </w:rPr>
            </w:pPr>
            <w:r>
              <w:rPr>
                <w:rFonts w:ascii="Arial" w:cs="Arial" w:eastAsia="Arial" w:hAnsi="Arial"/>
                <w:sz w:val="14"/>
                <w:szCs w:val="14"/>
                <w:color w:val="auto"/>
              </w:rPr>
              <w:t>Deferred income taxes</w:t>
            </w:r>
          </w:p>
        </w:tc>
        <w:tc>
          <w:tcPr>
            <w:tcW w:w="9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1,413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w:t>
            </w:r>
          </w:p>
        </w:tc>
      </w:tr>
      <w:tr>
        <w:trPr>
          <w:trHeight w:val="264"/>
        </w:trPr>
        <w:tc>
          <w:tcPr>
            <w:tcW w:w="8100" w:type="dxa"/>
            <w:vAlign w:val="bottom"/>
          </w:tcPr>
          <w:p>
            <w:pPr>
              <w:ind w:left="820"/>
              <w:spacing w:after="0"/>
              <w:rPr>
                <w:sz w:val="20"/>
                <w:szCs w:val="20"/>
                <w:color w:val="auto"/>
              </w:rPr>
            </w:pPr>
            <w:r>
              <w:rPr>
                <w:rFonts w:ascii="Arial" w:cs="Arial" w:eastAsia="Arial" w:hAnsi="Arial"/>
                <w:sz w:val="14"/>
                <w:szCs w:val="14"/>
                <w:color w:val="auto"/>
              </w:rPr>
              <w:t>Tax benefit from exercise of stock options and vested restricted stock</w:t>
            </w:r>
          </w:p>
        </w:tc>
        <w:tc>
          <w:tcPr>
            <w:tcW w:w="96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2,230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1,023</w:t>
            </w:r>
          </w:p>
        </w:tc>
      </w:tr>
      <w:tr>
        <w:trPr>
          <w:trHeight w:val="276"/>
        </w:trPr>
        <w:tc>
          <w:tcPr>
            <w:tcW w:w="8100" w:type="dxa"/>
            <w:vAlign w:val="bottom"/>
            <w:shd w:val="clear" w:color="auto" w:fill="CCEEFF"/>
          </w:tcPr>
          <w:p>
            <w:pPr>
              <w:ind w:left="820"/>
              <w:spacing w:after="0"/>
              <w:rPr>
                <w:sz w:val="20"/>
                <w:szCs w:val="20"/>
                <w:color w:val="auto"/>
              </w:rPr>
            </w:pPr>
            <w:r>
              <w:rPr>
                <w:rFonts w:ascii="Arial" w:cs="Arial" w:eastAsia="Arial" w:hAnsi="Arial"/>
                <w:sz w:val="14"/>
                <w:szCs w:val="14"/>
                <w:color w:val="auto"/>
              </w:rPr>
              <w:t>Excess tax benefit from stock-based compensation</w:t>
            </w:r>
          </w:p>
        </w:tc>
        <w:tc>
          <w:tcPr>
            <w:tcW w:w="9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(1,071)</w:t>
            </w:r>
          </w:p>
        </w:tc>
      </w:tr>
      <w:tr>
        <w:trPr>
          <w:trHeight w:val="264"/>
        </w:trPr>
        <w:tc>
          <w:tcPr>
            <w:tcW w:w="8100" w:type="dxa"/>
            <w:vAlign w:val="bottom"/>
          </w:tcPr>
          <w:p>
            <w:pPr>
              <w:ind w:left="820"/>
              <w:spacing w:after="0"/>
              <w:rPr>
                <w:sz w:val="20"/>
                <w:szCs w:val="20"/>
                <w:color w:val="auto"/>
              </w:rPr>
            </w:pPr>
            <w:r>
              <w:rPr>
                <w:rFonts w:ascii="Arial" w:cs="Arial" w:eastAsia="Arial" w:hAnsi="Arial"/>
                <w:sz w:val="14"/>
                <w:szCs w:val="14"/>
                <w:color w:val="auto"/>
              </w:rPr>
              <w:t>Shares issued for employee benefit plan</w:t>
            </w:r>
          </w:p>
        </w:tc>
        <w:tc>
          <w:tcPr>
            <w:tcW w:w="96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763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734</w:t>
            </w:r>
          </w:p>
        </w:tc>
      </w:tr>
      <w:tr>
        <w:trPr>
          <w:trHeight w:val="276"/>
        </w:trPr>
        <w:tc>
          <w:tcPr>
            <w:tcW w:w="8100" w:type="dxa"/>
            <w:vAlign w:val="bottom"/>
            <w:shd w:val="clear" w:color="auto" w:fill="CCEEFF"/>
          </w:tcPr>
          <w:p>
            <w:pPr>
              <w:ind w:left="820"/>
              <w:spacing w:after="0"/>
              <w:rPr>
                <w:sz w:val="20"/>
                <w:szCs w:val="20"/>
                <w:color w:val="auto"/>
              </w:rPr>
            </w:pPr>
            <w:r>
              <w:rPr>
                <w:rFonts w:ascii="Arial" w:cs="Arial" w:eastAsia="Arial" w:hAnsi="Arial"/>
                <w:sz w:val="14"/>
                <w:szCs w:val="14"/>
                <w:color w:val="auto"/>
              </w:rPr>
              <w:t>Employee and director stock-based compensation</w:t>
            </w:r>
          </w:p>
        </w:tc>
        <w:tc>
          <w:tcPr>
            <w:tcW w:w="9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7,638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5,923</w:t>
            </w:r>
          </w:p>
        </w:tc>
      </w:tr>
      <w:tr>
        <w:trPr>
          <w:trHeight w:val="264"/>
        </w:trPr>
        <w:tc>
          <w:tcPr>
            <w:tcW w:w="8100" w:type="dxa"/>
            <w:vAlign w:val="bottom"/>
          </w:tcPr>
          <w:p>
            <w:pPr>
              <w:ind w:left="820"/>
              <w:spacing w:after="0"/>
              <w:rPr>
                <w:sz w:val="20"/>
                <w:szCs w:val="20"/>
                <w:color w:val="auto"/>
              </w:rPr>
            </w:pPr>
            <w:r>
              <w:rPr>
                <w:rFonts w:ascii="Arial" w:cs="Arial" w:eastAsia="Arial" w:hAnsi="Arial"/>
                <w:sz w:val="14"/>
                <w:szCs w:val="14"/>
                <w:color w:val="auto"/>
              </w:rPr>
              <w:t>Performance-based warrant stock-based compensation</w:t>
            </w:r>
          </w:p>
        </w:tc>
        <w:tc>
          <w:tcPr>
            <w:tcW w:w="96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3,219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Changes in operating assets and liabilities:</w:t>
            </w:r>
          </w:p>
        </w:tc>
        <w:tc>
          <w:tcPr>
            <w:tcW w:w="9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4"/>
        </w:trPr>
        <w:tc>
          <w:tcPr>
            <w:tcW w:w="8100" w:type="dxa"/>
            <w:vAlign w:val="bottom"/>
          </w:tcPr>
          <w:p>
            <w:pPr>
              <w:ind w:left="820"/>
              <w:spacing w:after="0"/>
              <w:rPr>
                <w:sz w:val="20"/>
                <w:szCs w:val="20"/>
                <w:color w:val="auto"/>
              </w:rPr>
            </w:pPr>
            <w:r>
              <w:rPr>
                <w:rFonts w:ascii="Arial" w:cs="Arial" w:eastAsia="Arial" w:hAnsi="Arial"/>
                <w:sz w:val="14"/>
                <w:szCs w:val="14"/>
                <w:color w:val="auto"/>
              </w:rPr>
              <w:t>Restricted cash</w:t>
            </w:r>
          </w:p>
        </w:tc>
        <w:tc>
          <w:tcPr>
            <w:tcW w:w="96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(4,623)</w:t>
            </w:r>
          </w:p>
        </w:tc>
      </w:tr>
      <w:tr>
        <w:trPr>
          <w:trHeight w:val="276"/>
        </w:trPr>
        <w:tc>
          <w:tcPr>
            <w:tcW w:w="8100" w:type="dxa"/>
            <w:vAlign w:val="bottom"/>
            <w:shd w:val="clear" w:color="auto" w:fill="CCEEFF"/>
          </w:tcPr>
          <w:p>
            <w:pPr>
              <w:ind w:left="820"/>
              <w:spacing w:after="0"/>
              <w:rPr>
                <w:sz w:val="20"/>
                <w:szCs w:val="20"/>
                <w:color w:val="auto"/>
              </w:rPr>
            </w:pPr>
            <w:r>
              <w:rPr>
                <w:rFonts w:ascii="Arial" w:cs="Arial" w:eastAsia="Arial" w:hAnsi="Arial"/>
                <w:sz w:val="14"/>
                <w:szCs w:val="14"/>
                <w:color w:val="auto"/>
              </w:rPr>
              <w:t>Accounts receivable</w:t>
            </w:r>
          </w:p>
        </w:tc>
        <w:tc>
          <w:tcPr>
            <w:tcW w:w="9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(11,359)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(17,851)</w:t>
            </w:r>
          </w:p>
        </w:tc>
      </w:tr>
      <w:tr>
        <w:trPr>
          <w:trHeight w:val="264"/>
        </w:trPr>
        <w:tc>
          <w:tcPr>
            <w:tcW w:w="8100" w:type="dxa"/>
            <w:vAlign w:val="bottom"/>
          </w:tcPr>
          <w:p>
            <w:pPr>
              <w:ind w:left="820"/>
              <w:spacing w:after="0"/>
              <w:rPr>
                <w:sz w:val="20"/>
                <w:szCs w:val="20"/>
                <w:color w:val="auto"/>
              </w:rPr>
            </w:pPr>
            <w:r>
              <w:rPr>
                <w:rFonts w:ascii="Arial" w:cs="Arial" w:eastAsia="Arial" w:hAnsi="Arial"/>
                <w:sz w:val="14"/>
                <w:szCs w:val="14"/>
                <w:color w:val="auto"/>
              </w:rPr>
              <w:t>Inventories</w:t>
            </w:r>
          </w:p>
        </w:tc>
        <w:tc>
          <w:tcPr>
            <w:tcW w:w="9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(4,470)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(20,261)</w:t>
            </w:r>
          </w:p>
        </w:tc>
      </w:tr>
      <w:tr>
        <w:trPr>
          <w:trHeight w:val="276"/>
        </w:trPr>
        <w:tc>
          <w:tcPr>
            <w:tcW w:w="8100" w:type="dxa"/>
            <w:vAlign w:val="bottom"/>
            <w:shd w:val="clear" w:color="auto" w:fill="CCEEFF"/>
          </w:tcPr>
          <w:p>
            <w:pPr>
              <w:ind w:left="820"/>
              <w:spacing w:after="0"/>
              <w:rPr>
                <w:sz w:val="20"/>
                <w:szCs w:val="20"/>
                <w:color w:val="auto"/>
              </w:rPr>
            </w:pPr>
            <w:r>
              <w:rPr>
                <w:rFonts w:ascii="Arial" w:cs="Arial" w:eastAsia="Arial" w:hAnsi="Arial"/>
                <w:sz w:val="14"/>
                <w:szCs w:val="14"/>
                <w:color w:val="auto"/>
              </w:rPr>
              <w:t>Prepaid expenses and other assets</w:t>
            </w:r>
          </w:p>
        </w:tc>
        <w:tc>
          <w:tcPr>
            <w:tcW w:w="9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426</w:t>
            </w:r>
          </w:p>
        </w:tc>
      </w:tr>
      <w:tr>
        <w:trPr>
          <w:trHeight w:val="264"/>
        </w:trPr>
        <w:tc>
          <w:tcPr>
            <w:tcW w:w="8100" w:type="dxa"/>
            <w:vAlign w:val="bottom"/>
          </w:tcPr>
          <w:p>
            <w:pPr>
              <w:ind w:left="820"/>
              <w:spacing w:after="0"/>
              <w:rPr>
                <w:sz w:val="20"/>
                <w:szCs w:val="20"/>
                <w:color w:val="auto"/>
              </w:rPr>
            </w:pPr>
            <w:r>
              <w:rPr>
                <w:rFonts w:ascii="Arial" w:cs="Arial" w:eastAsia="Arial" w:hAnsi="Arial"/>
                <w:sz w:val="14"/>
                <w:szCs w:val="14"/>
                <w:color w:val="auto"/>
              </w:rPr>
              <w:t>Accounts payable and accrued expenses</w:t>
            </w:r>
          </w:p>
        </w:tc>
        <w:tc>
          <w:tcPr>
            <w:tcW w:w="96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7,699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21,821</w:t>
            </w:r>
          </w:p>
        </w:tc>
      </w:tr>
      <w:tr>
        <w:trPr>
          <w:trHeight w:val="270"/>
        </w:trPr>
        <w:tc>
          <w:tcPr>
            <w:tcW w:w="8100" w:type="dxa"/>
            <w:vAlign w:val="bottom"/>
            <w:shd w:val="clear" w:color="auto" w:fill="CCEEFF"/>
          </w:tcPr>
          <w:p>
            <w:pPr>
              <w:ind w:left="820"/>
              <w:spacing w:after="0"/>
              <w:rPr>
                <w:sz w:val="20"/>
                <w:szCs w:val="20"/>
                <w:color w:val="auto"/>
              </w:rPr>
            </w:pPr>
            <w:r>
              <w:rPr>
                <w:rFonts w:ascii="Arial" w:cs="Arial" w:eastAsia="Arial" w:hAnsi="Arial"/>
                <w:sz w:val="14"/>
                <w:szCs w:val="14"/>
                <w:color w:val="auto"/>
              </w:rPr>
              <w:t>Accrued income taxes</w:t>
            </w:r>
          </w:p>
        </w:tc>
        <w:tc>
          <w:tcPr>
            <w:tcW w:w="96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(4,737)</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180</w:t>
            </w:r>
          </w:p>
        </w:tc>
      </w:tr>
      <w:tr>
        <w:trPr>
          <w:trHeight w:val="250"/>
        </w:trPr>
        <w:tc>
          <w:tcPr>
            <w:tcW w:w="8100" w:type="dxa"/>
            <w:vAlign w:val="bottom"/>
          </w:tcPr>
          <w:p>
            <w:pPr>
              <w:ind w:left="700"/>
              <w:spacing w:after="0"/>
              <w:rPr>
                <w:sz w:val="20"/>
                <w:szCs w:val="20"/>
                <w:color w:val="auto"/>
              </w:rPr>
            </w:pPr>
            <w:r>
              <w:rPr>
                <w:rFonts w:ascii="Arial" w:cs="Arial" w:eastAsia="Arial" w:hAnsi="Arial"/>
                <w:sz w:val="14"/>
                <w:szCs w:val="14"/>
                <w:color w:val="auto"/>
              </w:rPr>
              <w:t>Net cash provided by (used for) operating activities</w:t>
            </w:r>
          </w:p>
        </w:tc>
        <w:tc>
          <w:tcPr>
            <w:tcW w:w="960" w:type="dxa"/>
            <w:vAlign w:val="bottom"/>
          </w:tcPr>
          <w:p>
            <w:pPr>
              <w:spacing w:after="0"/>
              <w:rPr>
                <w:sz w:val="21"/>
                <w:szCs w:val="21"/>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38,681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22,530</w:t>
            </w:r>
          </w:p>
        </w:tc>
      </w:tr>
      <w:tr>
        <w:trPr>
          <w:trHeight w:val="276"/>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used for investing activities:</w:t>
            </w:r>
          </w:p>
        </w:tc>
        <w:tc>
          <w:tcPr>
            <w:tcW w:w="9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4"/>
        </w:trPr>
        <w:tc>
          <w:tcPr>
            <w:tcW w:w="8100" w:type="dxa"/>
            <w:vAlign w:val="bottom"/>
          </w:tcPr>
          <w:p>
            <w:pPr>
              <w:ind w:left="380"/>
              <w:spacing w:after="0"/>
              <w:rPr>
                <w:sz w:val="20"/>
                <w:szCs w:val="20"/>
                <w:color w:val="auto"/>
              </w:rPr>
            </w:pPr>
            <w:r>
              <w:rPr>
                <w:rFonts w:ascii="Arial" w:cs="Arial" w:eastAsia="Arial" w:hAnsi="Arial"/>
                <w:sz w:val="14"/>
                <w:szCs w:val="14"/>
                <w:color w:val="auto"/>
              </w:rPr>
              <w:t>Acquisition of property, plant, and equipment</w:t>
            </w:r>
          </w:p>
        </w:tc>
        <w:tc>
          <w:tcPr>
            <w:tcW w:w="9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(28,914)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(26,376)</w:t>
            </w:r>
          </w:p>
        </w:tc>
      </w:tr>
      <w:tr>
        <w:trPr>
          <w:trHeight w:val="276"/>
        </w:trPr>
        <w:tc>
          <w:tcPr>
            <w:tcW w:w="81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Acquisition of intangible assets</w:t>
            </w:r>
          </w:p>
        </w:tc>
        <w:tc>
          <w:tcPr>
            <w:tcW w:w="9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(1,877)</w:t>
            </w:r>
          </w:p>
        </w:tc>
      </w:tr>
      <w:tr>
        <w:trPr>
          <w:trHeight w:val="264"/>
        </w:trPr>
        <w:tc>
          <w:tcPr>
            <w:tcW w:w="8100" w:type="dxa"/>
            <w:vAlign w:val="bottom"/>
          </w:tcPr>
          <w:p>
            <w:pPr>
              <w:ind w:left="380"/>
              <w:spacing w:after="0"/>
              <w:rPr>
                <w:sz w:val="20"/>
                <w:szCs w:val="20"/>
                <w:color w:val="auto"/>
              </w:rPr>
            </w:pPr>
            <w:r>
              <w:rPr>
                <w:rFonts w:ascii="Arial" w:cs="Arial" w:eastAsia="Arial" w:hAnsi="Arial"/>
                <w:sz w:val="14"/>
                <w:szCs w:val="14"/>
                <w:color w:val="auto"/>
              </w:rPr>
              <w:t>Increase in restricted cash</w:t>
            </w:r>
          </w:p>
        </w:tc>
        <w:tc>
          <w:tcPr>
            <w:tcW w:w="9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(4,797)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1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Deposit received toward sale of Guangzhou factory</w:t>
            </w:r>
          </w:p>
        </w:tc>
        <w:tc>
          <w:tcPr>
            <w:tcW w:w="9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4,797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100" w:type="dxa"/>
            <w:vAlign w:val="bottom"/>
          </w:tcPr>
          <w:p>
            <w:pPr>
              <w:ind w:left="380"/>
              <w:spacing w:after="0"/>
              <w:rPr>
                <w:sz w:val="20"/>
                <w:szCs w:val="20"/>
                <w:color w:val="auto"/>
              </w:rPr>
            </w:pPr>
            <w:r>
              <w:rPr>
                <w:rFonts w:ascii="Arial" w:cs="Arial" w:eastAsia="Arial" w:hAnsi="Arial"/>
                <w:sz w:val="14"/>
                <w:szCs w:val="14"/>
                <w:color w:val="auto"/>
              </w:rPr>
              <w:t>Deconsolidation of Encore Controls LLC</w:t>
            </w:r>
          </w:p>
        </w:tc>
        <w:tc>
          <w:tcPr>
            <w:tcW w:w="96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81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Acquisition of net assets of Ecolink Intelligent Technology, Inc., net of cash acquired</w:t>
            </w:r>
          </w:p>
        </w:tc>
        <w:tc>
          <w:tcPr>
            <w:tcW w:w="96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(12,482)</w:t>
            </w:r>
          </w:p>
        </w:tc>
      </w:tr>
      <w:tr>
        <w:trPr>
          <w:trHeight w:val="196"/>
        </w:trPr>
        <w:tc>
          <w:tcPr>
            <w:tcW w:w="8100" w:type="dxa"/>
            <w:vAlign w:val="bottom"/>
          </w:tcPr>
          <w:p>
            <w:pPr>
              <w:ind w:left="700"/>
              <w:spacing w:after="0"/>
              <w:rPr>
                <w:sz w:val="20"/>
                <w:szCs w:val="20"/>
                <w:color w:val="auto"/>
              </w:rPr>
            </w:pPr>
            <w:r>
              <w:rPr>
                <w:rFonts w:ascii="Arial" w:cs="Arial" w:eastAsia="Arial" w:hAnsi="Arial"/>
                <w:sz w:val="14"/>
                <w:szCs w:val="14"/>
                <w:color w:val="auto"/>
              </w:rPr>
              <w:t>Net cash used for investing activities</w:t>
            </w:r>
          </w:p>
        </w:tc>
        <w:tc>
          <w:tcPr>
            <w:tcW w:w="9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(30,239)</w:t>
            </w: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(40,735)</w:t>
            </w:r>
          </w:p>
        </w:tc>
      </w:tr>
      <w:tr>
        <w:trPr>
          <w:trHeight w:val="276"/>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provided by (used for) financing activities:</w:t>
            </w:r>
          </w:p>
        </w:tc>
        <w:tc>
          <w:tcPr>
            <w:tcW w:w="9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4"/>
        </w:trPr>
        <w:tc>
          <w:tcPr>
            <w:tcW w:w="8100" w:type="dxa"/>
            <w:vAlign w:val="bottom"/>
          </w:tcPr>
          <w:p>
            <w:pPr>
              <w:ind w:left="380"/>
              <w:spacing w:after="0"/>
              <w:rPr>
                <w:sz w:val="20"/>
                <w:szCs w:val="20"/>
                <w:color w:val="auto"/>
              </w:rPr>
            </w:pPr>
            <w:r>
              <w:rPr>
                <w:rFonts w:ascii="Arial" w:cs="Arial" w:eastAsia="Arial" w:hAnsi="Arial"/>
                <w:sz w:val="14"/>
                <w:szCs w:val="14"/>
                <w:color w:val="auto"/>
              </w:rPr>
              <w:t>Borrowings under line of credit</w:t>
            </w:r>
          </w:p>
        </w:tc>
        <w:tc>
          <w:tcPr>
            <w:tcW w:w="96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92,987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69,500</w:t>
            </w:r>
          </w:p>
        </w:tc>
      </w:tr>
      <w:tr>
        <w:trPr>
          <w:trHeight w:val="276"/>
        </w:trPr>
        <w:tc>
          <w:tcPr>
            <w:tcW w:w="81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Repayments on line of credit</w:t>
            </w:r>
          </w:p>
        </w:tc>
        <w:tc>
          <w:tcPr>
            <w:tcW w:w="9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(107,987)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(22,500)</w:t>
            </w:r>
          </w:p>
        </w:tc>
      </w:tr>
      <w:tr>
        <w:trPr>
          <w:trHeight w:val="264"/>
        </w:trPr>
        <w:tc>
          <w:tcPr>
            <w:tcW w:w="8100" w:type="dxa"/>
            <w:vAlign w:val="bottom"/>
          </w:tcPr>
          <w:p>
            <w:pPr>
              <w:ind w:left="380"/>
              <w:spacing w:after="0"/>
              <w:rPr>
                <w:sz w:val="20"/>
                <w:szCs w:val="20"/>
                <w:color w:val="auto"/>
              </w:rPr>
            </w:pPr>
            <w:r>
              <w:rPr>
                <w:rFonts w:ascii="Arial" w:cs="Arial" w:eastAsia="Arial" w:hAnsi="Arial"/>
                <w:sz w:val="14"/>
                <w:szCs w:val="14"/>
                <w:color w:val="auto"/>
              </w:rPr>
              <w:t>Proceeds from stock options exercised</w:t>
            </w:r>
          </w:p>
        </w:tc>
        <w:tc>
          <w:tcPr>
            <w:tcW w:w="96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4,813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1,648</w:t>
            </w:r>
          </w:p>
        </w:tc>
      </w:tr>
      <w:tr>
        <w:trPr>
          <w:trHeight w:val="276"/>
        </w:trPr>
        <w:tc>
          <w:tcPr>
            <w:tcW w:w="81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Treasury stock purchased</w:t>
            </w:r>
          </w:p>
        </w:tc>
        <w:tc>
          <w:tcPr>
            <w:tcW w:w="9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(78,708)</w:t>
            </w:r>
          </w:p>
        </w:tc>
      </w:tr>
      <w:tr>
        <w:trPr>
          <w:trHeight w:val="264"/>
        </w:trPr>
        <w:tc>
          <w:tcPr>
            <w:tcW w:w="81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Excess tax benefit from stock-based compensation</w:t>
            </w:r>
          </w:p>
        </w:tc>
        <w:tc>
          <w:tcPr>
            <w:tcW w:w="9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2,292</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1,071</w:t>
            </w:r>
          </w:p>
        </w:tc>
      </w:tr>
      <w:tr>
        <w:trPr>
          <w:trHeight w:val="256"/>
        </w:trPr>
        <w:tc>
          <w:tcPr>
            <w:tcW w:w="8100" w:type="dxa"/>
            <w:vAlign w:val="bottom"/>
            <w:shd w:val="clear" w:color="auto" w:fill="CCEEFF"/>
          </w:tcPr>
          <w:p>
            <w:pPr>
              <w:ind w:left="700"/>
              <w:spacing w:after="0"/>
              <w:rPr>
                <w:sz w:val="20"/>
                <w:szCs w:val="20"/>
                <w:color w:val="auto"/>
              </w:rPr>
            </w:pPr>
            <w:r>
              <w:rPr>
                <w:rFonts w:ascii="Arial" w:cs="Arial" w:eastAsia="Arial" w:hAnsi="Arial"/>
                <w:sz w:val="14"/>
                <w:szCs w:val="14"/>
                <w:color w:val="auto"/>
              </w:rPr>
              <w:t>Net cash provided by (used for) financing activities</w:t>
            </w:r>
          </w:p>
        </w:tc>
        <w:tc>
          <w:tcPr>
            <w:tcW w:w="9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(10,083)</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(28,989)</w:t>
            </w:r>
          </w:p>
        </w:tc>
      </w:tr>
      <w:tr>
        <w:trPr>
          <w:trHeight w:val="264"/>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9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(3,184)</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(1,019)</w:t>
            </w:r>
          </w:p>
        </w:tc>
      </w:tr>
      <w:tr>
        <w:trPr>
          <w:trHeight w:val="256"/>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9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(4,825)</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(48,213)</w:t>
            </w:r>
          </w:p>
        </w:tc>
      </w:tr>
      <w:tr>
        <w:trPr>
          <w:trHeight w:val="264"/>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at beginning of year</w:t>
            </w:r>
          </w:p>
        </w:tc>
        <w:tc>
          <w:tcPr>
            <w:tcW w:w="9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52,966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112,521</w:t>
            </w:r>
          </w:p>
        </w:tc>
      </w:tr>
      <w:tr>
        <w:trPr>
          <w:trHeight w:val="243"/>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960" w:type="dxa"/>
            <w:vAlign w:val="bottom"/>
            <w:tcBorders>
              <w:bottom w:val="single" w:sz="8" w:color="auto"/>
            </w:tcBorders>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48,141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64,308</w:t>
            </w:r>
          </w:p>
        </w:tc>
      </w:tr>
      <w:tr>
        <w:trPr>
          <w:trHeight w:val="20"/>
        </w:trPr>
        <w:tc>
          <w:tcPr>
            <w:tcW w:w="8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4"/>
        </w:trPr>
        <w:tc>
          <w:tcPr>
            <w:tcW w:w="8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70"/>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Supplemental cash flow information:</w:t>
            </w:r>
          </w:p>
        </w:tc>
        <w:tc>
          <w:tcPr>
            <w:tcW w:w="9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64"/>
        </w:trPr>
        <w:tc>
          <w:tcPr>
            <w:tcW w:w="8100" w:type="dxa"/>
            <w:vAlign w:val="bottom"/>
          </w:tcPr>
          <w:p>
            <w:pPr>
              <w:ind w:left="20"/>
              <w:spacing w:after="0"/>
              <w:rPr>
                <w:sz w:val="20"/>
                <w:szCs w:val="20"/>
                <w:color w:val="auto"/>
              </w:rPr>
            </w:pPr>
            <w:r>
              <w:rPr>
                <w:rFonts w:ascii="Arial" w:cs="Arial" w:eastAsia="Arial" w:hAnsi="Arial"/>
                <w:sz w:val="14"/>
                <w:szCs w:val="14"/>
                <w:color w:val="auto"/>
              </w:rPr>
              <w:t>Income taxes paid</w:t>
            </w:r>
          </w:p>
        </w:tc>
        <w:tc>
          <w:tcPr>
            <w:tcW w:w="960" w:type="dxa"/>
            <w:vAlign w:val="bottom"/>
          </w:tcPr>
          <w:p>
            <w:pPr>
              <w:jc w:val="right"/>
              <w:ind w:right="78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6,034</w:t>
            </w:r>
          </w:p>
        </w:tc>
        <w:tc>
          <w:tcPr>
            <w:tcW w:w="10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3,922</w:t>
            </w:r>
          </w:p>
        </w:tc>
      </w:tr>
      <w:tr>
        <w:trPr>
          <w:trHeight w:val="276"/>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paid</w:t>
            </w: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w:t>
            </w:r>
          </w:p>
        </w:tc>
      </w:tr>
    </w:tbl>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Notes 4 and 9 for further information concerning our purchases from related party vendors.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400"/>
          </w:cols>
          <w:pgMar w:left="240" w:top="118" w:right="259" w:bottom="1440" w:gutter="0" w:footer="0" w:header="0"/>
        </w:sect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118" w:right="259" w:bottom="1440" w:gutter="0" w:footer="0" w:header="0"/>
          <w:type w:val="continuous"/>
        </w:sectPr>
      </w:pPr>
    </w:p>
    <w:bookmarkStart w:id="6" w:name="page7"/>
    <w:bookmarkEnd w:id="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 and Significant Accounting Policies</w:t>
      </w:r>
    </w:p>
    <w:p>
      <w:pPr>
        <w:spacing w:after="0" w:line="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opinion of management, the accompanying consolidated financial statements of Universal Electronics Inc. and its subsidiaries contain all the adjustments necessary for a fair presentation of financial position, results of operations and cash flows for the periods presented. All such adjustments are of a normal recurring nature. Information and footnote disclosures normally included in financial statements, which are prepared in accordance with accounting principles generally accepted in the United States of America ("U.S. GAAP"), have been condensed or omitted pursuant to the rules and regulations of the Securities and Exchange Commission. As used herein, the terms "Company," "we," "us," and "our" refer to Universal Electronics Inc. and its subsidiaries, unless the context indicates to the contrary.</w:t>
      </w:r>
    </w:p>
    <w:p>
      <w:pPr>
        <w:spacing w:after="0" w:line="1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results of operations for the three and nine months ended September 30, 2016 are not necessarily indicative of the results to be expected for the full year. These financial statements should be read in conjunction with the "Risk Factors," "Management's Discussion and Analysis of Financial Condition and Results of Operations," "Quantitative and Qualitative Disclosures About Market Risk," and the "Financial Statements and Supplementary Data" included in Items 1A, 7, 7A, and 8, respectively, of our Annual Report on Form 10-K for the year ended December 31, 2015.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Estimates, Judgments and Assumptions</w:t>
      </w:r>
    </w:p>
    <w:p>
      <w:pPr>
        <w:spacing w:after="0" w:line="7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preparation of financial statements in conformity with U.S. GAAP requires us to make estimates, judgments and assumptions that affect the reported amounts of assets and liabilities, disclosure of contingent assets and liabilities at the date of the financial statements and the reported amounts of revenues and expenses during the reporting period. On an on-going basis, we evaluate our estimates and assumptions, including those related to revenue recognition, allowances for sales returns and doubtful accounts, inventory valuation, our review for impairment of long-lived assets, intangible assets and goodwill, business combinations, income taxes, stock-based compensation expense and performance-based common stock warrants. Actual results may differ from these estimates and assumptions, and they may be adjusted as more information becomes available. Any adjustment may be material.</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2 to the consolidated financial statements included in our Annual Report on Form 10-K for the year ended December 31, 2015 for a summary of our significant accounting policies.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May 2014, the FASB issued ASU 2014-09, "Revenue from Contracts with Customers", which will supersede most existing U.S. GAAP revenue recognition guidance. This new standard requires an entity to recognize revenue to depict the transfer of goods or services to customers in an amount that reflects the consideration to which an entity expects to be entitled in exchange for those goods or services. In addition, ASU 2014-09 contains expanded disclosure requirements relating to the nature, amount, timing, and uncertainty of revenue and cash flows arising from contracts with customers. ASU 2014-09 is effective for fiscal periods beginning after December 15, 2016 and permits the use of either the full retrospective or cumulative effect transition method. On July 9, 2015, the FASB postponed the effective date of the new revenue standard by one year; however, early adoption is permitted as of the original effective date. We do not plan to early adopt ASU 2014-09. We have not yet selected a transition method and are evaluating the impact that this new standard will have on our consolidated financial statements.</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April 2015, the FASB issued ASU 2015-05, "Customer's Accounting for Fees Paid in a Cloud Computing Arrangement," which amends Accounting Standards Codification ("ASC") 350, "Intangibles - Goodwill and Other". The amendments provide guidance as to whether a cloud computing arrangement includes a software license, and based on that determination, how to account for such arrangements. ASU 2015-05 is effective for fiscal periods beginning after December 15, 2015 and permits the use of either the prospective or retrospective transition method. The adoption of ASU 2015-05 did not have a material impact on our consolidated financial position or results of operations.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July 2015, the FASB issued ASU 2015-11, "Simplifying the Measurement of Inventory", which states that inventory should be measured at the lower of cost and net realizable value. Net realizable value is defined as estimated selling price in the ordinary course of business, less reasonably predictable costs of completion, disposal and transportation. ASU 2015-11 is effective for fiscal periods beginning after December 15, 2016 and must be applied prospectively. Early adoption is permitted. We do not anticipate that the adoption of ASU 2015-11 will have a material impact on our consolidated financial position or results of operations.</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September 2015, the FASB issued ASU 2015-16, "Simplifying the Accounting for Measurement-period Adjustments." This new guidance requires an acquirer in a business combination to recognize adjustments to the provisional amounts that are identified during the measurement period to be reported in the period in which the adjustment amounts are determined. In addition, the effect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earnings of changes in depreciation, amortization and other items as a result of the change to the provisional amounts, calculated as if the accounting had been complete as of the acquisition date, must be recorded in the reporting period in which the adjustment amounts are determined. ASU 2015-16 is effective for fiscal periods beginning after December 15, 2015 and must be applied prospectively. The adoption of ASU 2015-16 did not have a material impact on our consolidated financial position or results of operations.</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November 2015, the FASB issued ASU 2015-17, "Balance Sheet Classification of Deferred Taxes." This new guidance requires all deferred tax assets and liabilities, along with any related valuation allowance, be classified as non-current on the balance sheet. ASU 2015-17 is effective for fiscal periods beginning after December 15, 2016 and may be adopted either prospectively or retrospectively. Early adoption is permitted. We have not yet selected a transition method and are currently evaluating the impact that ASU 2015-17 will have on our consolidated financial statements.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2016, the FASB issued ASU 2016-02, "Leases", which changes the accounting for leases and requires expanded disclosures about leasing activities. This new guidance will require lessees to recognize a right of use asset and a lease liability at the commencement date for all leases with terms greater than twelve months. Accounting by lessors is largely unchanged. ASU 2016-02 is effective for fiscal periods beginning after December 15, 2018 and must be adopted using a modified retrospective approach. Early adoption is permitted. We are currently evaluating the impact that ASU 2016-02 will have on our consolidated financial statements.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2016, the FASB issued ASU 2016-09,"Improvements to Employee Share-Based Payment Accounting", which amends ASC 718, "Compensation - Stock Compensation". ASU 2016-09 is intended to simplify several aspects of the accounting for share-based payment transactions, including income tax consequences, classification of awards as either equity or liabilities, and classification on the statement of cash flows. ASU 2016-09 is effective for fiscal periods beginning after December 15, 2016. Early adoption is permitted. We are currently evaluating the impact that ASU 2016-09 will have on our consolidated financial statements.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2016, the FASB issued ASU 2016-15, "Classification of Certain Cash Receipts and Cash Payments", which amends ASC 230, "Statement of Cash Flows". This new guidance addresses eight specific cash flow issues with the objective of reducing the existing diversity in practice in how certain transactions are classified in the statement of cash flows. ASU 2016-15 is effective for fiscal periods beginning after December 15, 2017 and must be adopted retrospectively. Early adoption is permitted as long as all amendments are adopted in the same period. We are currently evaluating the impact that ASU 2016-15 will have on our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Cash and Cash Equivalents and Restricted Cash</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were held in the following geographic regions: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6"/>
                <w:szCs w:val="16"/>
                <w:color w:val="auto"/>
              </w:rPr>
            </w:pPr>
          </w:p>
        </w:tc>
        <w:tc>
          <w:tcPr>
            <w:tcW w:w="17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2016</w:t>
            </w:r>
          </w:p>
        </w:tc>
        <w:tc>
          <w:tcPr>
            <w:tcW w:w="220" w:type="dxa"/>
            <w:vAlign w:val="bottom"/>
          </w:tcPr>
          <w:p>
            <w:pPr>
              <w:spacing w:after="0"/>
              <w:rPr>
                <w:sz w:val="16"/>
                <w:szCs w:val="16"/>
                <w:color w:val="auto"/>
              </w:rPr>
            </w:pPr>
          </w:p>
        </w:tc>
        <w:tc>
          <w:tcPr>
            <w:tcW w:w="1600" w:type="dxa"/>
            <w:vAlign w:val="bottom"/>
          </w:tcPr>
          <w:p>
            <w:pPr>
              <w:jc w:val="right"/>
              <w:ind w:right="253"/>
              <w:spacing w:after="0"/>
              <w:rPr>
                <w:sz w:val="20"/>
                <w:szCs w:val="20"/>
                <w:color w:val="auto"/>
              </w:rPr>
            </w:pPr>
            <w:r>
              <w:rPr>
                <w:rFonts w:ascii="Arial" w:cs="Arial" w:eastAsia="Arial" w:hAnsi="Arial"/>
                <w:sz w:val="14"/>
                <w:szCs w:val="14"/>
                <w:b w:val="1"/>
                <w:bCs w:val="1"/>
                <w:color w:val="auto"/>
                <w:w w:val="98"/>
              </w:rPr>
              <w:t>December 31, 2015</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8,458</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People's Republic of China ("PRC")</w:t>
            </w: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20,613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28,681</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(excluding the PRC)</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5,346</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Europe</w:t>
            </w: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15,289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8,093</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 America</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3,254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2,388</w:t>
            </w:r>
          </w:p>
        </w:tc>
      </w:tr>
      <w:tr>
        <w:trPr>
          <w:trHeight w:val="257"/>
        </w:trPr>
        <w:tc>
          <w:tcPr>
            <w:tcW w:w="7660" w:type="dxa"/>
            <w:vAlign w:val="bottom"/>
          </w:tcPr>
          <w:p>
            <w:pPr>
              <w:ind w:left="360"/>
              <w:spacing w:after="0"/>
              <w:rPr>
                <w:sz w:val="20"/>
                <w:szCs w:val="20"/>
                <w:color w:val="auto"/>
              </w:rPr>
            </w:pPr>
            <w:r>
              <w:rPr>
                <w:rFonts w:ascii="Arial" w:cs="Arial" w:eastAsia="Arial" w:hAnsi="Arial"/>
                <w:sz w:val="18"/>
                <w:szCs w:val="18"/>
                <w:color w:val="auto"/>
              </w:rPr>
              <w:t>Total cash and cash equivalents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48,141</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52,966</w:t>
            </w:r>
          </w:p>
        </w:tc>
      </w:tr>
      <w:tr>
        <w:trPr>
          <w:trHeight w:val="20"/>
        </w:trPr>
        <w:tc>
          <w:tcPr>
            <w:tcW w:w="7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connection with the court order issued on September 4, 2015, we placed $4.6 million of cash into a collateralized surety bond. This bond has certain restrictions for liquidation and has therefore been classified as restricted cash. Refer to Note 10 for further information about this ongoing litigation.</w:t>
      </w:r>
    </w:p>
    <w:p>
      <w:pPr>
        <w:spacing w:after="0" w:line="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pending sale of our Guangzhou factory in the PRC (Note 10), the buyer made a cash deposit of RMB 32 million ($4.8 million) into an escrow account on September 29, 2016. Under the terms of the escrow account, these funds will not be paid to us until the close of the sale. Accordingly, this deposit is presented as long-term restricted cash within our consolidated balance sheet.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Accounts Receivable, Net and Revenue Concentrations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8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6"/>
                <w:szCs w:val="16"/>
                <w:color w:val="auto"/>
              </w:rPr>
            </w:pPr>
          </w:p>
        </w:tc>
        <w:tc>
          <w:tcPr>
            <w:tcW w:w="1640" w:type="dxa"/>
            <w:vAlign w:val="bottom"/>
            <w:gridSpan w:val="4"/>
          </w:tcPr>
          <w:p>
            <w:pPr>
              <w:ind w:left="80"/>
              <w:spacing w:after="0"/>
              <w:rPr>
                <w:sz w:val="20"/>
                <w:szCs w:val="20"/>
                <w:color w:val="auto"/>
              </w:rPr>
            </w:pPr>
            <w:r>
              <w:rPr>
                <w:rFonts w:ascii="Arial" w:cs="Arial" w:eastAsia="Arial" w:hAnsi="Arial"/>
                <w:sz w:val="14"/>
                <w:szCs w:val="14"/>
                <w:b w:val="1"/>
                <w:bCs w:val="1"/>
                <w:color w:val="auto"/>
              </w:rPr>
              <w:t>September 30, 2016</w:t>
            </w:r>
          </w:p>
        </w:tc>
        <w:tc>
          <w:tcPr>
            <w:tcW w:w="200" w:type="dxa"/>
            <w:vAlign w:val="bottom"/>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250"/>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78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Trade receivables, gross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131,229</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119,090</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80" w:type="dxa"/>
            <w:vAlign w:val="bottom"/>
            <w:gridSpan w:val="2"/>
          </w:tcPr>
          <w:p>
            <w:pPr>
              <w:ind w:left="20"/>
              <w:spacing w:after="0"/>
              <w:rPr>
                <w:sz w:val="20"/>
                <w:szCs w:val="20"/>
                <w:color w:val="auto"/>
              </w:rPr>
            </w:pPr>
            <w:r>
              <w:rPr>
                <w:rFonts w:ascii="Arial" w:cs="Arial" w:eastAsia="Arial" w:hAnsi="Arial"/>
                <w:sz w:val="18"/>
                <w:szCs w:val="18"/>
                <w:color w:val="auto"/>
              </w:rPr>
              <w:t>Allowance for doubtful accounts</w:t>
            </w: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(960)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Allowance for sales returns</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80" w:type="dxa"/>
            <w:vAlign w:val="bottom"/>
            <w:gridSpan w:val="2"/>
          </w:tcPr>
          <w:p>
            <w:pPr>
              <w:ind w:left="360"/>
              <w:spacing w:after="0"/>
              <w:rPr>
                <w:sz w:val="20"/>
                <w:szCs w:val="20"/>
                <w:color w:val="auto"/>
              </w:rPr>
            </w:pPr>
            <w:r>
              <w:rPr>
                <w:rFonts w:ascii="Arial" w:cs="Arial" w:eastAsia="Arial" w:hAnsi="Arial"/>
                <w:sz w:val="18"/>
                <w:szCs w:val="18"/>
                <w:color w:val="auto"/>
              </w:rPr>
              <w:t>Net trade receivables</w:t>
            </w: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129,779</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117,761</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4,659</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4,040</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80" w:type="dxa"/>
            <w:vAlign w:val="bottom"/>
            <w:gridSpan w:val="2"/>
          </w:tcPr>
          <w:p>
            <w:pPr>
              <w:ind w:left="360"/>
              <w:spacing w:after="0"/>
              <w:rPr>
                <w:sz w:val="20"/>
                <w:szCs w:val="20"/>
                <w:color w:val="auto"/>
              </w:rPr>
            </w:pPr>
            <w:r>
              <w:rPr>
                <w:rFonts w:ascii="Arial" w:cs="Arial" w:eastAsia="Arial" w:hAnsi="Arial"/>
                <w:sz w:val="18"/>
                <w:szCs w:val="18"/>
                <w:color w:val="auto"/>
              </w:rPr>
              <w:t>Accounts receivable, net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134,438</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121,801</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Allowance for Doubtful Accounts</w:t>
            </w: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gridSpan w:val="3"/>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90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900" w:type="dxa"/>
            <w:vAlign w:val="bottom"/>
            <w:gridSpan w:val="3"/>
          </w:tcPr>
          <w:p>
            <w:pPr>
              <w:spacing w:after="0"/>
              <w:rPr>
                <w:sz w:val="20"/>
                <w:szCs w:val="20"/>
                <w:color w:val="auto"/>
              </w:rPr>
            </w:pPr>
            <w:r>
              <w:rPr>
                <w:rFonts w:ascii="Arial" w:cs="Arial" w:eastAsia="Arial" w:hAnsi="Arial"/>
                <w:sz w:val="18"/>
                <w:szCs w:val="18"/>
                <w:color w:val="auto"/>
              </w:rPr>
              <w:t>Changes in the allowance for doubtful accounts were as follows:</w:t>
            </w: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2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6"/>
          </w:tcPr>
          <w:p>
            <w:pPr>
              <w:jc w:val="right"/>
              <w:ind w:right="573"/>
              <w:spacing w:after="0"/>
              <w:rPr>
                <w:sz w:val="20"/>
                <w:szCs w:val="20"/>
                <w:color w:val="auto"/>
              </w:rPr>
            </w:pPr>
            <w:r>
              <w:rPr>
                <w:rFonts w:ascii="Arial" w:cs="Arial" w:eastAsia="Arial" w:hAnsi="Arial"/>
                <w:sz w:val="14"/>
                <w:szCs w:val="14"/>
                <w:b w:val="1"/>
                <w:bCs w:val="1"/>
                <w:color w:val="auto"/>
              </w:rPr>
              <w:t>Nine Months Ended September 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822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80" w:type="dxa"/>
            <w:vAlign w:val="bottom"/>
            <w:gridSpan w:val="2"/>
          </w:tcPr>
          <w:p>
            <w:pPr>
              <w:ind w:left="20"/>
              <w:spacing w:after="0"/>
              <w:rPr>
                <w:sz w:val="20"/>
                <w:szCs w:val="20"/>
                <w:color w:val="auto"/>
              </w:rPr>
            </w:pPr>
            <w:r>
              <w:rPr>
                <w:rFonts w:ascii="Arial" w:cs="Arial" w:eastAsia="Arial" w:hAnsi="Arial"/>
                <w:sz w:val="18"/>
                <w:szCs w:val="18"/>
                <w:color w:val="auto"/>
              </w:rPr>
              <w:t>Additions (reductions) to costs and expenses</w:t>
            </w:r>
          </w:p>
        </w:tc>
        <w:tc>
          <w:tcPr>
            <w:tcW w:w="18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189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(Write-offs)/Foreign exchange effects</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860" w:type="dxa"/>
            <w:vAlign w:val="bottom"/>
          </w:tcPr>
          <w:p>
            <w:pPr>
              <w:ind w:left="20"/>
              <w:spacing w:after="0"/>
              <w:rPr>
                <w:sz w:val="20"/>
                <w:szCs w:val="20"/>
                <w:color w:val="auto"/>
              </w:rPr>
            </w:pPr>
            <w:r>
              <w:rPr>
                <w:rFonts w:ascii="Arial" w:cs="Arial" w:eastAsia="Arial" w:hAnsi="Arial"/>
                <w:sz w:val="18"/>
                <w:szCs w:val="18"/>
                <w:color w:val="auto"/>
              </w:rPr>
              <w:t>Balance at end of period</w:t>
            </w:r>
          </w:p>
        </w:tc>
        <w:tc>
          <w:tcPr>
            <w:tcW w:w="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960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728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Returns</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allowance for sales returns at September 30, 2016 and December 31, 2015 included reserves for items returned prior to period-end that were not completely processed, and therefore had not yet been removed from the allowance for sales returns balance. If these returns had been fully processed, the allowance for sales returns balance would have been approximately $0.3 million and $0.3 million on September 30, 2016 and December 31, 2015, respectively. The value of these returned goods was included in our inventory balance at September 30, 2016 and December 31, 2015.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Customers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Net sales to the following customers totaled more than 10% of our net sales: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6"/>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264"/>
        </w:trPr>
        <w:tc>
          <w:tcPr>
            <w:tcW w:w="40" w:type="dxa"/>
            <w:vAlign w:val="bottom"/>
          </w:tcPr>
          <w:p>
            <w:pPr>
              <w:spacing w:after="0"/>
              <w:rPr>
                <w:sz w:val="22"/>
                <w:szCs w:val="22"/>
                <w:color w:val="auto"/>
              </w:rPr>
            </w:pPr>
          </w:p>
        </w:tc>
        <w:tc>
          <w:tcPr>
            <w:tcW w:w="47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2015</w:t>
            </w:r>
          </w:p>
        </w:tc>
        <w:tc>
          <w:tcPr>
            <w:tcW w:w="13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478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gridSpan w:val="3"/>
          </w:tcPr>
          <w:p>
            <w:pPr>
              <w:jc w:val="right"/>
              <w:ind w:right="175"/>
              <w:spacing w:after="0"/>
              <w:rPr>
                <w:sz w:val="20"/>
                <w:szCs w:val="20"/>
                <w:color w:val="auto"/>
              </w:rPr>
            </w:pPr>
            <w:r>
              <w:rPr>
                <w:rFonts w:ascii="Arial" w:cs="Arial" w:eastAsia="Arial" w:hAnsi="Arial"/>
                <w:sz w:val="14"/>
                <w:szCs w:val="14"/>
                <w:b w:val="1"/>
                <w:bCs w:val="1"/>
                <w:color w:val="auto"/>
              </w:rPr>
              <w:t>$ (thousands)</w:t>
            </w:r>
          </w:p>
        </w:tc>
        <w:tc>
          <w:tcPr>
            <w:tcW w:w="340" w:type="dxa"/>
            <w:vAlign w:val="bottom"/>
            <w:tcBorders>
              <w:bottom w:val="single" w:sz="8" w:color="CCEEFF"/>
            </w:tcBorders>
            <w:gridSpan w:val="2"/>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jc w:val="right"/>
              <w:ind w:right="188"/>
              <w:spacing w:after="0"/>
              <w:rPr>
                <w:sz w:val="20"/>
                <w:szCs w:val="20"/>
                <w:color w:val="auto"/>
              </w:rPr>
            </w:pPr>
            <w:r>
              <w:rPr>
                <w:rFonts w:ascii="Arial" w:cs="Arial" w:eastAsia="Arial" w:hAnsi="Arial"/>
                <w:sz w:val="14"/>
                <w:szCs w:val="14"/>
                <w:b w:val="1"/>
                <w:bCs w:val="1"/>
                <w:color w:val="auto"/>
              </w:rPr>
              <w:t>% of Net Sales</w:t>
            </w:r>
          </w:p>
        </w:tc>
        <w:tc>
          <w:tcPr>
            <w:tcW w:w="340" w:type="dxa"/>
            <w:vAlign w:val="bottom"/>
            <w:tcBorders>
              <w:bottom w:val="single" w:sz="8" w:color="CCEEFF"/>
            </w:tcBorders>
            <w:gridSpan w:val="2"/>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jc w:val="right"/>
              <w:ind w:right="194"/>
              <w:spacing w:after="0"/>
              <w:rPr>
                <w:sz w:val="20"/>
                <w:szCs w:val="20"/>
                <w:color w:val="auto"/>
              </w:rPr>
            </w:pPr>
            <w:r>
              <w:rPr>
                <w:rFonts w:ascii="Arial" w:cs="Arial" w:eastAsia="Arial" w:hAnsi="Arial"/>
                <w:sz w:val="14"/>
                <w:szCs w:val="14"/>
                <w:b w:val="1"/>
                <w:bCs w:val="1"/>
                <w:color w:val="auto"/>
                <w:w w:val="95"/>
              </w:rPr>
              <w:t>$ (thousands)</w:t>
            </w: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 of Net Sales</w:t>
            </w: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Comcast Corporation</w:t>
            </w:r>
          </w:p>
        </w:tc>
        <w:tc>
          <w:tcPr>
            <w:tcW w:w="42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35,554</w:t>
            </w:r>
          </w:p>
        </w:tc>
        <w:tc>
          <w:tcPr>
            <w:tcW w:w="3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w w:val="93"/>
              </w:rPr>
              <w:t>21.0%</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42,675</w:t>
            </w:r>
          </w:p>
        </w:tc>
        <w:tc>
          <w:tcPr>
            <w:tcW w:w="1740" w:type="dxa"/>
            <w:vAlign w:val="bottom"/>
            <w:tcBorders>
              <w:bottom w:val="single" w:sz="8" w:color="CCEEFF"/>
            </w:tcBorders>
            <w:gridSpan w:val="4"/>
            <w:shd w:val="clear" w:color="auto" w:fill="CCEEFF"/>
          </w:tcPr>
          <w:p>
            <w:pPr>
              <w:ind w:left="1260"/>
              <w:spacing w:after="0"/>
              <w:rPr>
                <w:sz w:val="20"/>
                <w:szCs w:val="20"/>
                <w:color w:val="auto"/>
              </w:rPr>
            </w:pPr>
            <w:r>
              <w:rPr>
                <w:rFonts w:ascii="Arial" w:cs="Arial" w:eastAsia="Arial" w:hAnsi="Arial"/>
                <w:sz w:val="18"/>
                <w:szCs w:val="18"/>
                <w:color w:val="auto"/>
                <w:w w:val="90"/>
              </w:rPr>
              <w:t>26.6%</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DIRECTV</w:t>
            </w: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19,642</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80" w:type="dxa"/>
            <w:vAlign w:val="bottom"/>
            <w:gridSpan w:val="2"/>
          </w:tcPr>
          <w:p>
            <w:pPr>
              <w:ind w:left="900"/>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21,957</w:t>
            </w:r>
          </w:p>
        </w:tc>
        <w:tc>
          <w:tcPr>
            <w:tcW w:w="1740" w:type="dxa"/>
            <w:vAlign w:val="bottom"/>
            <w:gridSpan w:val="4"/>
          </w:tcPr>
          <w:p>
            <w:pPr>
              <w:ind w:left="1260"/>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21"/>
                <w:szCs w:val="21"/>
                <w:color w:val="auto"/>
              </w:rPr>
            </w:pPr>
          </w:p>
        </w:tc>
      </w:tr>
      <w:tr>
        <w:trPr>
          <w:trHeight w:val="575"/>
        </w:trPr>
        <w:tc>
          <w:tcPr>
            <w:tcW w:w="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6"/>
          </w:tcPr>
          <w:p>
            <w:pPr>
              <w:jc w:val="right"/>
              <w:ind w:right="174"/>
              <w:spacing w:after="0"/>
              <w:rPr>
                <w:sz w:val="20"/>
                <w:szCs w:val="20"/>
                <w:color w:val="auto"/>
              </w:rPr>
            </w:pPr>
            <w:r>
              <w:rPr>
                <w:rFonts w:ascii="Arial" w:cs="Arial" w:eastAsia="Arial" w:hAnsi="Arial"/>
                <w:sz w:val="14"/>
                <w:szCs w:val="14"/>
                <w:b w:val="1"/>
                <w:bCs w:val="1"/>
                <w:color w:val="auto"/>
              </w:rPr>
              <w:t>Nine Months Ended September 30,</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47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jc w:val="right"/>
              <w:ind w:right="1008"/>
              <w:spacing w:after="0"/>
              <w:rPr>
                <w:sz w:val="20"/>
                <w:szCs w:val="20"/>
                <w:color w:val="auto"/>
              </w:rPr>
            </w:pPr>
            <w:r>
              <w:rPr>
                <w:rFonts w:ascii="Arial" w:cs="Arial" w:eastAsia="Arial" w:hAnsi="Arial"/>
                <w:sz w:val="14"/>
                <w:szCs w:val="14"/>
                <w:b w:val="1"/>
                <w:bCs w:val="1"/>
                <w:color w:val="auto"/>
                <w:w w:val="89"/>
              </w:rPr>
              <w:t>2016</w:t>
            </w:r>
          </w:p>
        </w:tc>
        <w:tc>
          <w:tcPr>
            <w:tcW w:w="2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4"/>
          </w:tcPr>
          <w:p>
            <w:pPr>
              <w:jc w:val="right"/>
              <w:ind w:right="1228"/>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22"/>
                <w:szCs w:val="22"/>
                <w:color w:val="auto"/>
              </w:rPr>
            </w:pPr>
          </w:p>
        </w:tc>
      </w:tr>
      <w:tr>
        <w:trPr>
          <w:trHeight w:val="264"/>
        </w:trPr>
        <w:tc>
          <w:tcPr>
            <w:tcW w:w="40" w:type="dxa"/>
            <w:vAlign w:val="bottom"/>
          </w:tcPr>
          <w:p>
            <w:pPr>
              <w:spacing w:after="0"/>
              <w:rPr>
                <w:sz w:val="22"/>
                <w:szCs w:val="22"/>
                <w:color w:val="auto"/>
              </w:rPr>
            </w:pPr>
          </w:p>
        </w:tc>
        <w:tc>
          <w:tcPr>
            <w:tcW w:w="4780" w:type="dxa"/>
            <w:vAlign w:val="bottom"/>
            <w:tcBorders>
              <w:bottom w:val="single" w:sz="8" w:color="CCEEFF"/>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93"/>
              </w:rPr>
              <w:t>$ (thousands)</w:t>
            </w:r>
          </w:p>
        </w:tc>
        <w:tc>
          <w:tcPr>
            <w:tcW w:w="60" w:type="dxa"/>
            <w:vAlign w:val="bottom"/>
            <w:tcBorders>
              <w:bottom w:val="single" w:sz="8" w:color="CCEEFF"/>
            </w:tcBorders>
            <w:gridSpan w:val="2"/>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 of Net Sales</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3"/>
              </w:rPr>
              <w:t>$ (thousands)</w:t>
            </w:r>
          </w:p>
        </w:tc>
        <w:tc>
          <w:tcPr>
            <w:tcW w:w="80" w:type="dxa"/>
            <w:vAlign w:val="bottom"/>
            <w:tcBorders>
              <w:bottom w:val="single" w:sz="8" w:color="auto"/>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 of Net Sales</w:t>
            </w:r>
          </w:p>
        </w:tc>
        <w:tc>
          <w:tcPr>
            <w:tcW w:w="20" w:type="dxa"/>
            <w:vAlign w:val="bottom"/>
          </w:tcPr>
          <w:p>
            <w:pPr>
              <w:spacing w:after="0"/>
              <w:rPr>
                <w:sz w:val="22"/>
                <w:szCs w:val="22"/>
                <w:color w:val="auto"/>
              </w:rPr>
            </w:pPr>
          </w:p>
        </w:tc>
      </w:tr>
      <w:tr>
        <w:trPr>
          <w:trHeight w:val="250"/>
        </w:trPr>
        <w:tc>
          <w:tcPr>
            <w:tcW w:w="4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Comcast Corporation</w:t>
            </w:r>
          </w:p>
        </w:tc>
        <w:tc>
          <w:tcPr>
            <w:tcW w:w="5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111,529</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3"/>
            <w:shd w:val="clear" w:color="auto" w:fill="CCEEFF"/>
          </w:tcPr>
          <w:p>
            <w:pPr>
              <w:ind w:left="1080"/>
              <w:spacing w:after="0"/>
              <w:rPr>
                <w:sz w:val="20"/>
                <w:szCs w:val="20"/>
                <w:color w:val="auto"/>
              </w:rPr>
            </w:pPr>
            <w:r>
              <w:rPr>
                <w:rFonts w:ascii="Arial" w:cs="Arial" w:eastAsia="Arial" w:hAnsi="Arial"/>
                <w:sz w:val="18"/>
                <w:szCs w:val="18"/>
                <w:color w:val="auto"/>
                <w:w w:val="97"/>
              </w:rPr>
              <w:t>22.7%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88,633</w:t>
            </w:r>
          </w:p>
        </w:tc>
        <w:tc>
          <w:tcPr>
            <w:tcW w:w="1740" w:type="dxa"/>
            <w:vAlign w:val="bottom"/>
            <w:tcBorders>
              <w:bottom w:val="single" w:sz="8" w:color="CCEEFF"/>
            </w:tcBorders>
            <w:gridSpan w:val="4"/>
            <w:shd w:val="clear" w:color="auto" w:fill="CCEEFF"/>
          </w:tcPr>
          <w:p>
            <w:pPr>
              <w:ind w:left="1220"/>
              <w:spacing w:after="0"/>
              <w:rPr>
                <w:sz w:val="20"/>
                <w:szCs w:val="20"/>
                <w:color w:val="auto"/>
              </w:rPr>
            </w:pPr>
            <w:r>
              <w:rPr>
                <w:rFonts w:ascii="Arial" w:cs="Arial" w:eastAsia="Arial" w:hAnsi="Arial"/>
                <w:sz w:val="18"/>
                <w:szCs w:val="18"/>
                <w:color w:val="auto"/>
                <w:w w:val="97"/>
              </w:rPr>
              <w:t>20.1%</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DIRECTV</w:t>
            </w: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56,496</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0" w:type="dxa"/>
            <w:vAlign w:val="bottom"/>
            <w:gridSpan w:val="3"/>
          </w:tcPr>
          <w:p>
            <w:pPr>
              <w:ind w:left="108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57,447</w:t>
            </w:r>
          </w:p>
        </w:tc>
        <w:tc>
          <w:tcPr>
            <w:tcW w:w="1740" w:type="dxa"/>
            <w:vAlign w:val="bottom"/>
            <w:gridSpan w:val="4"/>
          </w:tcPr>
          <w:p>
            <w:pPr>
              <w:ind w:left="1220"/>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21"/>
                <w:szCs w:val="21"/>
                <w:color w:val="auto"/>
              </w:rPr>
            </w:pPr>
          </w:p>
        </w:tc>
      </w:tr>
      <w:tr>
        <w:trPr>
          <w:trHeight w:val="783"/>
        </w:trPr>
        <w:tc>
          <w:tcPr>
            <w:tcW w:w="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335"/>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Trade receivables associated with these significant customers that totaled more than 10% of our accounts receivable, net were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3"/>
          </w:tcPr>
          <w:p>
            <w:pPr>
              <w:jc w:val="right"/>
              <w:ind w:right="762"/>
              <w:spacing w:after="0"/>
              <w:rPr>
                <w:sz w:val="20"/>
                <w:szCs w:val="20"/>
                <w:color w:val="auto"/>
              </w:rPr>
            </w:pPr>
            <w:r>
              <w:rPr>
                <w:rFonts w:ascii="Arial" w:cs="Arial" w:eastAsia="Arial" w:hAnsi="Arial"/>
                <w:sz w:val="14"/>
                <w:szCs w:val="14"/>
                <w:b w:val="1"/>
                <w:bCs w:val="1"/>
                <w:color w:val="auto"/>
              </w:rPr>
              <w:t>September 30, 2016</w:t>
            </w:r>
          </w:p>
        </w:tc>
        <w:tc>
          <w:tcPr>
            <w:tcW w:w="3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5"/>
          </w:tcPr>
          <w:p>
            <w:pPr>
              <w:jc w:val="right"/>
              <w:ind w:right="854"/>
              <w:spacing w:after="0"/>
              <w:rPr>
                <w:sz w:val="20"/>
                <w:szCs w:val="20"/>
                <w:color w:val="auto"/>
              </w:rPr>
            </w:pPr>
            <w:r>
              <w:rPr>
                <w:rFonts w:ascii="Arial" w:cs="Arial" w:eastAsia="Arial" w:hAnsi="Arial"/>
                <w:sz w:val="14"/>
                <w:szCs w:val="14"/>
                <w:b w:val="1"/>
                <w:bCs w:val="1"/>
                <w:color w:val="auto"/>
              </w:rPr>
              <w:t>December 31, 2015</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vMerge w:val="restart"/>
          </w:tcPr>
          <w:p>
            <w:pPr>
              <w:jc w:val="right"/>
              <w:ind w:right="182"/>
              <w:spacing w:after="0"/>
              <w:rPr>
                <w:sz w:val="20"/>
                <w:szCs w:val="20"/>
                <w:color w:val="auto"/>
              </w:rPr>
            </w:pPr>
            <w:r>
              <w:rPr>
                <w:rFonts w:ascii="Arial" w:cs="Arial" w:eastAsia="Arial" w:hAnsi="Arial"/>
                <w:sz w:val="14"/>
                <w:szCs w:val="14"/>
                <w:b w:val="1"/>
                <w:bCs w:val="1"/>
                <w:color w:val="auto"/>
                <w:w w:val="95"/>
              </w:rPr>
              <w:t>$ (thousands)</w:t>
            </w:r>
          </w:p>
        </w:tc>
        <w:tc>
          <w:tcPr>
            <w:tcW w:w="320" w:type="dxa"/>
            <w:vAlign w:val="bottom"/>
            <w:vMerge w:val="restart"/>
          </w:tcPr>
          <w:p>
            <w:pPr>
              <w:spacing w:after="0"/>
              <w:rPr>
                <w:sz w:val="13"/>
                <w:szCs w:val="13"/>
                <w:color w:val="auto"/>
              </w:rPr>
            </w:pPr>
          </w:p>
        </w:tc>
        <w:tc>
          <w:tcPr>
            <w:tcW w:w="13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 of Accounts</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w w:val="95"/>
              </w:rPr>
              <w:t>$ (thousands)</w:t>
            </w:r>
          </w:p>
        </w:tc>
        <w:tc>
          <w:tcPr>
            <w:tcW w:w="180" w:type="dxa"/>
            <w:vAlign w:val="bottom"/>
            <w:gridSpan w:val="2"/>
            <w:vMerge w:val="restart"/>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w w:val="92"/>
              </w:rPr>
              <w:t>% of Accounts</w:t>
            </w:r>
          </w:p>
        </w:tc>
        <w:tc>
          <w:tcPr>
            <w:tcW w:w="0" w:type="dxa"/>
            <w:vAlign w:val="bottom"/>
          </w:tcPr>
          <w:p>
            <w:pPr>
              <w:spacing w:after="0"/>
              <w:rPr>
                <w:sz w:val="1"/>
                <w:szCs w:val="1"/>
                <w:color w:val="auto"/>
              </w:rPr>
            </w:pPr>
          </w:p>
        </w:tc>
      </w:tr>
      <w:tr>
        <w:trPr>
          <w:trHeight w:val="192"/>
        </w:trPr>
        <w:tc>
          <w:tcPr>
            <w:tcW w:w="220" w:type="dxa"/>
            <w:vAlign w:val="bottom"/>
          </w:tcPr>
          <w:p>
            <w:pPr>
              <w:spacing w:after="0"/>
              <w:rPr>
                <w:sz w:val="16"/>
                <w:szCs w:val="16"/>
                <w:color w:val="auto"/>
              </w:rPr>
            </w:pPr>
          </w:p>
        </w:tc>
        <w:tc>
          <w:tcPr>
            <w:tcW w:w="46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Receivable, Net</w:t>
            </w:r>
          </w:p>
        </w:tc>
        <w:tc>
          <w:tcPr>
            <w:tcW w:w="3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CCEEFF"/>
            </w:tcBorders>
            <w:gridSpan w:val="2"/>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Receivable, Net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Comcast Corporation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29,733</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29,404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Note 4 — Inventories, Net and Significant Supplier</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820" w:type="dxa"/>
            <w:vAlign w:val="bottom"/>
            <w:gridSpan w:val="2"/>
          </w:tcPr>
          <w:p>
            <w:pPr>
              <w:spacing w:after="0"/>
              <w:rPr>
                <w:sz w:val="20"/>
                <w:szCs w:val="20"/>
                <w:color w:val="auto"/>
              </w:rPr>
            </w:pPr>
            <w:r>
              <w:rPr>
                <w:rFonts w:ascii="Arial" w:cs="Arial" w:eastAsia="Arial" w:hAnsi="Arial"/>
                <w:sz w:val="18"/>
                <w:szCs w:val="18"/>
                <w:color w:val="auto"/>
              </w:rPr>
              <w:t>Inventories, net were as follows: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82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40" w:type="dxa"/>
            <w:vAlign w:val="bottom"/>
            <w:gridSpan w:val="5"/>
          </w:tcPr>
          <w:p>
            <w:pPr>
              <w:ind w:left="260"/>
              <w:spacing w:after="0"/>
              <w:rPr>
                <w:sz w:val="20"/>
                <w:szCs w:val="20"/>
                <w:color w:val="auto"/>
              </w:rPr>
            </w:pPr>
            <w:r>
              <w:rPr>
                <w:rFonts w:ascii="Arial" w:cs="Arial" w:eastAsia="Arial" w:hAnsi="Arial"/>
                <w:sz w:val="14"/>
                <w:szCs w:val="14"/>
                <w:b w:val="1"/>
                <w:bCs w:val="1"/>
                <w:color w:val="auto"/>
              </w:rPr>
              <w:t>September 30, 2016</w:t>
            </w:r>
          </w:p>
        </w:tc>
        <w:tc>
          <w:tcPr>
            <w:tcW w:w="140" w:type="dxa"/>
            <w:vAlign w:val="bottom"/>
          </w:tcPr>
          <w:p>
            <w:pPr>
              <w:spacing w:after="0"/>
              <w:rPr>
                <w:sz w:val="24"/>
                <w:szCs w:val="24"/>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250"/>
        </w:trPr>
        <w:tc>
          <w:tcPr>
            <w:tcW w:w="48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36,289</w:t>
            </w: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29,290</w:t>
            </w:r>
          </w:p>
        </w:tc>
        <w:tc>
          <w:tcPr>
            <w:tcW w:w="0" w:type="dxa"/>
            <w:vAlign w:val="bottom"/>
          </w:tcPr>
          <w:p>
            <w:pPr>
              <w:spacing w:after="0"/>
              <w:rPr>
                <w:sz w:val="1"/>
                <w:szCs w:val="1"/>
                <w:color w:val="auto"/>
              </w:rPr>
            </w:pP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Components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18,362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12,228</w:t>
            </w:r>
          </w:p>
        </w:tc>
        <w:tc>
          <w:tcPr>
            <w:tcW w:w="0" w:type="dxa"/>
            <w:vAlign w:val="bottom"/>
          </w:tcPr>
          <w:p>
            <w:pPr>
              <w:spacing w:after="0"/>
              <w:rPr>
                <w:sz w:val="1"/>
                <w:szCs w:val="1"/>
                <w:color w:val="auto"/>
              </w:rPr>
            </w:pPr>
          </w:p>
        </w:tc>
      </w:tr>
      <w:tr>
        <w:trPr>
          <w:trHeight w:val="27"/>
        </w:trPr>
        <w:tc>
          <w:tcPr>
            <w:tcW w:w="48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Work in process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5,671</w:t>
            </w:r>
          </w:p>
        </w:tc>
        <w:tc>
          <w:tcPr>
            <w:tcW w:w="0" w:type="dxa"/>
            <w:vAlign w:val="bottom"/>
          </w:tcPr>
          <w:p>
            <w:pPr>
              <w:spacing w:after="0"/>
              <w:rPr>
                <w:sz w:val="1"/>
                <w:szCs w:val="1"/>
                <w:color w:val="auto"/>
              </w:rPr>
            </w:pP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Finished goods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67,954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78,222</w:t>
            </w:r>
          </w:p>
        </w:tc>
        <w:tc>
          <w:tcPr>
            <w:tcW w:w="0" w:type="dxa"/>
            <w:vAlign w:val="bottom"/>
          </w:tcPr>
          <w:p>
            <w:pPr>
              <w:spacing w:after="0"/>
              <w:rPr>
                <w:sz w:val="1"/>
                <w:szCs w:val="1"/>
                <w:color w:val="auto"/>
              </w:rPr>
            </w:pPr>
          </w:p>
        </w:tc>
      </w:tr>
      <w:tr>
        <w:trPr>
          <w:trHeight w:val="27"/>
        </w:trPr>
        <w:tc>
          <w:tcPr>
            <w:tcW w:w="48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Reserve for excess and obsolete inventory</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(3,658)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(3,045)</w:t>
            </w: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4600" w:type="dxa"/>
            <w:vAlign w:val="bottom"/>
          </w:tcPr>
          <w:p>
            <w:pPr>
              <w:ind w:left="60"/>
              <w:spacing w:after="0"/>
              <w:rPr>
                <w:sz w:val="20"/>
                <w:szCs w:val="20"/>
                <w:color w:val="auto"/>
              </w:rPr>
            </w:pPr>
            <w:r>
              <w:rPr>
                <w:rFonts w:ascii="Arial" w:cs="Arial" w:eastAsia="Arial" w:hAnsi="Arial"/>
                <w:sz w:val="18"/>
                <w:szCs w:val="18"/>
                <w:color w:val="auto"/>
              </w:rPr>
              <w:t>Inventories, net</w:t>
            </w: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4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124,091</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122,366</w:t>
            </w:r>
          </w:p>
        </w:tc>
        <w:tc>
          <w:tcPr>
            <w:tcW w:w="0" w:type="dxa"/>
            <w:vAlign w:val="bottom"/>
          </w:tcPr>
          <w:p>
            <w:pPr>
              <w:spacing w:after="0"/>
              <w:rPr>
                <w:sz w:val="1"/>
                <w:szCs w:val="1"/>
                <w:color w:val="auto"/>
              </w:rPr>
            </w:pPr>
          </w:p>
        </w:tc>
      </w:tr>
      <w:tr>
        <w:trPr>
          <w:trHeight w:val="27"/>
        </w:trPr>
        <w:tc>
          <w:tcPr>
            <w:tcW w:w="48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Reserve for Excess and Obsolete Inventory</w:t>
            </w: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8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480" w:type="dxa"/>
            <w:vAlign w:val="bottom"/>
            <w:gridSpan w:val="5"/>
          </w:tcPr>
          <w:p>
            <w:pPr>
              <w:spacing w:after="0"/>
              <w:rPr>
                <w:sz w:val="20"/>
                <w:szCs w:val="20"/>
                <w:color w:val="auto"/>
              </w:rPr>
            </w:pPr>
            <w:r>
              <w:rPr>
                <w:rFonts w:ascii="Arial" w:cs="Arial" w:eastAsia="Arial" w:hAnsi="Arial"/>
                <w:sz w:val="18"/>
                <w:szCs w:val="18"/>
                <w:color w:val="auto"/>
              </w:rPr>
              <w:t>Changes in the reserve for excess and obsolete inventory were as follows:</w:t>
            </w: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2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jc w:val="right"/>
              <w:ind w:right="68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48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13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2,539</w:t>
            </w:r>
          </w:p>
        </w:tc>
        <w:tc>
          <w:tcPr>
            <w:tcW w:w="0" w:type="dxa"/>
            <w:vAlign w:val="bottom"/>
          </w:tcPr>
          <w:p>
            <w:pPr>
              <w:spacing w:after="0"/>
              <w:rPr>
                <w:sz w:val="1"/>
                <w:szCs w:val="1"/>
                <w:color w:val="auto"/>
              </w:rPr>
            </w:pPr>
          </w:p>
        </w:tc>
      </w:tr>
      <w:tr>
        <w:trPr>
          <w:trHeight w:val="270"/>
        </w:trPr>
        <w:tc>
          <w:tcPr>
            <w:tcW w:w="482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Additions charged to costs and expenses </w:t>
            </w:r>
            <w:r>
              <w:rPr>
                <w:rFonts w:ascii="Arial" w:cs="Arial" w:eastAsia="Arial" w:hAnsi="Arial"/>
                <w:sz w:val="25"/>
                <w:szCs w:val="25"/>
                <w:color w:val="auto"/>
                <w:vertAlign w:val="superscript"/>
              </w:rPr>
              <w:t>(1)</w:t>
            </w: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2,120</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70"/>
        </w:trPr>
        <w:tc>
          <w:tcPr>
            <w:tcW w:w="48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Sell through </w:t>
            </w:r>
            <w:r>
              <w:rPr>
                <w:rFonts w:ascii="Arial" w:cs="Arial" w:eastAsia="Arial" w:hAnsi="Arial"/>
                <w:sz w:val="25"/>
                <w:szCs w:val="25"/>
                <w:color w:val="auto"/>
                <w:vertAlign w:val="superscript"/>
              </w:rPr>
              <w:t>(2)</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Write-offs/Foreign exchange effects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(726)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3,658</w:t>
            </w: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2,576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660" w:hanging="328"/>
        <w:spacing w:after="0" w:line="226" w:lineRule="auto"/>
        <w:tabs>
          <w:tab w:leader="none" w:pos="66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The additions charged to costs and expenses do not include inventory directly written-off that was scrapped during production totaling $0.3 million and $0.2 million for the nine months ended September 30, 2016 and 2015, respectively. These amounts are production waste and are not included in management's reserve for excess and obsolete inventory.</w:t>
      </w:r>
    </w:p>
    <w:p>
      <w:pPr>
        <w:spacing w:after="0" w:line="38" w:lineRule="exact"/>
        <w:rPr>
          <w:rFonts w:ascii="Arial" w:cs="Arial" w:eastAsia="Arial" w:hAnsi="Arial"/>
          <w:sz w:val="25"/>
          <w:szCs w:val="25"/>
          <w:color w:val="auto"/>
          <w:vertAlign w:val="superscript"/>
        </w:rPr>
      </w:pPr>
    </w:p>
    <w:p>
      <w:pPr>
        <w:ind w:left="660" w:hanging="328"/>
        <w:spacing w:after="0"/>
        <w:tabs>
          <w:tab w:leader="none" w:pos="66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These amounts represent the reduction in reserves associated with inventory items that were sold during the period.</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Supplier</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purchase integrated circuits, components and finished goods from multiple sources. Texas Instruments provided $12.4 million, or 13.0%, of total inventory purchases during the three months ended September 30, 2016 and $32.3 million, or 11.9%, of total inventory purchases during the nine months ended September 30,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Supplier</w:t>
      </w:r>
    </w:p>
    <w:p>
      <w:pPr>
        <w:spacing w:after="0" w:line="9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purchase certain printed circuit board assemblies from a related party supplier. The supplier is considered a related party for financial reporting purposes because our Senior Vice President of Strategic Operations owns 40% of this vendor. Inventory purchases from this supplier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14"/>
                <w:szCs w:val="14"/>
                <w:b w:val="1"/>
                <w:bCs w:val="1"/>
                <w:color w:val="auto"/>
              </w:rPr>
              <w:t>Three Months Ended September 30,</w:t>
            </w: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0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5"/>
          </w:tcPr>
          <w:p>
            <w:pPr>
              <w:jc w:val="right"/>
              <w:ind w:right="1328"/>
              <w:spacing w:after="0"/>
              <w:rPr>
                <w:sz w:val="20"/>
                <w:szCs w:val="20"/>
                <w:color w:val="auto"/>
              </w:rPr>
            </w:pPr>
            <w:r>
              <w:rPr>
                <w:rFonts w:ascii="Arial" w:cs="Arial" w:eastAsia="Arial" w:hAnsi="Arial"/>
                <w:sz w:val="14"/>
                <w:szCs w:val="14"/>
                <w:b w:val="1"/>
                <w:bCs w:val="1"/>
                <w:color w:val="auto"/>
                <w:w w:val="96"/>
              </w:rPr>
              <w:t>2016</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5"/>
          </w:tcPr>
          <w:p>
            <w:pPr>
              <w:jc w:val="right"/>
              <w:ind w:right="1308"/>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4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w w:val="89"/>
              </w:rPr>
              <w:t>(thousands)</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60" w:type="dxa"/>
            <w:vAlign w:val="bottom"/>
            <w:gridSpan w:val="4"/>
          </w:tcPr>
          <w:p>
            <w:pPr>
              <w:jc w:val="center"/>
              <w:ind w:right="140"/>
              <w:spacing w:after="0" w:line="153" w:lineRule="exact"/>
              <w:rPr>
                <w:sz w:val="20"/>
                <w:szCs w:val="20"/>
                <w:color w:val="auto"/>
              </w:rPr>
            </w:pPr>
            <w:r>
              <w:rPr>
                <w:rFonts w:ascii="Arial" w:cs="Arial" w:eastAsia="Arial" w:hAnsi="Arial"/>
                <w:sz w:val="14"/>
                <w:szCs w:val="14"/>
                <w:b w:val="1"/>
                <w:bCs w:val="1"/>
                <w:color w:val="auto"/>
                <w:w w:val="95"/>
              </w:rPr>
              <w:t>% of Total</w:t>
            </w:r>
          </w:p>
        </w:tc>
        <w:tc>
          <w:tcPr>
            <w:tcW w:w="200" w:type="dxa"/>
            <w:vAlign w:val="bottom"/>
          </w:tcPr>
          <w:p>
            <w:pPr>
              <w:spacing w:after="0"/>
              <w:rPr>
                <w:sz w:val="13"/>
                <w:szCs w:val="13"/>
                <w:color w:val="auto"/>
              </w:rPr>
            </w:pPr>
          </w:p>
        </w:tc>
        <w:tc>
          <w:tcPr>
            <w:tcW w:w="11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 (thousands)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gridSpan w:val="2"/>
          </w:tcPr>
          <w:p>
            <w:pPr>
              <w:jc w:val="center"/>
              <w:ind w:right="20"/>
              <w:spacing w:after="0" w:line="153" w:lineRule="exact"/>
              <w:rPr>
                <w:sz w:val="20"/>
                <w:szCs w:val="20"/>
                <w:color w:val="auto"/>
              </w:rPr>
            </w:pPr>
            <w:r>
              <w:rPr>
                <w:rFonts w:ascii="Arial" w:cs="Arial" w:eastAsia="Arial" w:hAnsi="Arial"/>
                <w:sz w:val="14"/>
                <w:szCs w:val="14"/>
                <w:b w:val="1"/>
                <w:bCs w:val="1"/>
                <w:color w:val="auto"/>
                <w:w w:val="95"/>
              </w:rPr>
              <w:t>% of Total</w:t>
            </w:r>
          </w:p>
        </w:tc>
        <w:tc>
          <w:tcPr>
            <w:tcW w:w="0" w:type="dxa"/>
            <w:vAlign w:val="bottom"/>
          </w:tcPr>
          <w:p>
            <w:pPr>
              <w:spacing w:after="0"/>
              <w:rPr>
                <w:sz w:val="1"/>
                <w:szCs w:val="1"/>
                <w:color w:val="auto"/>
              </w:rPr>
            </w:pPr>
          </w:p>
        </w:tc>
      </w:tr>
      <w:tr>
        <w:trPr>
          <w:trHeight w:val="192"/>
        </w:trPr>
        <w:tc>
          <w:tcPr>
            <w:tcW w:w="40" w:type="dxa"/>
            <w:vAlign w:val="bottom"/>
            <w:tcBorders>
              <w:bottom w:val="single" w:sz="8" w:color="CCEEFF"/>
            </w:tcBorders>
          </w:tcPr>
          <w:p>
            <w:pPr>
              <w:spacing w:after="0"/>
              <w:rPr>
                <w:sz w:val="16"/>
                <w:szCs w:val="16"/>
                <w:color w:val="auto"/>
              </w:rPr>
            </w:pPr>
          </w:p>
        </w:tc>
        <w:tc>
          <w:tcPr>
            <w:tcW w:w="50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gridSpan w:val="2"/>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Inventory Purchases</w:t>
            </w:r>
          </w:p>
        </w:tc>
        <w:tc>
          <w:tcPr>
            <w:tcW w:w="120" w:type="dxa"/>
            <w:vAlign w:val="bottom"/>
            <w:tcBorders>
              <w:bottom w:val="single" w:sz="8" w:color="CCEEFF"/>
            </w:tcBorders>
            <w:gridSpan w:val="2"/>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Inventory Purchases</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Related party supplier</w:t>
            </w:r>
          </w:p>
        </w:tc>
        <w:tc>
          <w:tcPr>
            <w:tcW w:w="42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172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172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61"/>
        </w:trPr>
        <w:tc>
          <w:tcPr>
            <w:tcW w:w="4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4"/>
                <w:szCs w:val="14"/>
                <w:b w:val="1"/>
                <w:bCs w:val="1"/>
                <w:color w:val="auto"/>
              </w:rPr>
              <w:t>Nine Months Ended September 30,</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5"/>
          </w:tcPr>
          <w:p>
            <w:pPr>
              <w:jc w:val="right"/>
              <w:ind w:right="1328"/>
              <w:spacing w:after="0"/>
              <w:rPr>
                <w:sz w:val="20"/>
                <w:szCs w:val="20"/>
                <w:color w:val="auto"/>
              </w:rPr>
            </w:pPr>
            <w:r>
              <w:rPr>
                <w:rFonts w:ascii="Arial" w:cs="Arial" w:eastAsia="Arial" w:hAnsi="Arial"/>
                <w:sz w:val="14"/>
                <w:szCs w:val="14"/>
                <w:b w:val="1"/>
                <w:bCs w:val="1"/>
                <w:color w:val="auto"/>
                <w:w w:val="96"/>
              </w:rPr>
              <w:t>2016</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5"/>
          </w:tcPr>
          <w:p>
            <w:pPr>
              <w:jc w:val="right"/>
              <w:ind w:right="1348"/>
              <w:spacing w:after="0"/>
              <w:rPr>
                <w:sz w:val="20"/>
                <w:szCs w:val="20"/>
                <w:color w:val="auto"/>
              </w:rPr>
            </w:pPr>
            <w:r>
              <w:rPr>
                <w:rFonts w:ascii="Arial" w:cs="Arial" w:eastAsia="Arial" w:hAnsi="Arial"/>
                <w:sz w:val="14"/>
                <w:szCs w:val="14"/>
                <w:b w:val="1"/>
                <w:bCs w:val="1"/>
                <w:color w:val="auto"/>
                <w:w w:val="89"/>
              </w:rPr>
              <w:t>2015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w w:val="89"/>
              </w:rPr>
              <w:t>(thousands)</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60" w:type="dxa"/>
            <w:vAlign w:val="bottom"/>
            <w:gridSpan w:val="4"/>
          </w:tcPr>
          <w:p>
            <w:pPr>
              <w:jc w:val="center"/>
              <w:ind w:right="140"/>
              <w:spacing w:after="0" w:line="153" w:lineRule="exact"/>
              <w:rPr>
                <w:sz w:val="20"/>
                <w:szCs w:val="20"/>
                <w:color w:val="auto"/>
              </w:rPr>
            </w:pPr>
            <w:r>
              <w:rPr>
                <w:rFonts w:ascii="Arial" w:cs="Arial" w:eastAsia="Arial" w:hAnsi="Arial"/>
                <w:sz w:val="14"/>
                <w:szCs w:val="14"/>
                <w:b w:val="1"/>
                <w:bCs w:val="1"/>
                <w:color w:val="auto"/>
                <w:w w:val="95"/>
              </w:rPr>
              <w:t>% of Total</w:t>
            </w:r>
          </w:p>
        </w:tc>
        <w:tc>
          <w:tcPr>
            <w:tcW w:w="200" w:type="dxa"/>
            <w:vAlign w:val="bottom"/>
          </w:tcPr>
          <w:p>
            <w:pPr>
              <w:spacing w:after="0"/>
              <w:rPr>
                <w:sz w:val="13"/>
                <w:szCs w:val="13"/>
                <w:color w:val="auto"/>
              </w:rPr>
            </w:pPr>
          </w:p>
        </w:tc>
        <w:tc>
          <w:tcPr>
            <w:tcW w:w="11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 (thousands)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gridSpan w:val="2"/>
          </w:tcPr>
          <w:p>
            <w:pPr>
              <w:ind w:left="420"/>
              <w:spacing w:after="0" w:line="153" w:lineRule="exact"/>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50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Inventory Purchases</w:t>
            </w:r>
          </w:p>
        </w:tc>
        <w:tc>
          <w:tcPr>
            <w:tcW w:w="12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7"/>
              </w:rPr>
              <w:t>Inventory Purchases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Related party supplier</w:t>
            </w:r>
          </w:p>
        </w:tc>
        <w:tc>
          <w:tcPr>
            <w:tcW w:w="42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4,971</w:t>
            </w:r>
          </w:p>
        </w:tc>
        <w:tc>
          <w:tcPr>
            <w:tcW w:w="172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6,566</w:t>
            </w:r>
          </w:p>
        </w:tc>
        <w:tc>
          <w:tcPr>
            <w:tcW w:w="172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5040" w:type="dxa"/>
            <w:vAlign w:val="bottom"/>
            <w:gridSpan w:val="2"/>
          </w:tcPr>
          <w:p>
            <w:pPr>
              <w:spacing w:after="0"/>
              <w:rPr>
                <w:sz w:val="20"/>
                <w:szCs w:val="20"/>
                <w:color w:val="auto"/>
              </w:rPr>
            </w:pPr>
            <w:r>
              <w:rPr>
                <w:rFonts w:ascii="Arial" w:cs="Arial" w:eastAsia="Arial" w:hAnsi="Arial"/>
                <w:sz w:val="18"/>
                <w:szCs w:val="18"/>
                <w:color w:val="auto"/>
              </w:rPr>
              <w:t>Total accounts payable to this supplier were as follows:</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7"/>
          </w:tcPr>
          <w:p>
            <w:pPr>
              <w:ind w:left="560"/>
              <w:spacing w:after="0"/>
              <w:rPr>
                <w:sz w:val="20"/>
                <w:szCs w:val="20"/>
                <w:color w:val="auto"/>
              </w:rPr>
            </w:pPr>
            <w:r>
              <w:rPr>
                <w:rFonts w:ascii="Arial" w:cs="Arial" w:eastAsia="Arial" w:hAnsi="Arial"/>
                <w:sz w:val="14"/>
                <w:szCs w:val="14"/>
                <w:b w:val="1"/>
                <w:bCs w:val="1"/>
                <w:color w:val="auto"/>
              </w:rPr>
              <w:t>September 30, 2016</w:t>
            </w:r>
          </w:p>
        </w:tc>
        <w:tc>
          <w:tcPr>
            <w:tcW w:w="120" w:type="dxa"/>
            <w:vAlign w:val="bottom"/>
            <w:gridSpan w:val="2"/>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7"/>
          </w:tcPr>
          <w:p>
            <w:pPr>
              <w:ind w:left="78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50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w w:val="89"/>
              </w:rPr>
              <w:t>(thousands)</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3"/>
              </w:rPr>
              <w:t>% of Accounts Payable</w:t>
            </w:r>
          </w:p>
        </w:tc>
        <w:tc>
          <w:tcPr>
            <w:tcW w:w="120" w:type="dxa"/>
            <w:vAlign w:val="bottom"/>
            <w:tcBorders>
              <w:bottom w:val="single" w:sz="8" w:color="CCEEFF"/>
            </w:tcBorders>
            <w:gridSpan w:val="2"/>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 (thousands)</w:t>
            </w: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 of Accounts Payable</w:t>
            </w:r>
          </w:p>
        </w:tc>
        <w:tc>
          <w:tcPr>
            <w:tcW w:w="0" w:type="dxa"/>
            <w:vAlign w:val="bottom"/>
          </w:tcPr>
          <w:p>
            <w:pPr>
              <w:spacing w:after="0"/>
              <w:rPr>
                <w:sz w:val="1"/>
                <w:szCs w:val="1"/>
                <w:color w:val="auto"/>
              </w:rPr>
            </w:pPr>
          </w:p>
        </w:tc>
      </w:tr>
      <w:tr>
        <w:trPr>
          <w:trHeight w:val="243"/>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Related party supplier</w:t>
            </w:r>
          </w:p>
        </w:tc>
        <w:tc>
          <w:tcPr>
            <w:tcW w:w="4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17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w:t>
            </w:r>
          </w:p>
        </w:tc>
        <w:tc>
          <w:tcPr>
            <w:tcW w:w="17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50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payment terms and pricing with this supplier are consistent with the terms offered by other suppliers in the ordinary course of business. The accounting policies that we apply to our transactions with our related party supplier are consistent with those applied in transactions with independent third parties. Corporate management routinely monitors purchases from our related party supplier to ensure these purchases remain consistent with our business objectives.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Intangible Assets, Net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58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64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43,116</w:t>
            </w:r>
          </w:p>
        </w:tc>
        <w:tc>
          <w:tcPr>
            <w:tcW w:w="0" w:type="dxa"/>
            <w:vAlign w:val="bottom"/>
          </w:tcPr>
          <w:p>
            <w:pPr>
              <w:spacing w:after="0"/>
              <w:rPr>
                <w:sz w:val="1"/>
                <w:szCs w:val="1"/>
                <w:color w:val="auto"/>
              </w:rPr>
            </w:pPr>
          </w:p>
        </w:tc>
      </w:tr>
      <w:tr>
        <w:trPr>
          <w:trHeight w:val="243"/>
        </w:trPr>
        <w:tc>
          <w:tcPr>
            <w:tcW w:w="3960" w:type="dxa"/>
            <w:vAlign w:val="bottom"/>
          </w:tcPr>
          <w:p>
            <w:pPr>
              <w:ind w:left="380"/>
              <w:spacing w:after="0"/>
              <w:rPr>
                <w:sz w:val="20"/>
                <w:szCs w:val="20"/>
                <w:color w:val="auto"/>
              </w:rPr>
            </w:pPr>
            <w:r>
              <w:rPr>
                <w:rFonts w:ascii="Arial" w:cs="Arial" w:eastAsia="Arial" w:hAnsi="Arial"/>
                <w:sz w:val="18"/>
                <w:szCs w:val="18"/>
                <w:color w:val="auto"/>
              </w:rPr>
              <w:t>Foreign exchange effects</w:t>
            </w:r>
          </w:p>
        </w:tc>
        <w:tc>
          <w:tcPr>
            <w:tcW w:w="58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58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2016</w:t>
            </w:r>
          </w:p>
        </w:tc>
        <w:tc>
          <w:tcPr>
            <w:tcW w:w="64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43,162</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5840" w:type="dxa"/>
            <w:vAlign w:val="bottom"/>
            <w:tcBorders>
              <w:top w:val="single" w:sz="8" w:color="CCEEFF"/>
              <w:bottom w:val="single" w:sz="8" w:color="CCEEFF"/>
            </w:tcBorders>
            <w:vMerge w:val="restart"/>
          </w:tcPr>
          <w:p>
            <w:pPr>
              <w:jc w:val="right"/>
              <w:ind w:right="3910"/>
              <w:spacing w:after="0"/>
              <w:rPr>
                <w:sz w:val="20"/>
                <w:szCs w:val="20"/>
                <w:color w:val="auto"/>
              </w:rPr>
            </w:pPr>
            <w:r>
              <w:rPr>
                <w:rFonts w:ascii="Arial" w:cs="Arial" w:eastAsia="Arial" w:hAnsi="Arial"/>
                <w:sz w:val="18"/>
                <w:szCs w:val="18"/>
                <w:color w:val="auto"/>
              </w:rPr>
              <w:t>11</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960" w:type="dxa"/>
            <w:vAlign w:val="bottom"/>
          </w:tcPr>
          <w:p>
            <w:pPr>
              <w:spacing w:after="0"/>
              <w:rPr>
                <w:sz w:val="24"/>
                <w:szCs w:val="24"/>
                <w:color w:val="auto"/>
              </w:rPr>
            </w:pPr>
          </w:p>
        </w:tc>
        <w:tc>
          <w:tcPr>
            <w:tcW w:w="584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Net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net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1"/>
              </w:rPr>
              <w:t>September 30, 2016</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1"/>
              </w:rPr>
              <w:t>December 31, 2015</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3"/>
                <w:szCs w:val="13"/>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xml:space="preserve">Gross </w:t>
            </w:r>
            <w:r>
              <w:rPr>
                <w:rFonts w:ascii="Arial" w:cs="Arial" w:eastAsia="Arial" w:hAnsi="Arial"/>
                <w:sz w:val="8"/>
                <w:szCs w:val="8"/>
                <w:b w:val="1"/>
                <w:bCs w:val="1"/>
                <w:color w:val="auto"/>
              </w:rPr>
              <w:t>(1)</w:t>
            </w:r>
          </w:p>
        </w:tc>
        <w:tc>
          <w:tcPr>
            <w:tcW w:w="160" w:type="dxa"/>
            <w:vAlign w:val="bottom"/>
          </w:tcPr>
          <w:p>
            <w:pPr>
              <w:spacing w:after="0"/>
              <w:rPr>
                <w:sz w:val="13"/>
                <w:szCs w:val="13"/>
                <w:color w:val="auto"/>
              </w:rPr>
            </w:pPr>
          </w:p>
        </w:tc>
        <w:tc>
          <w:tcPr>
            <w:tcW w:w="13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3"/>
                <w:szCs w:val="13"/>
                <w:color w:val="auto"/>
              </w:rPr>
            </w:pPr>
          </w:p>
        </w:tc>
        <w:tc>
          <w:tcPr>
            <w:tcW w:w="10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Net</w:t>
            </w:r>
          </w:p>
        </w:tc>
        <w:tc>
          <w:tcPr>
            <w:tcW w:w="260" w:type="dxa"/>
            <w:vAlign w:val="bottom"/>
          </w:tcPr>
          <w:p>
            <w:pPr>
              <w:spacing w:after="0"/>
              <w:rPr>
                <w:sz w:val="13"/>
                <w:szCs w:val="13"/>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 xml:space="preserve">Gross </w:t>
            </w:r>
            <w:r>
              <w:rPr>
                <w:rFonts w:ascii="Arial" w:cs="Arial" w:eastAsia="Arial" w:hAnsi="Arial"/>
                <w:sz w:val="8"/>
                <w:szCs w:val="8"/>
                <w:b w:val="1"/>
                <w:bCs w:val="1"/>
                <w:color w:val="auto"/>
              </w:rPr>
              <w:t>(1)</w:t>
            </w:r>
          </w:p>
        </w:tc>
        <w:tc>
          <w:tcPr>
            <w:tcW w:w="100" w:type="dxa"/>
            <w:vAlign w:val="bottom"/>
          </w:tcPr>
          <w:p>
            <w:pPr>
              <w:spacing w:after="0"/>
              <w:rPr>
                <w:sz w:val="13"/>
                <w:szCs w:val="13"/>
                <w:color w:val="auto"/>
              </w:rPr>
            </w:pPr>
          </w:p>
        </w:tc>
        <w:tc>
          <w:tcPr>
            <w:tcW w:w="136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3"/>
                <w:szCs w:val="13"/>
                <w:color w:val="auto"/>
              </w:rPr>
            </w:pPr>
          </w:p>
        </w:tc>
        <w:tc>
          <w:tcPr>
            <w:tcW w:w="9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31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 xml:space="preserve">Amortization </w:t>
            </w:r>
            <w:r>
              <w:rPr>
                <w:rFonts w:ascii="Arial" w:cs="Arial" w:eastAsia="Arial" w:hAnsi="Arial"/>
                <w:sz w:val="8"/>
                <w:szCs w:val="8"/>
                <w:b w:val="1"/>
                <w:bCs w:val="1"/>
                <w:color w:val="auto"/>
                <w:w w:val="96"/>
              </w:rPr>
              <w:t>(1)</w:t>
            </w:r>
          </w:p>
        </w:tc>
        <w:tc>
          <w:tcPr>
            <w:tcW w:w="3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 xml:space="preserve">Amortization </w:t>
            </w:r>
            <w:r>
              <w:rPr>
                <w:rFonts w:ascii="Arial" w:cs="Arial" w:eastAsia="Arial" w:hAnsi="Arial"/>
                <w:sz w:val="8"/>
                <w:szCs w:val="8"/>
                <w:b w:val="1"/>
                <w:bCs w:val="1"/>
                <w:color w:val="auto"/>
                <w:w w:val="96"/>
              </w:rPr>
              <w:t>(1)</w:t>
            </w:r>
          </w:p>
        </w:tc>
        <w:tc>
          <w:tcPr>
            <w:tcW w:w="3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 rights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Patents</w:t>
            </w:r>
          </w:p>
        </w:tc>
        <w:tc>
          <w:tcPr>
            <w:tcW w:w="2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11,710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7,039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11,425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6,688</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 and trade names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Developed and core technology</w:t>
            </w:r>
          </w:p>
        </w:tc>
        <w:tc>
          <w:tcPr>
            <w:tcW w:w="2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12,585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9,021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12,587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10,443</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Capitalized software development costs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27,700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(15,643)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12,057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27,715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(13,554)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14,161</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intangible assets,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55,018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(25,403)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29,615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54,607</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(21,681)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32,926</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20" w:hanging="328"/>
        <w:spacing w:after="0" w:line="216" w:lineRule="auto"/>
        <w:tabs>
          <w:tab w:leader="none" w:pos="66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This table excludes the gross value of fully amortized intangible assets totaling $9.9 million and $9.0 million at September 30, 2016 and December 31, 2015, respectively.</w:t>
      </w:r>
    </w:p>
    <w:p>
      <w:pPr>
        <w:spacing w:after="0" w:line="2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is recorded in selling, general and administrative expenses, except amortization expense related to capitalized software development costs which is recorded in cost of sales. Amortization expense by income statement caption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6"/>
          </w:tcPr>
          <w:p>
            <w:pPr>
              <w:ind w:left="120"/>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auto"/>
            </w:tcBorders>
          </w:tcPr>
          <w:p>
            <w:pPr>
              <w:spacing w:after="0"/>
              <w:rPr>
                <w:sz w:val="22"/>
                <w:szCs w:val="2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4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1,551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4,618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3,206</w:t>
            </w:r>
          </w:p>
        </w:tc>
        <w:tc>
          <w:tcPr>
            <w:tcW w:w="20" w:type="dxa"/>
            <w:vAlign w:val="bottom"/>
          </w:tcPr>
          <w:p>
            <w:pPr>
              <w:spacing w:after="0"/>
              <w:rPr>
                <w:sz w:val="21"/>
                <w:szCs w:val="2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amortization expense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1,572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1,218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4,681</w:t>
            </w:r>
          </w:p>
        </w:tc>
        <w:tc>
          <w:tcPr>
            <w:tcW w:w="4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359"/>
        </w:trPr>
        <w:tc>
          <w:tcPr>
            <w:tcW w:w="8580" w:type="dxa"/>
            <w:vAlign w:val="bottom"/>
            <w:gridSpan w:val="7"/>
          </w:tcPr>
          <w:p>
            <w:pPr>
              <w:spacing w:after="0"/>
              <w:rPr>
                <w:sz w:val="20"/>
                <w:szCs w:val="20"/>
                <w:color w:val="auto"/>
              </w:rPr>
            </w:pPr>
            <w:r>
              <w:rPr>
                <w:rFonts w:ascii="Arial" w:cs="Arial" w:eastAsia="Arial" w:hAnsi="Arial"/>
                <w:sz w:val="18"/>
                <w:szCs w:val="18"/>
                <w:color w:val="auto"/>
                <w:w w:val="93"/>
              </w:rPr>
              <w:t>Estimated future annual amortization expense related to our intangible assets at September 30, 2016, is as follows:</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9"/>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 (remaining 3 months)</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1,594</w:t>
            </w:r>
          </w:p>
        </w:tc>
        <w:tc>
          <w:tcPr>
            <w:tcW w:w="20" w:type="dxa"/>
            <w:vAlign w:val="bottom"/>
          </w:tcPr>
          <w:p>
            <w:pPr>
              <w:spacing w:after="0"/>
              <w:rPr>
                <w:sz w:val="22"/>
                <w:szCs w:val="22"/>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6,348</w:t>
            </w:r>
          </w:p>
        </w:tc>
        <w:tc>
          <w:tcPr>
            <w:tcW w:w="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6,313</w:t>
            </w:r>
          </w:p>
        </w:tc>
        <w:tc>
          <w:tcPr>
            <w:tcW w:w="20" w:type="dxa"/>
            <w:vAlign w:val="bottom"/>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6,249</w:t>
            </w:r>
          </w:p>
        </w:tc>
        <w:tc>
          <w:tcPr>
            <w:tcW w:w="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5,159</w:t>
            </w:r>
          </w:p>
        </w:tc>
        <w:tc>
          <w:tcPr>
            <w:tcW w:w="20" w:type="dxa"/>
            <w:vAlign w:val="bottom"/>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3,952</w:t>
            </w:r>
          </w:p>
        </w:tc>
        <w:tc>
          <w:tcPr>
            <w:tcW w:w="20" w:type="dxa"/>
            <w:vAlign w:val="bottom"/>
          </w:tcPr>
          <w:p>
            <w:pPr>
              <w:spacing w:after="0"/>
              <w:rPr>
                <w:sz w:val="21"/>
                <w:szCs w:val="2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29,615</w:t>
            </w:r>
          </w:p>
        </w:tc>
        <w:tc>
          <w:tcPr>
            <w:tcW w:w="20" w:type="dxa"/>
            <w:vAlign w:val="bottom"/>
          </w:tcPr>
          <w:p>
            <w:pPr>
              <w:spacing w:after="0"/>
              <w:rPr>
                <w:sz w:val="22"/>
                <w:szCs w:val="22"/>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Line of Credit</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September 16, 2016, we extended the term of our Amended and Restated Credit Agreement ("Amended Credit Agreement") with U.S. Bank National Association ("U.S. Bank") to November 1, 2018. The Amended Credit Agreement provides for an $85.0 million line of credit ("Credit Line") that may be used for working capital and other general corporate purposes including acquisitions, share repurchases and capital expenditures. Amounts available for borrowing under the Credit Line are reduced by the balance of any outstanding letters of credit, of which there were $13 thousand at September 30, 2016.</w:t>
      </w:r>
    </w:p>
    <w:p>
      <w:pPr>
        <w:spacing w:after="0" w:line="1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obligations under the Credit Line are secured by substantially all of our U.S. personal property and tangible and intangible assets as well as 65% of our ownership interest in Enson Assets Limited, our wholly-owned subsidiary which controls our manufacturing factories in the PRC.</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Amended Credit Agreement, we may elect to pay interest on the Credit Line based on LIBOR plus an applicable margin (varying from 1.25% to 1.75%) or base rate (based on the prime rate of U.S. Bank or as otherwise specified in the Amended Credit</w:t>
      </w:r>
    </w:p>
    <w:p>
      <w:pPr>
        <w:sectPr>
          <w:pgSz w:w="11900" w:h="16838" w:orient="portrait"/>
          <w:cols w:equalWidth="0" w:num="1">
            <w:col w:w="11420"/>
          </w:cols>
          <w:pgMar w:left="240" w:top="118"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18" w:right="239" w:bottom="1440" w:gutter="0" w:footer="0" w:header="0"/>
          <w:type w:val="continuous"/>
        </w:sectPr>
      </w:pPr>
    </w:p>
    <w:bookmarkStart w:id="12" w:name="page13"/>
    <w:bookmarkEnd w:id="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Agreement) plus an applicable margin (varying from 0.00% to 0.50%). The applicable margins are calculated quarterly and vary based on our cash flow leverage ratio as set forth in the Amended Credit Agreement. The interest rate in effect at September 30, 2016 was 1.77%. There are no commitment fees or unused line fees under the Amended Credit Agreement.</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Amended Credit Agreement includes financial covenants requiring a minimum fixed charge coverage ratio and a maximum cash flow leverage ratio. In addition, the Amended Credit Agreement also contains other customary affirmative and negative covenants and events of default. As of September 30, 2016, we were in compliance with the covenants and conditions of the Amended Credit Agreement.</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September 30, 2016, we had $35.0 million outstanding under the Credit Line. Our total interest expense on borrowings was $0.3 million and $0.1 million during the three months ended September 30, 2016 and 2015, respectively. Our total interest expense on borrowings was $0.9 million and $0.1 million during the nine months ended September 30, 2016 and 2015,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Income Taxes</w:t>
      </w:r>
    </w:p>
    <w:p>
      <w:pPr>
        <w:spacing w:after="0" w:line="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utilize our estimated annual effective tax rate to determine our provision for income taxes for interim periods. The income tax provision is computed by taking the estimated annual effective tax rate and multiplying it by the year-to-date pre-tax book income.</w:t>
      </w:r>
    </w:p>
    <w:p>
      <w:pPr>
        <w:spacing w:after="0" w:line="13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recorded income tax expense of $0.4 million and $2.2 million for the three months ended September 30, 2016 and 2015, respectively. Our effective tax rate was 5.1% and 25.8% during the three months ended September 30, 2016 and 2015, respectively. Our effective tax rate was lower in the current year period primarily due to the recording of $1.8 million in tax refunds during the three months ended September 30, 2016, of which $1.4 million related to tax incentives in China for 2015 and $0.4 million related to certain deductible research and development expenses incurred in China during 2015. This impact was partially offset by the recording of a $0.7 million decrease to the carrying value of certain deferred tax assets to reflect the lower statutory tax rate that will be applied as a result of tax incentives at one of our China manufacturing facilities.</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recorded income tax expense of $3.0 million and $5.6 million for the nine months ended September 30, 2016 and 2015, respectively. Our effective tax rate was 14.7% and 22.1% during the nine months ended September 30, 2016 and 2015, respectively. Our effective tax rate was lower in the current year period primarily due to (a) the recording of an additional $1.3 million in tax refunds during the nine months ended September 30, 2016, of which $0.9 million related to tax incentives in China for previous tax years and $0.4 million related to certain deductible research and development expenses incurred in China during 2015; and (b) lower tax rates in certain jurisdictions within China due to local tax incentives. These impacts were partially offset by the recording of a $0.7 million decrease to the carrying value of certain deferred tax assets to reflect the lower statutory tax rate that will be applied as a result of tax incentives at one of our China manufacturing facilities.</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September 30, 2016, we had gross unrecognized tax benefits of $3.7 million, including interest and penalties, of which $2.1 million would affect the annual effective tax rate if these tax benefits are realized. Further, we are unaware of any positions for which it is reasonably possible that the total amount of unrecognized tax benefits will significantly change within the next twelve months. However, based on federal, state and foreign statute expirations in various jurisdictions, we anticipate a decrease in unrecognized tax benefits of approximately $0.1 million within the next twelve months. We have classified uncertain tax positions as non-current income tax liabilities unless expected to be paid within one year.</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elected to classify interest and penalties as a component of tax expense. Accrued interest and penalties of $0.3 million and $0.2 million at September 30, 2016 and December 31, 2015, respectively, are included in our unrecognized tax benefits.</w:t>
      </w:r>
    </w:p>
    <w:p>
      <w:pPr>
        <w:spacing w:after="0" w:line="13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file income tax returns in the U.S. federal jurisdiction, and in various state and foreign jurisdictions. On September 30, 2016, the open statutes of limitations in our significant tax jurisdictions were as follows: federal 2013 through 2015, state 2011 through 2015, and foreign 2009 through 2015.</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Accrued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accrued compensation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6"/>
                <w:szCs w:val="16"/>
                <w:color w:val="auto"/>
              </w:rPr>
            </w:pPr>
          </w:p>
        </w:tc>
        <w:tc>
          <w:tcPr>
            <w:tcW w:w="16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2016</w:t>
            </w:r>
          </w:p>
        </w:tc>
        <w:tc>
          <w:tcPr>
            <w:tcW w:w="180" w:type="dxa"/>
            <w:vAlign w:val="bottom"/>
          </w:tcPr>
          <w:p>
            <w:pPr>
              <w:spacing w:after="0"/>
              <w:rPr>
                <w:sz w:val="16"/>
                <w:szCs w:val="16"/>
                <w:color w:val="auto"/>
              </w:rPr>
            </w:pPr>
          </w:p>
        </w:tc>
        <w:tc>
          <w:tcPr>
            <w:tcW w:w="1520" w:type="dxa"/>
            <w:vAlign w:val="bottom"/>
          </w:tcPr>
          <w:p>
            <w:pPr>
              <w:jc w:val="right"/>
              <w:ind w:right="192"/>
              <w:spacing w:after="0"/>
              <w:rPr>
                <w:sz w:val="20"/>
                <w:szCs w:val="20"/>
                <w:color w:val="auto"/>
              </w:rPr>
            </w:pPr>
            <w:r>
              <w:rPr>
                <w:rFonts w:ascii="Arial" w:cs="Arial" w:eastAsia="Arial" w:hAnsi="Arial"/>
                <w:sz w:val="14"/>
                <w:szCs w:val="14"/>
                <w:b w:val="1"/>
                <w:bCs w:val="1"/>
                <w:color w:val="auto"/>
                <w:w w:val="96"/>
              </w:rPr>
              <w:t>December 31, 2015</w:t>
            </w:r>
          </w:p>
        </w:tc>
      </w:tr>
      <w:tr>
        <w:trPr>
          <w:trHeight w:val="270"/>
        </w:trPr>
        <w:tc>
          <w:tcPr>
            <w:tcW w:w="786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Accrued social insurance </w:t>
            </w:r>
            <w:r>
              <w:rPr>
                <w:rFonts w:ascii="Arial" w:cs="Arial" w:eastAsia="Arial" w:hAnsi="Arial"/>
                <w:sz w:val="25"/>
                <w:szCs w:val="25"/>
                <w:color w:val="auto"/>
                <w:vertAlign w:val="superscript"/>
              </w:rPr>
              <w:t>(1)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18,262</w:t>
            </w: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18,923</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Accrued salary/wages</w:t>
            </w:r>
          </w:p>
        </w:tc>
        <w:tc>
          <w:tcPr>
            <w:tcW w:w="2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6,283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7,549</w:t>
            </w: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vacation/holiday</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2,227</w:t>
            </w:r>
          </w:p>
        </w:tc>
      </w:tr>
      <w:tr>
        <w:trPr>
          <w:trHeight w:val="270"/>
        </w:trPr>
        <w:tc>
          <w:tcPr>
            <w:tcW w:w="78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Accrued bonus </w:t>
            </w:r>
            <w:r>
              <w:rPr>
                <w:rFonts w:ascii="Arial" w:cs="Arial" w:eastAsia="Arial" w:hAnsi="Arial"/>
                <w:sz w:val="25"/>
                <w:szCs w:val="25"/>
                <w:color w:val="auto"/>
                <w:vertAlign w:val="superscript"/>
              </w:rPr>
              <w:t>(2)</w:t>
            </w:r>
          </w:p>
        </w:tc>
        <w:tc>
          <w:tcPr>
            <w:tcW w:w="200" w:type="dxa"/>
            <w:vAlign w:val="bottom"/>
          </w:tcPr>
          <w:p>
            <w:pPr>
              <w:spacing w:after="0"/>
              <w:rPr>
                <w:sz w:val="23"/>
                <w:szCs w:val="23"/>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2,939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5,914</w:t>
            </w: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commission</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1,084</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Accrued medical insurance claims</w:t>
            </w:r>
          </w:p>
        </w:tc>
        <w:tc>
          <w:tcPr>
            <w:tcW w:w="2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218</w:t>
            </w: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compensation</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1,537</w:t>
            </w:r>
          </w:p>
        </w:tc>
      </w:tr>
      <w:tr>
        <w:trPr>
          <w:trHeight w:val="237"/>
        </w:trPr>
        <w:tc>
          <w:tcPr>
            <w:tcW w:w="7860" w:type="dxa"/>
            <w:vAlign w:val="bottom"/>
          </w:tcPr>
          <w:p>
            <w:pPr>
              <w:ind w:left="380"/>
              <w:spacing w:after="0"/>
              <w:rPr>
                <w:sz w:val="20"/>
                <w:szCs w:val="20"/>
                <w:color w:val="auto"/>
              </w:rPr>
            </w:pPr>
            <w:r>
              <w:rPr>
                <w:rFonts w:ascii="Arial" w:cs="Arial" w:eastAsia="Arial" w:hAnsi="Arial"/>
                <w:sz w:val="18"/>
                <w:szCs w:val="18"/>
                <w:color w:val="auto"/>
              </w:rPr>
              <w:t>Total accrued compensation</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32,406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37,452</w:t>
            </w:r>
          </w:p>
        </w:tc>
      </w:tr>
      <w:tr>
        <w:trPr>
          <w:trHeight w:val="27"/>
        </w:trPr>
        <w:tc>
          <w:tcPr>
            <w:tcW w:w="78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35" w:lineRule="auto"/>
        <w:tabs>
          <w:tab w:leader="none" w:pos="66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Effective January 1, 2008, the Chinese Labor Contract Law was enacted in the PRC. This law mandated that PRC employers remit the applicable social insurance payments to their local government. Social insurance is comprised of various components such as pension, medical insurance, job injury insurance, unemployment insurance, and a housing assistance fund, and is administered in a manner similar to social security in the United States. This amount represents our estimate of the amounts due to the PRC government for social insurance on September 30, 2016 and December 31, 2015.</w:t>
      </w:r>
    </w:p>
    <w:p>
      <w:pPr>
        <w:spacing w:after="0" w:line="96" w:lineRule="exact"/>
        <w:rPr>
          <w:rFonts w:ascii="Arial" w:cs="Arial" w:eastAsia="Arial" w:hAnsi="Arial"/>
          <w:sz w:val="25"/>
          <w:szCs w:val="25"/>
          <w:color w:val="auto"/>
          <w:vertAlign w:val="superscript"/>
        </w:rPr>
      </w:pPr>
    </w:p>
    <w:p>
      <w:pPr>
        <w:jc w:val="both"/>
        <w:ind w:left="660" w:hanging="328"/>
        <w:spacing w:after="0" w:line="230" w:lineRule="auto"/>
        <w:tabs>
          <w:tab w:leader="none" w:pos="660" w:val="left"/>
        </w:tabs>
        <w:numPr>
          <w:ilvl w:val="0"/>
          <w:numId w:val="5"/>
        </w:numPr>
        <w:rPr>
          <w:rFonts w:ascii="Arial" w:cs="Arial" w:eastAsia="Arial" w:hAnsi="Arial"/>
          <w:sz w:val="23"/>
          <w:szCs w:val="23"/>
          <w:color w:val="auto"/>
          <w:vertAlign w:val="superscript"/>
        </w:rPr>
      </w:pPr>
      <w:r>
        <w:rPr>
          <w:rFonts w:ascii="Arial" w:cs="Arial" w:eastAsia="Arial" w:hAnsi="Arial"/>
          <w:sz w:val="17"/>
          <w:szCs w:val="17"/>
          <w:color w:val="auto"/>
        </w:rPr>
        <w:t>Accrued bonus includes an accrual for an extra month of salary ("13</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month salary") to be paid to employees in certain geographies where it is the customary business practice. This 13</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month salary is paid to these employees if they remain employed with us through December 31st. The total accrued for the 13</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month salary was $0.7 million and $0.7 million at September 30, 2016 and December 31, 2015,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Other Accrued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accrued expenses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6"/>
                <w:szCs w:val="16"/>
                <w:color w:val="auto"/>
              </w:rPr>
            </w:pPr>
          </w:p>
        </w:tc>
        <w:tc>
          <w:tcPr>
            <w:tcW w:w="16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2016</w:t>
            </w:r>
          </w:p>
        </w:tc>
        <w:tc>
          <w:tcPr>
            <w:tcW w:w="180" w:type="dxa"/>
            <w:vAlign w:val="bottom"/>
          </w:tcPr>
          <w:p>
            <w:pPr>
              <w:spacing w:after="0"/>
              <w:rPr>
                <w:sz w:val="16"/>
                <w:szCs w:val="16"/>
                <w:color w:val="auto"/>
              </w:rPr>
            </w:pPr>
          </w:p>
        </w:tc>
        <w:tc>
          <w:tcPr>
            <w:tcW w:w="1520" w:type="dxa"/>
            <w:vAlign w:val="bottom"/>
          </w:tcPr>
          <w:p>
            <w:pPr>
              <w:jc w:val="right"/>
              <w:ind w:right="191"/>
              <w:spacing w:after="0"/>
              <w:rPr>
                <w:sz w:val="20"/>
                <w:szCs w:val="20"/>
                <w:color w:val="auto"/>
              </w:rPr>
            </w:pPr>
            <w:r>
              <w:rPr>
                <w:rFonts w:ascii="Arial" w:cs="Arial" w:eastAsia="Arial" w:hAnsi="Arial"/>
                <w:sz w:val="14"/>
                <w:szCs w:val="14"/>
                <w:b w:val="1"/>
                <w:bCs w:val="1"/>
                <w:color w:val="auto"/>
                <w:w w:val="96"/>
              </w:rPr>
              <w:t>December 31, 2015</w:t>
            </w:r>
          </w:p>
        </w:tc>
      </w:tr>
      <w:tr>
        <w:trPr>
          <w:trHeight w:val="250"/>
        </w:trPr>
        <w:tc>
          <w:tcPr>
            <w:tcW w:w="7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 and marketing</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1,451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1,434</w:t>
            </w: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Duties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1,318</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Freight and handling fees</w:t>
            </w:r>
          </w:p>
        </w:tc>
        <w:tc>
          <w:tcPr>
            <w:tcW w:w="2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2,459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1,942</w:t>
            </w: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development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630</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Product warranty claim costs</w:t>
            </w:r>
          </w:p>
        </w:tc>
        <w:tc>
          <w:tcPr>
            <w:tcW w:w="2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35</w:t>
            </w: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 fees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1,714</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2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1,350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551</w:t>
            </w: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taxes and VAT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3,170</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Third-party commissions</w:t>
            </w:r>
          </w:p>
        </w:tc>
        <w:tc>
          <w:tcPr>
            <w:tcW w:w="2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801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585</w:t>
            </w: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8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Tooling </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1,449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1,173</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Unrealized loss on foreign currency exchange contracts</w:t>
            </w:r>
          </w:p>
        </w:tc>
        <w:tc>
          <w:tcPr>
            <w:tcW w:w="2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1,164</w:t>
            </w: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URC settlement accrual (Notes 2 and 10)</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4,629</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Utilities</w:t>
            </w:r>
          </w:p>
        </w:tc>
        <w:tc>
          <w:tcPr>
            <w:tcW w:w="2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278</w:t>
            </w: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2,652</w:t>
            </w:r>
          </w:p>
        </w:tc>
      </w:tr>
      <w:tr>
        <w:trPr>
          <w:trHeight w:val="237"/>
        </w:trPr>
        <w:tc>
          <w:tcPr>
            <w:tcW w:w="7860" w:type="dxa"/>
            <w:vAlign w:val="bottom"/>
          </w:tcPr>
          <w:p>
            <w:pPr>
              <w:ind w:left="380"/>
              <w:spacing w:after="0"/>
              <w:rPr>
                <w:sz w:val="20"/>
                <w:szCs w:val="20"/>
                <w:color w:val="auto"/>
              </w:rPr>
            </w:pPr>
            <w:r>
              <w:rPr>
                <w:rFonts w:ascii="Arial" w:cs="Arial" w:eastAsia="Arial" w:hAnsi="Arial"/>
                <w:sz w:val="18"/>
                <w:szCs w:val="18"/>
                <w:color w:val="auto"/>
              </w:rPr>
              <w:t>Total other accrued expenses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23,288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21,466</w:t>
            </w:r>
          </w:p>
        </w:tc>
      </w:tr>
      <w:tr>
        <w:trPr>
          <w:trHeight w:val="27"/>
        </w:trPr>
        <w:tc>
          <w:tcPr>
            <w:tcW w:w="78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620" w:right="3740" w:hanging="5288"/>
        <w:spacing w:after="0" w:line="466" w:lineRule="auto"/>
        <w:tabs>
          <w:tab w:leader="none" w:pos="652"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The tooling accrual balance relates to unearned revenue for tooling that will be sold to customers. 14</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Vendor</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obtained certain engineering support services for our India subsidiary from JAP Techno Solutions ("JAP"). The owner of JAP is the spouse of the managing director of our India operations. Total fees paid to JAP for the three and nine months ended September 30, 2015 were $25 thousand and $77 thousand, respectively. No amounts were paid to this vendor during the nine months ended September 30, 2016.</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liability for product warranty claim costs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78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4"/>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2015</w:t>
            </w: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353</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Accruals for warranties issued during the period</w:t>
            </w:r>
          </w:p>
        </w:tc>
        <w:tc>
          <w:tcPr>
            <w:tcW w:w="42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12</w:t>
            </w:r>
          </w:p>
        </w:tc>
      </w:tr>
      <w:tr>
        <w:trPr>
          <w:trHeight w:val="27"/>
        </w:trPr>
        <w:tc>
          <w:tcPr>
            <w:tcW w:w="7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 (in cash or in kind) during the period</w:t>
            </w:r>
          </w:p>
        </w:tc>
        <w:tc>
          <w:tcPr>
            <w:tcW w:w="4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r>
      <w:tr>
        <w:trPr>
          <w:trHeight w:val="257"/>
        </w:trPr>
        <w:tc>
          <w:tcPr>
            <w:tcW w:w="786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36</w:t>
            </w:r>
          </w:p>
        </w:tc>
      </w:tr>
      <w:tr>
        <w:trPr>
          <w:trHeight w:val="20"/>
        </w:trPr>
        <w:tc>
          <w:tcPr>
            <w:tcW w:w="78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Activities and Sale of Guangzhou Factory</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first quarter of 2016, we implemented a plan to reduce our manufacturing costs by transitioning manufacturing activities from our southern-most China factory, located in the city of Guangzhou in the Guangdong province, to our other three China factories where labor rates are lower. As a result, we incurred severance costs of $0.1 million and $1.6 million during the three and nine months ended September 30, 2016, which are included within selling, general and administrative expenses. We expect to incur additional severance costs of approximately $10 million as we continue to execute this transition over the next 12-15 months. Because severance costs relate to involuntary terminations, we record the related liability at the communication date. At September 30, 2016, we had $0.1 million of unpaid severance costs included within accrued compensation.</w:t>
      </w:r>
    </w:p>
    <w:p>
      <w:pPr>
        <w:spacing w:after="0" w:line="20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September 26, 2016, we entered into an agreement to sell our Guangzhou manufacturing facility for RMB 320 million (approximately $48 million). Under the terms of this agreement, we have up to 24 months to cease all operations within the facility. The closing of the sale will be subject to customary due diligence and local regulatory approval and is expected to be completed within approximately 28 months from the execution of the agreement. In accordance with the terms of the agreement, the buyer deposited 10% of the purchase price into an escrow account at agreement inception, which we have presented as long-term restricted cash in our consolidated balance sheet (also refer to Note 2). The remaining balance of the purchase price is to be placed into the escrow account prior to the closing of the sale and will be released to us upon closing.</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June 28, 2016, in connection with previously disclosed litigation matters, we entered into a confidential agreement in principal with Universal Remote Control, Inc. (“URC”), Ohsung Electronics Co., Ltd., and Ohsung Electronics USA, Inc. (collectively the “URC Parties”) to settle all litigation matters (including the malicious prosecution litigation described below) between us and the URC Parties. By and during the term of this agreement, we and the URC Parties will dismiss all litigation matters and appeals. While the terms of this agreement in principal are confidential, the $4.6 million surety bond previously placed by us in connection with these litigation matters will be released to URC. Additionally, the URC Parties will receive a limited paid up license to the technologies covered by the patents in this litigation and a limited covenant not to sue with respect to certain of URC’s products existing as of the settlement date. We expect to finalize the definitive settlement agreement and other documents in the near future. Thus, during the nine months ended September 30, 2016, we recorded $2.0 million of estimated litigation settlement costs within selling, general and administrative expenses. While we have been negotiating the settlement agreement and other documents, the underlying litigation with respect to the second litigation matter we filed against URC (Universal Electronics Inc. v. Universal Remote Control, Inc., SACV13-00987 JAK (SHx)) has been stayed with a status conference set for November 14, 2016. In addition, on October 17, 2016, the United States Court of Appeals for the Federal Circuit15-1410-CB Universal Electronics, Inc. v. Universal</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Remote Control, Inc. "Opinion filed" (8:12-cv-00329-AG-JPR) ruled in our favor denying URC’s appeal of the lower court’s ruling in the first litigation matter we filed against URC in which URC sought to obtain more attorney fees and costs.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28, 2016, URC filed a malicious prosecution lawsuit against us in the Superior Court of California, County of Orange (Universal Remote Control, Inc. v. Universal Electronics Inc., 30-2016-00849239-CU-BT-CJC) seeking additional monetary damages against us in connection with the litigation matters we filed against them. This lawsuit has been stayed while we have been negotiating a settlement of all our disputes (see discussion above). Further, we believe that this action by URC is without merit, and we have denied all of URC’s allegations and should we not settle all of our disputes (including this one), we intend to vigorously defend against this lawsuit.</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or about June 10, 2015, FM Marketing GmbH ("FMH") and Ruwido Austria GmbH ("Ruwido"), filed a Summons in Summary Proceedings in Belgium court against one of our subsidiaries, Universal Electronics BV ("UEBV") and one of its customers, Telenet N.V. ("Telenet"), claiming that one of the products UEBV supplies Telenet violates two design patents and one utility patent owned by FMH and/or Ruwido. By this summons, FMH and Ruwido sought to enjoin Telenet and UEBV from continued distribution and use of the products at issue. After the September 29, 2015 hearing, the Court issued its ruling in our and Telenet’s favor, rejecting FMH and Ruwido’s request entirely. On October 22, 2015, Ruwido filed its notice of appeal in this ruling. The parties have fully briefed the appeal and on February 15, 2016, the appellate court heard oral arguments. While awaiting the appellate court’s ruling, we requested and received permission to submit additional filings in support of our position. As such, the court set a new date for all new filings to be submitted and set a status conference for January 2017. In addition, in September 2015, UEBV filed an Opposition with the European Patent Office seeking to invalidate the one utility patent asserted against UEBV and Telenet by Ruwido. The hearing on this opposition has been set for July 2017. Finally, on or about February 9, 2016, Ruwido filed a writ of summons for proceeding on the merits with respect to asserted patents. UEBV and Telenet have replied, denying all of Ruwido's allegations and we intend to vigorously defend against these claims with the hearing on this matter set for February 2017.</w:t>
      </w:r>
    </w:p>
    <w:p>
      <w:pPr>
        <w:spacing w:after="0" w:line="11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There are no other material pending legal proceedings to which we or any of our subsidiaries is a party or of which our respective property is the subject. However, as is typical in our industry and to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may not bear any reasonable relationship to the merits of the claims or the extent of any real risk of court awards assessed against us or in our favor. However, no assurances can be made as to the outcome of any of these matters, nor can we estimate the range of potential losses to us. In our opinion, final judgments, if any, which might be rendered against us in potential or pending litigation would not have a material adverse effect on our financial condition, results of operations, or cash flows. Moreover, we believe that our products do not infringe any third parties' patents or other intellectual property rights.</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maintain directors' and officers' liability insurance which insures our individual directors and officers against certain claims, as well as attorney's fees and related expenses incurred in connection with the defense of such claims.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Treasury Stock</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our Board of Directors authorizes management to repurchase shares of our issued and outstanding common stock on the open market. Repurchases may be made to manage dilution created by shares issued under our stock incentive plans or whenever we deem a repurchase is a good use of our cash and the price to be paid is at or below a threshold approved by our Board. As of September 30, 2016, we had 375,000 shares available for repurchase on the open market under the Board's authorizations. On November 2, 2016, our Board increased these repurchase authorizations by 125,000 shares bringing the total authorization as of the approval date to 500,000 shares. Shares may also be tendered by employees to satisfy tax withholding obligations in connection with the vesting of restricted stock.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Repurchased shares of our common stock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596"/>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78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share data)</w:t>
            </w: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2015</w:t>
            </w: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repurchased</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39,531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1,593,420</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Cost of shares repurchased</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9"/>
              <w:spacing w:after="0"/>
              <w:rPr>
                <w:sz w:val="20"/>
                <w:szCs w:val="20"/>
                <w:color w:val="auto"/>
              </w:rPr>
            </w:pPr>
            <w:r>
              <w:rPr>
                <w:rFonts w:ascii="Arial" w:cs="Arial" w:eastAsia="Arial" w:hAnsi="Arial"/>
                <w:sz w:val="18"/>
                <w:szCs w:val="18"/>
                <w:color w:val="auto"/>
              </w:rPr>
              <w:t>2,188</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78,708</w:t>
            </w:r>
          </w:p>
        </w:tc>
      </w:tr>
    </w:tbl>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Repurchased shares are recorded as shares held in treasury at cost. We hold these shares for future use as management and the Board of Directors deem appropriate, which has included compensating our outside directors.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Business Segment and Foreign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Reportable Segment</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operating segment, in part, is a component of an enterprise whose operating results are regularly reviewed by the chief operating decision maker to make decisions about resources to be allocated to the segment and assess its performance. Operating segments may be aggregated only to a limited extent. Our chief operating decision maker, the Chief Executive Officer, reviews financial information presented on a consolidated basis, accompanied by disaggregated information about revenues for purposes of making operating decisions and assessing financial performance. Accordingly, we only have a single operating and reportable segment.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Our net sales to external customers by geographic area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2"/>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88,243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83,059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263,053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200,167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Asia (excluding PRC)</w:t>
            </w: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22,099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25,763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64,290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87,428</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People's Republic of China</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19,899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19,804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59,978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57,008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Europe</w:t>
            </w: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19,389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15,055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53,716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46,189</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32,273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29,766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6,523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7,938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17,519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20,165</w:t>
            </w: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net sales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169,185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160,467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490,829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440,723</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Specific identification of the customer billing location was the basis used for attributing revenues from external customers to geographic areas.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Long-lived tangible assets by geographic area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2016</w:t>
            </w:r>
          </w:p>
        </w:tc>
        <w:tc>
          <w:tcPr>
            <w:tcW w:w="200" w:type="dxa"/>
            <w:vAlign w:val="bottom"/>
          </w:tcPr>
          <w:p>
            <w:pPr>
              <w:spacing w:after="0"/>
              <w:rPr>
                <w:sz w:val="16"/>
                <w:szCs w:val="16"/>
                <w:color w:val="auto"/>
              </w:rPr>
            </w:pPr>
          </w:p>
        </w:tc>
        <w:tc>
          <w:tcPr>
            <w:tcW w:w="1500" w:type="dxa"/>
            <w:vAlign w:val="bottom"/>
          </w:tcPr>
          <w:p>
            <w:pPr>
              <w:jc w:val="right"/>
              <w:ind w:right="194"/>
              <w:spacing w:after="0"/>
              <w:rPr>
                <w:sz w:val="20"/>
                <w:szCs w:val="20"/>
                <w:color w:val="auto"/>
              </w:rPr>
            </w:pPr>
            <w:r>
              <w:rPr>
                <w:rFonts w:ascii="Arial" w:cs="Arial" w:eastAsia="Arial" w:hAnsi="Arial"/>
                <w:sz w:val="14"/>
                <w:szCs w:val="14"/>
                <w:b w:val="1"/>
                <w:bCs w:val="1"/>
                <w:color w:val="auto"/>
                <w:w w:val="95"/>
              </w:rPr>
              <w:t>December 31, 2015</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10,187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7,015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People's Republic of China</w:t>
            </w:r>
          </w:p>
        </w:tc>
        <w:tc>
          <w:tcPr>
            <w:tcW w:w="180" w:type="dxa"/>
            <w:vAlign w:val="bottom"/>
          </w:tcPr>
          <w:p>
            <w:pPr>
              <w:spacing w:after="0"/>
              <w:rPr>
                <w:sz w:val="21"/>
                <w:szCs w:val="21"/>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93,313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83,794</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 countries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4,682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4,571</w:t>
            </w:r>
          </w:p>
        </w:tc>
      </w:tr>
      <w:tr>
        <w:trPr>
          <w:trHeight w:val="237"/>
        </w:trPr>
        <w:tc>
          <w:tcPr>
            <w:tcW w:w="7900" w:type="dxa"/>
            <w:vAlign w:val="bottom"/>
          </w:tcPr>
          <w:p>
            <w:pPr>
              <w:ind w:left="380"/>
              <w:spacing w:after="0"/>
              <w:rPr>
                <w:sz w:val="20"/>
                <w:szCs w:val="20"/>
                <w:color w:val="auto"/>
              </w:rPr>
            </w:pPr>
            <w:r>
              <w:rPr>
                <w:rFonts w:ascii="Arial" w:cs="Arial" w:eastAsia="Arial" w:hAnsi="Arial"/>
                <w:sz w:val="18"/>
                <w:szCs w:val="18"/>
                <w:color w:val="auto"/>
              </w:rPr>
              <w:t>Total long-lived tangible assets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108,182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95,380</w:t>
            </w:r>
          </w:p>
        </w:tc>
      </w:tr>
      <w:tr>
        <w:trPr>
          <w:trHeight w:val="27"/>
        </w:trPr>
        <w:tc>
          <w:tcPr>
            <w:tcW w:w="7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18" w:right="239" w:bottom="1440" w:gutter="0" w:footer="0" w:header="0"/>
          <w:type w:val="continuous"/>
        </w:sectPr>
      </w:pPr>
    </w:p>
    <w:bookmarkStart w:id="17" w:name="page18"/>
    <w:bookmarkEnd w:id="1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Stock-Based Compensation</w:t>
      </w:r>
    </w:p>
    <w:p>
      <w:pPr>
        <w:spacing w:after="0" w:line="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Stock-based compensation expense for each employee and director is presented in the same income statement caption as their cash compensation. Stock-based compensation expense by income statement caption and the related income tax benefit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10"/>
          </w:tcPr>
          <w:p>
            <w:pPr>
              <w:jc w:val="right"/>
              <w:ind w:right="320"/>
              <w:spacing w:after="0"/>
              <w:rPr>
                <w:sz w:val="20"/>
                <w:szCs w:val="20"/>
                <w:color w:val="auto"/>
              </w:rPr>
            </w:pPr>
            <w:r>
              <w:rPr>
                <w:rFonts w:ascii="Arial" w:cs="Arial" w:eastAsia="Arial" w:hAnsi="Arial"/>
                <w:sz w:val="14"/>
                <w:szCs w:val="14"/>
                <w:b w:val="1"/>
                <w:bCs w:val="1"/>
                <w:color w:val="auto"/>
              </w:rPr>
              <w:t>Three Months Ended September 30,</w:t>
            </w: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7"/>
          </w:tcPr>
          <w:p>
            <w:pPr>
              <w:ind w:left="2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54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38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w w:val="93"/>
              </w:rPr>
              <w:t>136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94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360"/>
              <w:spacing w:after="0"/>
              <w:rPr>
                <w:sz w:val="20"/>
                <w:szCs w:val="20"/>
                <w:color w:val="auto"/>
              </w:rPr>
            </w:pPr>
            <w:r>
              <w:rPr>
                <w:rFonts w:ascii="Arial" w:cs="Arial" w:eastAsia="Arial" w:hAnsi="Arial"/>
                <w:sz w:val="18"/>
                <w:szCs w:val="18"/>
                <w:color w:val="auto"/>
              </w:rPr>
              <w:t>Employees</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4"/>
          </w:tcPr>
          <w:p>
            <w:pPr>
              <w:jc w:val="right"/>
              <w:ind w:right="20"/>
              <w:spacing w:after="0"/>
              <w:rPr>
                <w:sz w:val="20"/>
                <w:szCs w:val="20"/>
                <w:color w:val="auto"/>
              </w:rPr>
            </w:pPr>
            <w:r>
              <w:rPr>
                <w:rFonts w:ascii="Arial" w:cs="Arial" w:eastAsia="Arial" w:hAnsi="Arial"/>
                <w:sz w:val="18"/>
                <w:szCs w:val="18"/>
                <w:color w:val="auto"/>
              </w:rPr>
              <w:t>1,748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1,459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4,465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Outside directors</w:t>
            </w:r>
          </w:p>
        </w:tc>
        <w:tc>
          <w:tcPr>
            <w:tcW w:w="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3"/>
              </w:rPr>
              <w:t>770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377</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1,862</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34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2,668</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1,940</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7,638</w:t>
            </w:r>
          </w:p>
        </w:tc>
        <w:tc>
          <w:tcPr>
            <w:tcW w:w="20" w:type="dxa"/>
            <w:vAlign w:val="bottom"/>
            <w:tcBorders>
              <w:top w:val="single" w:sz="8" w:color="auto"/>
            </w:tcBorders>
          </w:tcPr>
          <w:p>
            <w:pPr>
              <w:spacing w:after="0"/>
              <w:rPr>
                <w:sz w:val="20"/>
                <w:szCs w:val="20"/>
                <w:color w:val="auto"/>
              </w:rPr>
            </w:pPr>
          </w:p>
        </w:tc>
        <w:tc>
          <w:tcPr>
            <w:tcW w:w="100" w:type="dxa"/>
            <w:vAlign w:val="bottom"/>
            <w:gridSpan w:val="2"/>
          </w:tcPr>
          <w:p>
            <w:pPr>
              <w:spacing w:after="0"/>
              <w:rPr>
                <w:sz w:val="20"/>
                <w:szCs w:val="20"/>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5,923</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4920" w:type="dxa"/>
            <w:vAlign w:val="bottom"/>
            <w:tcBorders>
              <w:bottom w:val="single" w:sz="8" w:color="CCEEFF"/>
            </w:tcBorders>
          </w:tcPr>
          <w:p>
            <w:pPr>
              <w:spacing w:after="0"/>
              <w:rPr>
                <w:sz w:val="5"/>
                <w:szCs w:val="5"/>
                <w:color w:val="auto"/>
              </w:rPr>
            </w:pPr>
          </w:p>
        </w:tc>
        <w:tc>
          <w:tcPr>
            <w:tcW w:w="34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49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w w:val="93"/>
              </w:rPr>
              <w:t>812</w:t>
            </w:r>
          </w:p>
        </w:tc>
        <w:tc>
          <w:tcPr>
            <w:tcW w:w="54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550</w:t>
            </w:r>
          </w:p>
        </w:tc>
        <w:tc>
          <w:tcPr>
            <w:tcW w:w="38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2,281</w:t>
            </w:r>
          </w:p>
        </w:tc>
        <w:tc>
          <w:tcPr>
            <w:tcW w:w="20" w:type="dxa"/>
            <w:vAlign w:val="bottom"/>
          </w:tcPr>
          <w:p>
            <w:pPr>
              <w:spacing w:after="0"/>
              <w:rPr>
                <w:sz w:val="21"/>
                <w:szCs w:val="21"/>
                <w:color w:val="auto"/>
              </w:rPr>
            </w:pPr>
          </w:p>
        </w:tc>
        <w:tc>
          <w:tcPr>
            <w:tcW w:w="380" w:type="dxa"/>
            <w:vAlign w:val="bottom"/>
            <w:gridSpan w:val="3"/>
          </w:tcPr>
          <w:p>
            <w:pPr>
              <w:jc w:val="right"/>
              <w:ind w:right="79"/>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1,684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4920" w:type="dxa"/>
            <w:vAlign w:val="bottom"/>
          </w:tcPr>
          <w:p>
            <w:pPr>
              <w:spacing w:after="0"/>
              <w:rPr>
                <w:sz w:val="20"/>
                <w:szCs w:val="20"/>
                <w:color w:val="auto"/>
              </w:rPr>
            </w:pPr>
            <w:r>
              <w:rPr>
                <w:rFonts w:ascii="Arial" w:cs="Arial" w:eastAsia="Arial" w:hAnsi="Arial"/>
                <w:sz w:val="18"/>
                <w:szCs w:val="18"/>
                <w:b w:val="1"/>
                <w:bCs w:val="1"/>
                <w:i w:val="1"/>
                <w:iCs w:val="1"/>
                <w:color w:val="auto"/>
              </w:rPr>
              <w:t>Stock Options</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920" w:type="dxa"/>
            <w:vAlign w:val="bottom"/>
          </w:tcPr>
          <w:p>
            <w:pPr>
              <w:spacing w:after="0"/>
              <w:rPr>
                <w:sz w:val="20"/>
                <w:szCs w:val="20"/>
                <w:color w:val="auto"/>
              </w:rPr>
            </w:pPr>
            <w:r>
              <w:rPr>
                <w:rFonts w:ascii="Arial" w:cs="Arial" w:eastAsia="Arial" w:hAnsi="Arial"/>
                <w:sz w:val="18"/>
                <w:szCs w:val="18"/>
                <w:color w:val="auto"/>
              </w:rPr>
              <w:t>Stock option activity was as follows:</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rPr>
              <w:t>Weighted-Average</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440" w:type="dxa"/>
            <w:vAlign w:val="bottom"/>
            <w:gridSpan w:val="3"/>
            <w:vMerge w:val="restart"/>
          </w:tcPr>
          <w:p>
            <w:pPr>
              <w:jc w:val="right"/>
              <w:ind w:right="14"/>
              <w:spacing w:after="0"/>
              <w:rPr>
                <w:sz w:val="20"/>
                <w:szCs w:val="20"/>
                <w:color w:val="auto"/>
              </w:rPr>
            </w:pPr>
            <w:r>
              <w:rPr>
                <w:rFonts w:ascii="Arial" w:cs="Arial" w:eastAsia="Arial" w:hAnsi="Arial"/>
                <w:sz w:val="14"/>
                <w:szCs w:val="14"/>
                <w:b w:val="1"/>
                <w:bCs w:val="1"/>
                <w:color w:val="auto"/>
              </w:rPr>
              <w:t>Number of Options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6"/>
            <w:vMerge w:val="restart"/>
          </w:tcPr>
          <w:p>
            <w:pPr>
              <w:jc w:val="right"/>
              <w:ind w:right="360"/>
              <w:spacing w:after="0"/>
              <w:rPr>
                <w:sz w:val="20"/>
                <w:szCs w:val="20"/>
                <w:color w:val="auto"/>
              </w:rPr>
            </w:pPr>
            <w:r>
              <w:rPr>
                <w:rFonts w:ascii="Arial" w:cs="Arial" w:eastAsia="Arial" w:hAnsi="Arial"/>
                <w:sz w:val="14"/>
                <w:szCs w:val="14"/>
                <w:b w:val="1"/>
                <w:bCs w:val="1"/>
                <w:color w:val="auto"/>
                <w:w w:val="92"/>
              </w:rPr>
              <w:t>Weighted-Average</w:t>
            </w:r>
          </w:p>
        </w:tc>
        <w:tc>
          <w:tcPr>
            <w:tcW w:w="164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Remaining Contractual</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6"/>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Term</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2"/>
        </w:trPr>
        <w:tc>
          <w:tcPr>
            <w:tcW w:w="49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(in 000's)</w:t>
            </w: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211"/>
              <w:spacing w:after="0"/>
              <w:rPr>
                <w:sz w:val="20"/>
                <w:szCs w:val="20"/>
                <w:color w:val="auto"/>
              </w:rPr>
            </w:pPr>
            <w:r>
              <w:rPr>
                <w:rFonts w:ascii="Arial" w:cs="Arial" w:eastAsia="Arial" w:hAnsi="Arial"/>
                <w:sz w:val="14"/>
                <w:szCs w:val="14"/>
                <w:b w:val="1"/>
                <w:bCs w:val="1"/>
                <w:color w:val="auto"/>
                <w:w w:val="93"/>
              </w:rPr>
              <w:t>Exercise Price</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376"/>
              <w:spacing w:after="0"/>
              <w:rPr>
                <w:sz w:val="20"/>
                <w:szCs w:val="20"/>
                <w:color w:val="auto"/>
              </w:rPr>
            </w:pPr>
            <w:r>
              <w:rPr>
                <w:rFonts w:ascii="Arial" w:cs="Arial" w:eastAsia="Arial" w:hAnsi="Arial"/>
                <w:sz w:val="14"/>
                <w:szCs w:val="14"/>
                <w:b w:val="1"/>
                <w:bCs w:val="1"/>
                <w:color w:val="auto"/>
                <w:w w:val="93"/>
              </w:rPr>
              <w:t>(in years)</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93"/>
              </w:rPr>
              <w:t>(in 000's)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2015</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3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Granted</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243</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49.67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8,065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Forfeited/canceled/expired</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gridSpan w:val="2"/>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Outstanding at September 30, 2016 </w:t>
            </w:r>
            <w:r>
              <w:rPr>
                <w:rFonts w:ascii="Arial" w:cs="Arial" w:eastAsia="Arial" w:hAnsi="Arial"/>
                <w:sz w:val="25"/>
                <w:szCs w:val="25"/>
                <w:color w:val="auto"/>
                <w:vertAlign w:val="superscript"/>
              </w:rPr>
              <w:t>(1)</w:t>
            </w:r>
          </w:p>
        </w:tc>
        <w:tc>
          <w:tcPr>
            <w:tcW w:w="3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4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38.60</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25,113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920" w:type="dxa"/>
            <w:vAlign w:val="bottom"/>
          </w:tcPr>
          <w:p>
            <w:pPr>
              <w:ind w:left="40"/>
              <w:spacing w:after="0" w:line="251" w:lineRule="exact"/>
              <w:rPr>
                <w:sz w:val="20"/>
                <w:szCs w:val="20"/>
                <w:color w:val="auto"/>
              </w:rPr>
            </w:pPr>
            <w:r>
              <w:rPr>
                <w:rFonts w:ascii="Arial" w:cs="Arial" w:eastAsia="Arial" w:hAnsi="Arial"/>
                <w:sz w:val="18"/>
                <w:szCs w:val="18"/>
                <w:color w:val="auto"/>
              </w:rPr>
              <w:t xml:space="preserve">Vested and expected to vest at September 30, 2016 </w:t>
            </w:r>
            <w:r>
              <w:rPr>
                <w:rFonts w:ascii="Arial" w:cs="Arial" w:eastAsia="Arial" w:hAnsi="Arial"/>
                <w:sz w:val="25"/>
                <w:szCs w:val="25"/>
                <w:color w:val="auto"/>
                <w:vertAlign w:val="superscript"/>
              </w:rPr>
              <w:t>(1)</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700</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38.60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4.95</w:t>
            </w:r>
          </w:p>
        </w:tc>
        <w:tc>
          <w:tcPr>
            <w:tcW w:w="20" w:type="dxa"/>
            <w:vAlign w:val="bottom"/>
          </w:tcPr>
          <w:p>
            <w:pPr>
              <w:spacing w:after="0"/>
              <w:rPr>
                <w:sz w:val="21"/>
                <w:szCs w:val="21"/>
                <w:color w:val="auto"/>
              </w:rPr>
            </w:pPr>
          </w:p>
        </w:tc>
        <w:tc>
          <w:tcPr>
            <w:tcW w:w="380" w:type="dxa"/>
            <w:vAlign w:val="bottom"/>
            <w:gridSpan w:val="3"/>
          </w:tcPr>
          <w:p>
            <w:pPr>
              <w:jc w:val="right"/>
              <w:ind w:right="9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25,105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Exercisable at September 30, 2016 </w:t>
            </w:r>
            <w:r>
              <w:rPr>
                <w:rFonts w:ascii="Arial" w:cs="Arial" w:eastAsia="Arial" w:hAnsi="Arial"/>
                <w:sz w:val="25"/>
                <w:szCs w:val="25"/>
                <w:color w:val="auto"/>
                <w:vertAlign w:val="superscript"/>
              </w:rPr>
              <w:t>(1)</w:t>
            </w:r>
          </w:p>
        </w:tc>
        <w:tc>
          <w:tcPr>
            <w:tcW w:w="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29.36</w:t>
            </w: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20" w:type="dxa"/>
            <w:vAlign w:val="bottom"/>
            <w:shd w:val="clear" w:color="auto" w:fill="CCEEFF"/>
          </w:tcPr>
          <w:p>
            <w:pPr>
              <w:spacing w:after="0"/>
              <w:rPr>
                <w:sz w:val="23"/>
                <w:szCs w:val="23"/>
                <w:color w:val="auto"/>
              </w:rPr>
            </w:pPr>
          </w:p>
        </w:tc>
        <w:tc>
          <w:tcPr>
            <w:tcW w:w="380" w:type="dxa"/>
            <w:vAlign w:val="bottom"/>
            <w:gridSpan w:val="3"/>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17,663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660" w:hanging="328"/>
        <w:spacing w:after="0" w:line="238" w:lineRule="auto"/>
        <w:tabs>
          <w:tab w:leader="none" w:pos="660" w:val="left"/>
        </w:tabs>
        <w:numPr>
          <w:ilvl w:val="0"/>
          <w:numId w:val="7"/>
        </w:numPr>
        <w:rPr>
          <w:rFonts w:ascii="Arial" w:cs="Arial" w:eastAsia="Arial" w:hAnsi="Arial"/>
          <w:sz w:val="24"/>
          <w:szCs w:val="24"/>
          <w:color w:val="auto"/>
          <w:vertAlign w:val="superscript"/>
        </w:rPr>
      </w:pPr>
      <w:r>
        <w:rPr>
          <w:rFonts w:ascii="Arial" w:cs="Arial" w:eastAsia="Arial" w:hAnsi="Arial"/>
          <w:sz w:val="17"/>
          <w:szCs w:val="17"/>
          <w:color w:val="auto"/>
        </w:rPr>
        <w:t>The aggregate intrinsic value represents the total pre-tax value (the difference between our closing stock price on the last trading day of the third quarter of 2016 and the exercise price, multiplied by the number of in-the-money options) that would have been received by the option holders had they all exercised their options on September 30, 2016. This amount will change based on the fair market value of our stock.</w:t>
      </w:r>
    </w:p>
    <w:p>
      <w:pPr>
        <w:spacing w:after="0" w:line="14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assumptions we utilized in the Black-Scholes option pricing model and the resulting weighted average fair value of stock option grants were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3280" w:type="dxa"/>
            <w:vAlign w:val="bottom"/>
            <w:gridSpan w:val="6"/>
          </w:tcPr>
          <w:p>
            <w:pPr>
              <w:ind w:left="48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2840" w:type="dxa"/>
            <w:vAlign w:val="bottom"/>
            <w:gridSpan w:val="4"/>
          </w:tcPr>
          <w:p>
            <w:pPr>
              <w:jc w:val="right"/>
              <w:ind w:right="414"/>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920" w:type="dxa"/>
            <w:vAlign w:val="bottom"/>
            <w:tcBorders>
              <w:bottom w:val="single" w:sz="8" w:color="CCEEFF"/>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2015</w:t>
            </w: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fair value of grants</w:t>
            </w:r>
          </w:p>
        </w:tc>
        <w:tc>
          <w:tcPr>
            <w:tcW w:w="96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17.96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24.77</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960" w:type="dxa"/>
            <w:vAlign w:val="bottom"/>
          </w:tcPr>
          <w:p>
            <w:pPr>
              <w:spacing w:after="0"/>
              <w:rPr>
                <w:sz w:val="21"/>
                <w:szCs w:val="21"/>
                <w:color w:val="auto"/>
              </w:rPr>
            </w:pP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7"/>
        </w:trPr>
        <w:tc>
          <w:tcPr>
            <w:tcW w:w="4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9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43.50%</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Expected life in years</w:t>
            </w:r>
          </w:p>
        </w:tc>
        <w:tc>
          <w:tcPr>
            <w:tcW w:w="960" w:type="dxa"/>
            <w:vAlign w:val="bottom"/>
          </w:tcPr>
          <w:p>
            <w:pPr>
              <w:spacing w:after="0"/>
              <w:rPr>
                <w:sz w:val="21"/>
                <w:szCs w:val="21"/>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116"/>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4.56</w:t>
            </w:r>
          </w:p>
        </w:tc>
      </w:tr>
    </w:tbl>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September 30, 2016, we expect to recognize $4.5 million of total unrecognized pre-tax stock-based compensation expense related to non-vested stock options over a remaining weighted-average life of 2.1 years.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Non-vested restricted stock award activity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400" w:type="dxa"/>
            <w:vAlign w:val="bottom"/>
          </w:tcPr>
          <w:p>
            <w:pPr>
              <w:jc w:val="center"/>
              <w:ind w:left="468"/>
              <w:spacing w:after="0"/>
              <w:rPr>
                <w:sz w:val="20"/>
                <w:szCs w:val="20"/>
                <w:color w:val="auto"/>
              </w:rPr>
            </w:pPr>
            <w:r>
              <w:rPr>
                <w:rFonts w:ascii="Arial" w:cs="Arial" w:eastAsia="Arial" w:hAnsi="Arial"/>
                <w:sz w:val="14"/>
                <w:szCs w:val="14"/>
                <w:b w:val="1"/>
                <w:bCs w:val="1"/>
                <w:color w:val="auto"/>
                <w:w w:val="89"/>
              </w:rPr>
              <w:t>Shares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Weighted-Average Grant Date</w:t>
            </w:r>
          </w:p>
        </w:tc>
      </w:tr>
      <w:tr>
        <w:trPr>
          <w:trHeight w:val="192"/>
        </w:trPr>
        <w:tc>
          <w:tcPr>
            <w:tcW w:w="744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b w:val="1"/>
                <w:bCs w:val="1"/>
                <w:color w:val="auto"/>
                <w:w w:val="96"/>
              </w:rPr>
              <w:t>(in 000's)</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2015</w:t>
            </w:r>
          </w:p>
        </w:tc>
        <w:tc>
          <w:tcPr>
            <w:tcW w:w="1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c>
          <w:tcPr>
            <w:tcW w:w="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51.31</w:t>
            </w:r>
          </w:p>
        </w:tc>
      </w:tr>
      <w:tr>
        <w:trPr>
          <w:trHeight w:val="243"/>
        </w:trPr>
        <w:tc>
          <w:tcPr>
            <w:tcW w:w="884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63.23</w:t>
            </w:r>
          </w:p>
        </w:tc>
      </w:tr>
      <w:tr>
        <w:trPr>
          <w:trHeight w:val="27"/>
        </w:trPr>
        <w:tc>
          <w:tcPr>
            <w:tcW w:w="7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50.18</w:t>
            </w:r>
          </w:p>
        </w:tc>
      </w:tr>
      <w:tr>
        <w:trPr>
          <w:trHeight w:val="243"/>
        </w:trPr>
        <w:tc>
          <w:tcPr>
            <w:tcW w:w="884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55.80</w:t>
            </w:r>
          </w:p>
        </w:tc>
      </w:tr>
      <w:tr>
        <w:trPr>
          <w:trHeight w:val="27"/>
        </w:trPr>
        <w:tc>
          <w:tcPr>
            <w:tcW w:w="744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September 30, 2016</w:t>
            </w:r>
          </w:p>
        </w:tc>
        <w:tc>
          <w:tcPr>
            <w:tcW w:w="140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242</w:t>
            </w:r>
          </w:p>
        </w:tc>
        <w:tc>
          <w:tcPr>
            <w:tcW w:w="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55.32</w:t>
            </w:r>
          </w:p>
        </w:tc>
      </w:tr>
      <w:tr>
        <w:trPr>
          <w:trHeight w:val="20"/>
        </w:trPr>
        <w:tc>
          <w:tcPr>
            <w:tcW w:w="74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2016, we expect to recognize $9.8 million of total unrecognized pre-tax stock-based compensation expense related to non-vested restricted stock awards over a weighted-average life of 1.7 years.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Performance-Based Common Stock Warrants</w:t>
      </w:r>
    </w:p>
    <w:p>
      <w:pPr>
        <w:spacing w:after="0" w:line="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9, 2016, we issued common stock purchase warrants to Comcast Corporation ("Comcast") to purchase up to 725,000 shares of our common stock at a price of $54.55 per share. The right to exercise the warrants under this agreement is subject to vesting over three successive two-year periods (with the first two-year period commencing on January 1, 2016) based on the level of purchases of goods and services from us by Comcast and its affiliates, as defined in the warrant agreement. The table below presents the purchase levels and number of warrants that will vest in each period based upon achieving these purchase levels.</w:t>
      </w:r>
    </w:p>
    <w:p>
      <w:pPr>
        <w:spacing w:after="0" w:line="180"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6000" w:type="dxa"/>
            <w:vAlign w:val="bottom"/>
          </w:tcPr>
          <w:p>
            <w:pPr>
              <w:spacing w:after="0"/>
              <w:rPr>
                <w:sz w:val="16"/>
                <w:szCs w:val="16"/>
                <w:color w:val="auto"/>
              </w:rPr>
            </w:pPr>
          </w:p>
        </w:tc>
        <w:tc>
          <w:tcPr>
            <w:tcW w:w="3820" w:type="dxa"/>
            <w:vAlign w:val="bottom"/>
            <w:tcBorders>
              <w:bottom w:val="single" w:sz="8" w:color="auto"/>
            </w:tcBorders>
            <w:gridSpan w:val="5"/>
          </w:tcPr>
          <w:p>
            <w:pPr>
              <w:jc w:val="center"/>
              <w:ind w:left="1398"/>
              <w:spacing w:after="0"/>
              <w:rPr>
                <w:sz w:val="20"/>
                <w:szCs w:val="20"/>
                <w:color w:val="auto"/>
              </w:rPr>
            </w:pPr>
            <w:r>
              <w:rPr>
                <w:rFonts w:ascii="Arial" w:cs="Arial" w:eastAsia="Arial" w:hAnsi="Arial"/>
                <w:sz w:val="14"/>
                <w:szCs w:val="14"/>
                <w:b w:val="1"/>
                <w:bCs w:val="1"/>
                <w:color w:val="auto"/>
                <w:w w:val="96"/>
              </w:rPr>
              <w:t>Incremental Warrants That Will Vest</w:t>
            </w: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Aggregate Level of Purchases by Comcast and Affiliates</w:t>
            </w:r>
          </w:p>
        </w:tc>
        <w:tc>
          <w:tcPr>
            <w:tcW w:w="18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3"/>
              </w:rPr>
              <w:t>January 1, 2016 -</w:t>
            </w:r>
          </w:p>
        </w:tc>
        <w:tc>
          <w:tcPr>
            <w:tcW w:w="2020" w:type="dxa"/>
            <w:vAlign w:val="bottom"/>
            <w:gridSpan w:val="3"/>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January 1, 2018 -</w:t>
            </w:r>
          </w:p>
        </w:tc>
        <w:tc>
          <w:tcPr>
            <w:tcW w:w="1460" w:type="dxa"/>
            <w:vAlign w:val="bottom"/>
          </w:tcPr>
          <w:p>
            <w:pPr>
              <w:jc w:val="right"/>
              <w:ind w:right="236"/>
              <w:spacing w:after="0" w:line="153" w:lineRule="exact"/>
              <w:rPr>
                <w:sz w:val="20"/>
                <w:szCs w:val="20"/>
                <w:color w:val="auto"/>
              </w:rPr>
            </w:pPr>
            <w:r>
              <w:rPr>
                <w:rFonts w:ascii="Arial" w:cs="Arial" w:eastAsia="Arial" w:hAnsi="Arial"/>
                <w:sz w:val="14"/>
                <w:szCs w:val="14"/>
                <w:b w:val="1"/>
                <w:bCs w:val="1"/>
                <w:color w:val="auto"/>
                <w:w w:val="99"/>
              </w:rPr>
              <w:t>January 1, 2020 -</w:t>
            </w:r>
          </w:p>
        </w:tc>
        <w:tc>
          <w:tcPr>
            <w:tcW w:w="0" w:type="dxa"/>
            <w:vAlign w:val="bottom"/>
          </w:tcPr>
          <w:p>
            <w:pPr>
              <w:spacing w:after="0"/>
              <w:rPr>
                <w:sz w:val="1"/>
                <w:szCs w:val="1"/>
                <w:color w:val="auto"/>
              </w:rPr>
            </w:pPr>
          </w:p>
        </w:tc>
      </w:tr>
      <w:tr>
        <w:trPr>
          <w:trHeight w:val="192"/>
        </w:trPr>
        <w:tc>
          <w:tcPr>
            <w:tcW w:w="6000" w:type="dxa"/>
            <w:vAlign w:val="bottom"/>
            <w:vMerge w:val="continue"/>
          </w:tcPr>
          <w:p>
            <w:pPr>
              <w:spacing w:after="0"/>
              <w:rPr>
                <w:sz w:val="16"/>
                <w:szCs w:val="16"/>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 2017</w:t>
            </w:r>
          </w:p>
        </w:tc>
        <w:tc>
          <w:tcPr>
            <w:tcW w:w="20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1"/>
              </w:rPr>
              <w:t>December 31, 2019</w:t>
            </w:r>
          </w:p>
        </w:tc>
        <w:tc>
          <w:tcPr>
            <w:tcW w:w="1460" w:type="dxa"/>
            <w:vAlign w:val="bottom"/>
          </w:tcPr>
          <w:p>
            <w:pPr>
              <w:jc w:val="right"/>
              <w:ind w:right="176"/>
              <w:spacing w:after="0"/>
              <w:rPr>
                <w:sz w:val="20"/>
                <w:szCs w:val="20"/>
                <w:color w:val="auto"/>
              </w:rPr>
            </w:pPr>
            <w:r>
              <w:rPr>
                <w:rFonts w:ascii="Arial" w:cs="Arial" w:eastAsia="Arial" w:hAnsi="Arial"/>
                <w:sz w:val="14"/>
                <w:szCs w:val="14"/>
                <w:b w:val="1"/>
                <w:bCs w:val="1"/>
                <w:color w:val="auto"/>
                <w:w w:val="93"/>
              </w:rPr>
              <w:t>December 31, 2021</w:t>
            </w:r>
          </w:p>
        </w:tc>
        <w:tc>
          <w:tcPr>
            <w:tcW w:w="0" w:type="dxa"/>
            <w:vAlign w:val="bottom"/>
          </w:tcPr>
          <w:p>
            <w:pPr>
              <w:spacing w:after="0"/>
              <w:rPr>
                <w:sz w:val="1"/>
                <w:szCs w:val="1"/>
                <w:color w:val="auto"/>
              </w:rPr>
            </w:pPr>
          </w:p>
        </w:tc>
      </w:tr>
      <w:tr>
        <w:trPr>
          <w:trHeight w:val="250"/>
        </w:trPr>
        <w:tc>
          <w:tcPr>
            <w:tcW w:w="6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$260 million</w:t>
            </w:r>
          </w:p>
        </w:tc>
        <w:tc>
          <w:tcPr>
            <w:tcW w:w="170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100,000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100,000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43"/>
        </w:trPr>
        <w:tc>
          <w:tcPr>
            <w:tcW w:w="6000" w:type="dxa"/>
            <w:vAlign w:val="bottom"/>
          </w:tcPr>
          <w:p>
            <w:pPr>
              <w:ind w:left="20"/>
              <w:spacing w:after="0"/>
              <w:rPr>
                <w:sz w:val="20"/>
                <w:szCs w:val="20"/>
                <w:color w:val="auto"/>
              </w:rPr>
            </w:pPr>
            <w:r>
              <w:rPr>
                <w:rFonts w:ascii="Arial" w:cs="Arial" w:eastAsia="Arial" w:hAnsi="Arial"/>
                <w:sz w:val="18"/>
                <w:szCs w:val="18"/>
                <w:color w:val="auto"/>
              </w:rPr>
              <w:t>$300 million</w:t>
            </w:r>
          </w:p>
        </w:tc>
        <w:tc>
          <w:tcPr>
            <w:tcW w:w="1700" w:type="dxa"/>
            <w:vAlign w:val="bottom"/>
          </w:tcPr>
          <w:p>
            <w:pPr>
              <w:jc w:val="right"/>
              <w:ind w:right="38"/>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1"/>
                <w:szCs w:val="21"/>
                <w:color w:val="auto"/>
              </w:rPr>
            </w:pPr>
          </w:p>
        </w:tc>
        <w:tc>
          <w:tcPr>
            <w:tcW w:w="1680" w:type="dxa"/>
            <w:vAlign w:val="bottom"/>
          </w:tcPr>
          <w:p>
            <w:pPr>
              <w:jc w:val="right"/>
              <w:ind w:right="16"/>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$340 million</w:t>
            </w:r>
          </w:p>
        </w:tc>
        <w:tc>
          <w:tcPr>
            <w:tcW w:w="17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75,000</w:t>
            </w: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75,000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64"/>
        </w:trPr>
        <w:tc>
          <w:tcPr>
            <w:tcW w:w="6000" w:type="dxa"/>
            <w:vAlign w:val="bottom"/>
          </w:tcPr>
          <w:p>
            <w:pPr>
              <w:ind w:left="20"/>
              <w:spacing w:after="0"/>
              <w:rPr>
                <w:sz w:val="20"/>
                <w:szCs w:val="20"/>
                <w:color w:val="auto"/>
              </w:rPr>
            </w:pPr>
            <w:r>
              <w:rPr>
                <w:rFonts w:ascii="Arial" w:cs="Arial" w:eastAsia="Arial" w:hAnsi="Arial"/>
                <w:sz w:val="14"/>
                <w:szCs w:val="14"/>
                <w:b w:val="1"/>
                <w:bCs w:val="1"/>
                <w:color w:val="auto"/>
              </w:rPr>
              <w:t>Maximum Potential Warrants Earned by Comcast</w:t>
            </w:r>
          </w:p>
        </w:tc>
        <w:tc>
          <w:tcPr>
            <w:tcW w:w="17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2"/>
                <w:szCs w:val="22"/>
                <w:color w:val="auto"/>
              </w:rPr>
            </w:pPr>
          </w:p>
        </w:tc>
        <w:tc>
          <w:tcPr>
            <w:tcW w:w="16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4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225,000</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total aggregate purchases by Comcast and its affiliates are below $260 million in any of the two-year periods above, no warrants will vest related to that two-year period. If total aggregate purchases of goods and services by Comcast and its affiliates exceed $340 million during either the first or second two-year period, the amount of any such excess will count toward aggregate purchases in the following two-year period. To fully vest in the rights to purchase all of the underlying shares, Comcast and its affiliates must purchase an aggregate of $1.02 billion in goods and services from us during the six-year vesting period.</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and all warrants that vest will expire on January 1, 2023. The warrants provide for certain adjustments that may be made to the exercise price and the number of shares issuable upon exercise due to customary anti-dilution provisions. Additionally, in connection with the common stock purchase warrants, we have also entered into a registration rights agreement with Comcast under which Comcast may from time to time request that we register the shares of common stock underlying vested warrants with the SEC.</w:t>
      </w:r>
    </w:p>
    <w:p>
      <w:pPr>
        <w:spacing w:after="0" w:line="13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Because the warrants contain performance criteria under which Comcast must achieve specified aggregate purchase levels for the warrants to vest, as detailed above, the measurement date for the warrants is the date on which the warrants vest. The estimated fair value of warrants is being recorded as a reduction to net sales ratably as the warrants vest based on the projected number of warrants that will vest, the proportion of purchases by Comcast and its affiliates within the period relative to the aggregate purchase levels required for the warrants to vest and the then-current fair value of the related unvested warrants. If management does not have a reliable forecast of future purchases to be made by Comcast and its affiliates by which to estimate the number of warrants that will vest, then the maximum number of potential warrants is assumed until such time that a reliable forecast of future purchases is available. To the extent that our projections change in the future as to the number of warrants that will vest, a cumulative catch-up adjustment will be recorded in the period in which our estimates change. At September 30, 2016, none of the warrants had vested.</w:t>
      </w:r>
    </w:p>
    <w:p>
      <w:pPr>
        <w:spacing w:after="0" w:line="1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fair value of the warrants is determined using the Black-Scholes option pricing model. The assumptions we utilized and the resulting fair value of the warrants were the following:</w:t>
      </w:r>
    </w:p>
    <w:p>
      <w:pPr>
        <w:spacing w:after="0" w:line="162"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4560" w:type="dxa"/>
            <w:vAlign w:val="bottom"/>
            <w:tcBorders>
              <w:bottom w:val="single" w:sz="8" w:color="CCEEFF"/>
            </w:tcBorders>
          </w:tcPr>
          <w:p>
            <w:pPr>
              <w:spacing w:after="0"/>
              <w:rPr>
                <w:sz w:val="16"/>
                <w:szCs w:val="16"/>
                <w:color w:val="auto"/>
              </w:rPr>
            </w:pPr>
          </w:p>
        </w:tc>
        <w:tc>
          <w:tcPr>
            <w:tcW w:w="4740" w:type="dxa"/>
            <w:vAlign w:val="bottom"/>
            <w:tcBorders>
              <w:bottom w:val="single" w:sz="8" w:color="CCEEFF"/>
            </w:tcBorders>
          </w:tcPr>
          <w:p>
            <w:pPr>
              <w:spacing w:after="0"/>
              <w:rPr>
                <w:sz w:val="16"/>
                <w:szCs w:val="16"/>
                <w:color w:val="auto"/>
              </w:rPr>
            </w:pPr>
          </w:p>
        </w:tc>
        <w:tc>
          <w:tcPr>
            <w:tcW w:w="19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September 30, 2016</w:t>
            </w: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w:t>
            </w:r>
          </w:p>
        </w:tc>
        <w:tc>
          <w:tcPr>
            <w:tcW w:w="6640" w:type="dxa"/>
            <w:vAlign w:val="bottom"/>
            <w:tcBorders>
              <w:bottom w:val="single" w:sz="8" w:color="CCEEFF"/>
            </w:tcBorders>
            <w:gridSpan w:val="2"/>
            <w:shd w:val="clear" w:color="auto" w:fill="CCEEFF"/>
          </w:tcPr>
          <w:p>
            <w:pPr>
              <w:jc w:val="center"/>
              <w:ind w:left="4650"/>
              <w:spacing w:after="0"/>
              <w:rPr>
                <w:sz w:val="20"/>
                <w:szCs w:val="20"/>
                <w:color w:val="auto"/>
              </w:rPr>
            </w:pPr>
            <w:r>
              <w:rPr>
                <w:rFonts w:ascii="Arial" w:cs="Arial" w:eastAsia="Arial" w:hAnsi="Arial"/>
                <w:sz w:val="18"/>
                <w:szCs w:val="18"/>
                <w:color w:val="auto"/>
                <w:w w:val="90"/>
              </w:rPr>
              <w:t>$38.32</w:t>
            </w: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Price of Universal Electronics Inc. common stock</w:t>
            </w:r>
          </w:p>
        </w:tc>
        <w:tc>
          <w:tcPr>
            <w:tcW w:w="6640" w:type="dxa"/>
            <w:vAlign w:val="bottom"/>
            <w:gridSpan w:val="2"/>
          </w:tcPr>
          <w:p>
            <w:pPr>
              <w:jc w:val="center"/>
              <w:ind w:left="4650"/>
              <w:spacing w:after="0"/>
              <w:rPr>
                <w:sz w:val="20"/>
                <w:szCs w:val="20"/>
                <w:color w:val="auto"/>
              </w:rPr>
            </w:pPr>
            <w:r>
              <w:rPr>
                <w:rFonts w:ascii="Arial" w:cs="Arial" w:eastAsia="Arial" w:hAnsi="Arial"/>
                <w:sz w:val="18"/>
                <w:szCs w:val="18"/>
                <w:color w:val="auto"/>
                <w:w w:val="90"/>
              </w:rPr>
              <w:t>$74.99</w:t>
            </w:r>
          </w:p>
        </w:tc>
      </w:tr>
      <w:tr>
        <w:trPr>
          <w:trHeight w:val="27"/>
        </w:trPr>
        <w:tc>
          <w:tcPr>
            <w:tcW w:w="45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6640" w:type="dxa"/>
            <w:vAlign w:val="bottom"/>
            <w:tcBorders>
              <w:bottom w:val="single" w:sz="8" w:color="CCEEFF"/>
            </w:tcBorders>
            <w:gridSpan w:val="2"/>
            <w:shd w:val="clear" w:color="auto" w:fill="CCEEFF"/>
          </w:tcPr>
          <w:p>
            <w:pPr>
              <w:jc w:val="center"/>
              <w:ind w:left="4650"/>
              <w:spacing w:after="0"/>
              <w:rPr>
                <w:sz w:val="20"/>
                <w:szCs w:val="20"/>
                <w:color w:val="auto"/>
              </w:rPr>
            </w:pPr>
            <w:r>
              <w:rPr>
                <w:rFonts w:ascii="Arial" w:cs="Arial" w:eastAsia="Arial" w:hAnsi="Arial"/>
                <w:sz w:val="18"/>
                <w:szCs w:val="18"/>
                <w:color w:val="auto"/>
                <w:w w:val="90"/>
              </w:rPr>
              <w:t>1.32%</w:t>
            </w: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6640" w:type="dxa"/>
            <w:vAlign w:val="bottom"/>
            <w:gridSpan w:val="2"/>
          </w:tcPr>
          <w:p>
            <w:pPr>
              <w:jc w:val="center"/>
              <w:ind w:left="4630"/>
              <w:spacing w:after="0"/>
              <w:rPr>
                <w:sz w:val="20"/>
                <w:szCs w:val="20"/>
                <w:color w:val="auto"/>
              </w:rPr>
            </w:pPr>
            <w:r>
              <w:rPr>
                <w:rFonts w:ascii="Arial" w:cs="Arial" w:eastAsia="Arial" w:hAnsi="Arial"/>
                <w:sz w:val="18"/>
                <w:szCs w:val="18"/>
                <w:color w:val="auto"/>
                <w:w w:val="91"/>
              </w:rPr>
              <w:t>40.54%</w:t>
            </w:r>
          </w:p>
        </w:tc>
      </w:tr>
      <w:tr>
        <w:trPr>
          <w:trHeight w:val="27"/>
        </w:trPr>
        <w:tc>
          <w:tcPr>
            <w:tcW w:w="45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life in years</w:t>
            </w:r>
          </w:p>
        </w:tc>
        <w:tc>
          <w:tcPr>
            <w:tcW w:w="6640" w:type="dxa"/>
            <w:vAlign w:val="bottom"/>
            <w:tcBorders>
              <w:bottom w:val="single" w:sz="8" w:color="CCEEFF"/>
            </w:tcBorders>
            <w:gridSpan w:val="2"/>
            <w:shd w:val="clear" w:color="auto" w:fill="CCEEFF"/>
          </w:tcPr>
          <w:p>
            <w:pPr>
              <w:jc w:val="center"/>
              <w:ind w:left="4630"/>
              <w:spacing w:after="0"/>
              <w:rPr>
                <w:sz w:val="20"/>
                <w:szCs w:val="20"/>
                <w:color w:val="auto"/>
              </w:rPr>
            </w:pPr>
            <w:r>
              <w:rPr>
                <w:rFonts w:ascii="Arial" w:cs="Arial" w:eastAsia="Arial" w:hAnsi="Arial"/>
                <w:sz w:val="18"/>
                <w:szCs w:val="18"/>
                <w:color w:val="auto"/>
                <w:w w:val="91"/>
              </w:rPr>
              <w:t>6.25</w:t>
            </w:r>
          </w:p>
        </w:tc>
      </w:tr>
      <w:tr>
        <w:trPr>
          <w:trHeight w:val="621"/>
        </w:trPr>
        <w:tc>
          <w:tcPr>
            <w:tcW w:w="4560" w:type="dxa"/>
            <w:vAlign w:val="bottom"/>
          </w:tcPr>
          <w:p>
            <w:pPr>
              <w:spacing w:after="0"/>
              <w:rPr>
                <w:sz w:val="24"/>
                <w:szCs w:val="24"/>
                <w:color w:val="auto"/>
              </w:rPr>
            </w:pPr>
          </w:p>
        </w:tc>
        <w:tc>
          <w:tcPr>
            <w:tcW w:w="4740" w:type="dxa"/>
            <w:vAlign w:val="bottom"/>
          </w:tcPr>
          <w:p>
            <w:pPr>
              <w:jc w:val="right"/>
              <w:ind w:right="3530"/>
              <w:spacing w:after="0"/>
              <w:rPr>
                <w:sz w:val="20"/>
                <w:szCs w:val="20"/>
                <w:color w:val="auto"/>
              </w:rPr>
            </w:pPr>
            <w:r>
              <w:rPr>
                <w:rFonts w:ascii="Arial" w:cs="Arial" w:eastAsia="Arial" w:hAnsi="Arial"/>
                <w:sz w:val="18"/>
                <w:szCs w:val="18"/>
                <w:color w:val="auto"/>
              </w:rPr>
              <w:t>20</w:t>
            </w:r>
          </w:p>
        </w:tc>
        <w:tc>
          <w:tcPr>
            <w:tcW w:w="190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For the three and nine months ended September 30, 2016, we recorded $1.1 million and $3.2 million, respectively, as a reduction to net sales in connection with the common stock warrants. The aggregate unrecognized estimated fair value of unvested warrants at September 30, 2016 was $24.6 million.</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Other Income (Expense), Net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4"/>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r>
      <w:tr>
        <w:trPr>
          <w:trHeight w:val="270"/>
        </w:trPr>
        <w:tc>
          <w:tcPr>
            <w:tcW w:w="5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Net gain (loss) on foreign currency exchange contracts </w:t>
            </w:r>
            <w:r>
              <w:rPr>
                <w:rFonts w:ascii="Arial" w:cs="Arial" w:eastAsia="Arial" w:hAnsi="Arial"/>
                <w:sz w:val="25"/>
                <w:szCs w:val="25"/>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787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gain (loss) on foreign currency exchange transactions</w:t>
            </w:r>
          </w:p>
        </w:tc>
        <w:tc>
          <w:tcPr>
            <w:tcW w:w="22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2,455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(1,229)</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1,726</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w:t>
            </w:r>
          </w:p>
        </w:tc>
      </w:tr>
      <w:tr>
        <w:trPr>
          <w:trHeight w:val="27"/>
        </w:trPr>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This represents the gains (losses) incurred on foreign currency hedging derivatives (see Note 18 for further details).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Earnings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was calculated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2"/>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per-share amounts)</w:t>
            </w: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30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Universal Electronics Inc.</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7,807</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6,271</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17,118</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19,835</w:t>
            </w: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14,510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14,966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14,441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15,535</w:t>
            </w: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earnings per share attributable to Universal Electronics Inc.</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0.54</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0.42</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1.28</w:t>
            </w:r>
          </w:p>
        </w:tc>
      </w:tr>
      <w:tr>
        <w:trPr>
          <w:trHeight w:val="284"/>
        </w:trPr>
        <w:tc>
          <w:tcPr>
            <w:tcW w:w="5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DILUTED</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Universal Electronics Inc.</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7,807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6,271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17,118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19,835</w:t>
            </w: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0"/>
        </w:trPr>
        <w:tc>
          <w:tcPr>
            <w:tcW w:w="562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 for basic</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14,510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14,966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14,441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15,535</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effect of stock options and restricted stock</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299</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 on a diluted basis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14,848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15,230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14,740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15,834</w:t>
            </w: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 attributable to Universal Electronics Inc.</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0.53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1.25</w:t>
            </w: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number of stock options and shares of restricted stock excluded from the computation of diluted earnings per common share were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000" w:type="dxa"/>
            <w:vAlign w:val="bottom"/>
            <w:gridSpan w:val="4"/>
          </w:tcPr>
          <w:p>
            <w:pPr>
              <w:ind w:left="340"/>
              <w:spacing w:after="0"/>
              <w:rPr>
                <w:sz w:val="20"/>
                <w:szCs w:val="20"/>
                <w:color w:val="auto"/>
              </w:rPr>
            </w:pPr>
            <w:r>
              <w:rPr>
                <w:rFonts w:ascii="Arial" w:cs="Arial" w:eastAsia="Arial" w:hAnsi="Arial"/>
                <w:sz w:val="14"/>
                <w:szCs w:val="14"/>
                <w:b w:val="1"/>
                <w:bCs w:val="1"/>
                <w:color w:val="auto"/>
              </w:rPr>
              <w:t>Three Months Ended September 30,</w:t>
            </w:r>
          </w:p>
        </w:tc>
        <w:tc>
          <w:tcPr>
            <w:tcW w:w="2800" w:type="dxa"/>
            <w:vAlign w:val="bottom"/>
            <w:gridSpan w:val="3"/>
          </w:tcPr>
          <w:p>
            <w:pPr>
              <w:jc w:val="right"/>
              <w:ind w:right="236"/>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EEFF"/>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74</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Restricted stock awards</w:t>
            </w:r>
          </w:p>
        </w:tc>
        <w:tc>
          <w:tcPr>
            <w:tcW w:w="1380" w:type="dxa"/>
            <w:vAlign w:val="bottom"/>
          </w:tcPr>
          <w:p>
            <w:pPr>
              <w:jc w:val="right"/>
              <w:ind w:right="57"/>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21"/>
                <w:szCs w:val="21"/>
                <w:color w:val="auto"/>
              </w:rPr>
            </w:pP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13</w:t>
            </w:r>
          </w:p>
        </w:tc>
      </w:tr>
      <w:tr>
        <w:trPr>
          <w:trHeight w:val="486"/>
        </w:trPr>
        <w:tc>
          <w:tcPr>
            <w:tcW w:w="5620" w:type="dxa"/>
            <w:vAlign w:val="bottom"/>
          </w:tcPr>
          <w:p>
            <w:pPr>
              <w:spacing w:after="0"/>
              <w:rPr>
                <w:sz w:val="24"/>
                <w:szCs w:val="24"/>
                <w:color w:val="auto"/>
              </w:rPr>
            </w:pPr>
          </w:p>
        </w:tc>
        <w:tc>
          <w:tcPr>
            <w:tcW w:w="1380" w:type="dxa"/>
            <w:vAlign w:val="bottom"/>
          </w:tcPr>
          <w:p>
            <w:pPr>
              <w:jc w:val="right"/>
              <w:ind w:right="1117"/>
              <w:spacing w:after="0"/>
              <w:rPr>
                <w:sz w:val="20"/>
                <w:szCs w:val="20"/>
                <w:color w:val="auto"/>
              </w:rPr>
            </w:pPr>
            <w:r>
              <w:rPr>
                <w:rFonts w:ascii="Arial" w:cs="Arial" w:eastAsia="Arial" w:hAnsi="Arial"/>
                <w:sz w:val="18"/>
                <w:szCs w:val="18"/>
                <w:color w:val="auto"/>
                <w:w w:val="79"/>
              </w:rPr>
              <w:t>21</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Stockholders' Equity and Noncontrolling Interest</w:t>
      </w:r>
    </w:p>
    <w:p>
      <w:pPr>
        <w:spacing w:after="0" w:line="9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 reconciliation of common stock outstanding, treasury stock and the total carrying amount of Universal Electronics Inc. stockholders’ equity, stockholders’ equity attributable to noncontrolling interest and total stockholders' equity for the nine months ended September 30, 2016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2300" w:type="dxa"/>
            <w:vAlign w:val="bottom"/>
            <w:gridSpan w:val="4"/>
          </w:tcPr>
          <w:p>
            <w:pPr>
              <w:ind w:left="90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80" w:type="dxa"/>
            <w:vAlign w:val="bottom"/>
            <w:gridSpan w:val="4"/>
          </w:tcPr>
          <w:p>
            <w:pPr>
              <w:ind w:left="40"/>
              <w:spacing w:after="0"/>
              <w:rPr>
                <w:sz w:val="20"/>
                <w:szCs w:val="20"/>
                <w:color w:val="auto"/>
              </w:rPr>
            </w:pPr>
            <w:r>
              <w:rPr>
                <w:rFonts w:ascii="Arial" w:cs="Arial" w:eastAsia="Arial" w:hAnsi="Arial"/>
                <w:sz w:val="14"/>
                <w:szCs w:val="14"/>
                <w:b w:val="1"/>
                <w:bCs w:val="1"/>
                <w:color w:val="auto"/>
              </w:rPr>
              <w:t>Stockholders' Equity</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04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293"/>
              <w:spacing w:after="0" w:line="153" w:lineRule="exact"/>
              <w:rPr>
                <w:sz w:val="20"/>
                <w:szCs w:val="20"/>
                <w:color w:val="auto"/>
              </w:rPr>
            </w:pPr>
            <w:r>
              <w:rPr>
                <w:rFonts w:ascii="Arial" w:cs="Arial" w:eastAsia="Arial" w:hAnsi="Arial"/>
                <w:sz w:val="14"/>
                <w:szCs w:val="14"/>
                <w:b w:val="1"/>
                <w:bCs w:val="1"/>
                <w:color w:val="auto"/>
              </w:rPr>
              <w:t>Universal</w:t>
            </w: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4"/>
                <w:szCs w:val="14"/>
                <w:b w:val="1"/>
                <w:bCs w:val="1"/>
                <w:color w:val="auto"/>
              </w:rPr>
              <w:t>Noncontrolling</w:t>
            </w: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Common Stock</w:t>
            </w:r>
          </w:p>
        </w:tc>
        <w:tc>
          <w:tcPr>
            <w:tcW w:w="120" w:type="dxa"/>
            <w:vAlign w:val="bottom"/>
            <w:vMerge w:val="restart"/>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Treasury Stock</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right"/>
              <w:ind w:right="113"/>
              <w:spacing w:after="0" w:line="149" w:lineRule="exact"/>
              <w:rPr>
                <w:sz w:val="20"/>
                <w:szCs w:val="20"/>
                <w:color w:val="auto"/>
              </w:rPr>
            </w:pPr>
            <w:r>
              <w:rPr>
                <w:rFonts w:ascii="Arial" w:cs="Arial" w:eastAsia="Arial" w:hAnsi="Arial"/>
                <w:sz w:val="14"/>
                <w:szCs w:val="14"/>
                <w:b w:val="1"/>
                <w:bCs w:val="1"/>
                <w:color w:val="auto"/>
                <w:w w:val="94"/>
              </w:rPr>
              <w:t>Electronics Inc.</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Stockholders' Equity</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Interest</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23,176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257,609</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257,908</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17,118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17,148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Shares issued for employee benefit plan and compensation</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763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treasury shares</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(2,188)</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Stock options exercised</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4,813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4,813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issued to Directors</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Employee and director stock-based compensation</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7,638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7,638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Tax benefit from exercise of non-qualified stock options and vested</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w:t>
            </w: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2,230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2,230</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Performance-based warrant stock-based compensation</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3,219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3,219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Deconsolidation of Encore Controls LLC (Note 19)</w:t>
            </w: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Balance at September 30, 2016</w:t>
            </w:r>
          </w:p>
        </w:tc>
        <w:tc>
          <w:tcPr>
            <w:tcW w:w="10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23,436</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(8,864)</w:t>
            </w:r>
          </w:p>
        </w:tc>
        <w:tc>
          <w:tcPr>
            <w:tcW w:w="10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289,344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289,344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Derivatives</w:t>
      </w:r>
    </w:p>
    <w:p>
      <w:pPr>
        <w:spacing w:after="0" w:line="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periodically enter into foreign currency exchange contracts with terms normally lasting less than nine months to protect against the adverse effects that exchange-rate fluctuations may have on our foreign currency-denominated receivables, payables, cash flows and reported income. We are exposed to market risks from foreign currency exchange rates, which may adversely affect our operating results and financial position. Our foreign currency exposures are primarily concentrated in the Argentinian Peso, Brazilian Real, British Pound, Chinese Yuan Renminbi, Euro, Hong Kong Dollar, Indian Rupee, Japanese Yen and Mexican Peso. Derivative financial instruments are used to manage risk and are not used for trading or other speculative purposes. We do not use leveraged derivative financial instruments and these derivatives have not qualified for hedge accounting.</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Gains and losses on the derivatives are recorded in other income (expense), net. Derivatives are recorded on the balance sheet at fair value. The estimated fair values of our derivative financial instruments represent the amount required to enter into offsetting contracts with similar remaining maturities based on quoted market prices. We have determined that the fair value of our derivatives are derived from level 2 inputs in the fair value hierarchy. The following table sets forth the total net fair value of derivatives:</w:t>
      </w:r>
    </w:p>
    <w:p>
      <w:pPr>
        <w:spacing w:after="0" w:line="19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September 30, 2016</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December 31, 2015</w:t>
            </w:r>
          </w:p>
        </w:tc>
        <w:tc>
          <w:tcPr>
            <w:tcW w:w="800" w:type="dxa"/>
            <w:vAlign w:val="bottom"/>
            <w:tcBorders>
              <w:bottom w:val="single" w:sz="8" w:color="auto"/>
            </w:tcBorders>
          </w:tcPr>
          <w:p>
            <w:pPr>
              <w:spacing w:after="0"/>
              <w:rPr>
                <w:sz w:val="16"/>
                <w:szCs w:val="16"/>
                <w:color w:val="auto"/>
              </w:rPr>
            </w:pPr>
          </w:p>
        </w:tc>
      </w:tr>
      <w:tr>
        <w:trPr>
          <w:trHeight w:val="264"/>
        </w:trPr>
        <w:tc>
          <w:tcPr>
            <w:tcW w:w="39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520" w:type="dxa"/>
            <w:vAlign w:val="bottom"/>
            <w:tcBorders>
              <w:bottom w:val="single" w:sz="8" w:color="auto"/>
            </w:tcBorders>
            <w:gridSpan w:val="7"/>
          </w:tcPr>
          <w:p>
            <w:pPr>
              <w:jc w:val="center"/>
              <w:ind w:right="19"/>
              <w:spacing w:after="0"/>
              <w:rPr>
                <w:sz w:val="20"/>
                <w:szCs w:val="20"/>
                <w:color w:val="auto"/>
              </w:rPr>
            </w:pPr>
            <w:r>
              <w:rPr>
                <w:rFonts w:ascii="Arial" w:cs="Arial" w:eastAsia="Arial" w:hAnsi="Arial"/>
                <w:sz w:val="14"/>
                <w:szCs w:val="14"/>
                <w:b w:val="1"/>
                <w:bCs w:val="1"/>
                <w:color w:val="auto"/>
                <w:w w:val="93"/>
              </w:rPr>
              <w:t>Fair Value Measurement Using</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140" w:type="dxa"/>
            <w:vAlign w:val="bottom"/>
            <w:tcBorders>
              <w:bottom w:val="single" w:sz="8" w:color="auto"/>
            </w:tcBorders>
          </w:tcPr>
          <w:p>
            <w:pPr>
              <w:spacing w:after="0"/>
              <w:rPr>
                <w:sz w:val="22"/>
                <w:szCs w:val="22"/>
                <w:color w:val="auto"/>
              </w:rPr>
            </w:pPr>
          </w:p>
        </w:tc>
        <w:tc>
          <w:tcPr>
            <w:tcW w:w="2680" w:type="dxa"/>
            <w:vAlign w:val="bottom"/>
            <w:tcBorders>
              <w:bottom w:val="single" w:sz="8" w:color="auto"/>
            </w:tcBorders>
            <w:gridSpan w:val="6"/>
          </w:tcPr>
          <w:p>
            <w:pPr>
              <w:jc w:val="center"/>
              <w:ind w:right="39"/>
              <w:spacing w:after="0"/>
              <w:rPr>
                <w:sz w:val="20"/>
                <w:szCs w:val="20"/>
                <w:color w:val="auto"/>
              </w:rPr>
            </w:pPr>
            <w:r>
              <w:rPr>
                <w:rFonts w:ascii="Arial" w:cs="Arial" w:eastAsia="Arial" w:hAnsi="Arial"/>
                <w:sz w:val="14"/>
                <w:szCs w:val="14"/>
                <w:b w:val="1"/>
                <w:bCs w:val="1"/>
                <w:color w:val="auto"/>
                <w:w w:val="94"/>
              </w:rPr>
              <w:t>Fair Value Measurement Using</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r>
      <w:tr>
        <w:trPr>
          <w:trHeight w:val="264"/>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9"/>
              </w:rPr>
              <w:t>Balance</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Balance</w:t>
            </w:r>
          </w:p>
        </w:tc>
      </w:tr>
      <w:tr>
        <w:trPr>
          <w:trHeight w:val="24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exchange contracts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(1,146)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 (1,146)</w:t>
            </w:r>
          </w:p>
        </w:tc>
      </w:tr>
      <w:tr>
        <w:trPr>
          <w:trHeight w:val="27"/>
        </w:trPr>
        <w:tc>
          <w:tcPr>
            <w:tcW w:w="3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held foreign currency exchange contracts which resulted in a net pre-tax loss of $0.2 million and $0.1 million for the three months ended September 30, 2016 and 2015, respectively. For the nine months ended September 30, 2016 and 2015, we had a net pre-tax loss of $0.9 million and a net pre-tax gain of $0.8 million, respectively (see Note 15).</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Details of foreign currency exchange contracts held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Unrealized</w:t>
            </w: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Gain/(Loss)</w:t>
            </w: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Recorded at Balance</w:t>
            </w: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Notional Value</w:t>
            </w: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Sheet</w:t>
            </w: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Date Held</w:t>
            </w:r>
          </w:p>
        </w:tc>
        <w:tc>
          <w:tcPr>
            <w:tcW w:w="120" w:type="dxa"/>
            <w:vAlign w:val="bottom"/>
            <w:vMerge w:val="restart"/>
          </w:tcPr>
          <w:p>
            <w:pPr>
              <w:spacing w:after="0"/>
              <w:rPr>
                <w:sz w:val="12"/>
                <w:szCs w:val="12"/>
                <w:color w:val="auto"/>
              </w:rPr>
            </w:pPr>
          </w:p>
        </w:tc>
        <w:tc>
          <w:tcPr>
            <w:tcW w:w="194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Type</w:t>
            </w:r>
          </w:p>
        </w:tc>
        <w:tc>
          <w:tcPr>
            <w:tcW w:w="140" w:type="dxa"/>
            <w:vAlign w:val="bottom"/>
            <w:vMerge w:val="restart"/>
          </w:tcPr>
          <w:p>
            <w:pPr>
              <w:spacing w:after="0"/>
              <w:rPr>
                <w:sz w:val="12"/>
                <w:szCs w:val="12"/>
                <w:color w:val="auto"/>
              </w:rPr>
            </w:pPr>
          </w:p>
        </w:tc>
        <w:tc>
          <w:tcPr>
            <w:tcW w:w="148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Position Held</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4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Forward Rate</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Date</w:t>
            </w: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Settlement Date</w:t>
            </w:r>
          </w:p>
        </w:tc>
        <w:tc>
          <w:tcPr>
            <w:tcW w:w="0" w:type="dxa"/>
            <w:vAlign w:val="bottom"/>
          </w:tcPr>
          <w:p>
            <w:pPr>
              <w:spacing w:after="0"/>
              <w:rPr>
                <w:sz w:val="1"/>
                <w:szCs w:val="1"/>
                <w:color w:val="auto"/>
              </w:rPr>
            </w:pPr>
          </w:p>
        </w:tc>
      </w:tr>
      <w:tr>
        <w:trPr>
          <w:trHeight w:val="192"/>
        </w:trPr>
        <w:tc>
          <w:tcPr>
            <w:tcW w:w="1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9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2"/>
              </w:rPr>
              <w:t>(in thousands)</w:t>
            </w:r>
            <w:r>
              <w:rPr>
                <w:rFonts w:ascii="Arial" w:cs="Arial" w:eastAsia="Arial" w:hAnsi="Arial"/>
                <w:sz w:val="8"/>
                <w:szCs w:val="8"/>
                <w:b w:val="1"/>
                <w:bCs w:val="1"/>
                <w:color w:val="auto"/>
                <w:w w:val="92"/>
              </w:rPr>
              <w:t>(1)</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30, 2016</w:t>
            </w:r>
          </w:p>
        </w:tc>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USD/Euro</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October 28, 2016</w:t>
            </w: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gridSpan w:val="2"/>
          </w:tcPr>
          <w:p>
            <w:pPr>
              <w:ind w:left="40"/>
              <w:spacing w:after="0"/>
              <w:rPr>
                <w:sz w:val="20"/>
                <w:szCs w:val="20"/>
                <w:color w:val="auto"/>
              </w:rPr>
            </w:pPr>
            <w:r>
              <w:rPr>
                <w:rFonts w:ascii="Arial" w:cs="Arial" w:eastAsia="Arial" w:hAnsi="Arial"/>
                <w:sz w:val="18"/>
                <w:szCs w:val="18"/>
                <w:color w:val="auto"/>
              </w:rPr>
              <w:t>USD/Chinese Yuan</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Chinese Yuan</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September 30, 2016</w:t>
            </w:r>
          </w:p>
        </w:tc>
        <w:tc>
          <w:tcPr>
            <w:tcW w:w="2080" w:type="dxa"/>
            <w:vAlign w:val="bottom"/>
            <w:gridSpan w:val="2"/>
          </w:tcPr>
          <w:p>
            <w:pPr>
              <w:ind w:left="40"/>
              <w:spacing w:after="0"/>
              <w:rPr>
                <w:sz w:val="20"/>
                <w:szCs w:val="20"/>
                <w:color w:val="auto"/>
              </w:rPr>
            </w:pPr>
            <w:r>
              <w:rPr>
                <w:rFonts w:ascii="Arial" w:cs="Arial" w:eastAsia="Arial" w:hAnsi="Arial"/>
                <w:sz w:val="18"/>
                <w:szCs w:val="18"/>
                <w:color w:val="auto"/>
              </w:rPr>
              <w:t>Renminbi</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Renminbi</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6.6757</w:t>
            </w:r>
          </w:p>
        </w:tc>
        <w:tc>
          <w:tcPr>
            <w:tcW w:w="10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January 13, 2017</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USD/Chinese Yuan</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Chinese Yuan</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30, 2016</w:t>
            </w:r>
          </w:p>
        </w:tc>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Renminbi</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Renminbi</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6.7230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January 13, 2017</w:t>
            </w:r>
          </w:p>
        </w:tc>
        <w:tc>
          <w:tcPr>
            <w:tcW w:w="0" w:type="dxa"/>
            <w:vAlign w:val="bottom"/>
          </w:tcPr>
          <w:p>
            <w:pPr>
              <w:spacing w:after="0"/>
              <w:rPr>
                <w:sz w:val="1"/>
                <w:szCs w:val="1"/>
                <w:color w:val="auto"/>
              </w:rPr>
            </w:pPr>
          </w:p>
        </w:tc>
      </w:tr>
      <w:tr>
        <w:trPr>
          <w:trHeight w:val="243"/>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September 30, 2016</w:t>
            </w:r>
          </w:p>
        </w:tc>
        <w:tc>
          <w:tcPr>
            <w:tcW w:w="2080" w:type="dxa"/>
            <w:vAlign w:val="bottom"/>
            <w:gridSpan w:val="2"/>
          </w:tcPr>
          <w:p>
            <w:pPr>
              <w:ind w:left="40"/>
              <w:spacing w:after="0"/>
              <w:rPr>
                <w:sz w:val="20"/>
                <w:szCs w:val="20"/>
                <w:color w:val="auto"/>
              </w:rPr>
            </w:pPr>
            <w:r>
              <w:rPr>
                <w:rFonts w:ascii="Arial" w:cs="Arial" w:eastAsia="Arial" w:hAnsi="Arial"/>
                <w:sz w:val="18"/>
                <w:szCs w:val="18"/>
                <w:color w:val="auto"/>
              </w:rPr>
              <w:t>USD/Brazilian Real</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USD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3.4775</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January 13, 2017</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1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December 31, 2015</w:t>
            </w:r>
          </w:p>
        </w:tc>
        <w:tc>
          <w:tcPr>
            <w:tcW w:w="2080" w:type="dxa"/>
            <w:vAlign w:val="bottom"/>
            <w:gridSpan w:val="2"/>
          </w:tcPr>
          <w:p>
            <w:pPr>
              <w:ind w:left="40"/>
              <w:spacing w:after="0"/>
              <w:rPr>
                <w:sz w:val="20"/>
                <w:szCs w:val="20"/>
                <w:color w:val="auto"/>
              </w:rPr>
            </w:pPr>
            <w:r>
              <w:rPr>
                <w:rFonts w:ascii="Arial" w:cs="Arial" w:eastAsia="Arial" w:hAnsi="Arial"/>
                <w:sz w:val="18"/>
                <w:szCs w:val="18"/>
                <w:color w:val="auto"/>
              </w:rPr>
              <w:t>USD/Euro</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USD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1.0864</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January 22, 2016</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USD/Chinese Yuan</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Chinese Yuan</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2015</w:t>
            </w:r>
          </w:p>
        </w:tc>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Renminbi</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Renminbi</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6.2565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January 15, 2016</w:t>
            </w:r>
          </w:p>
        </w:tc>
        <w:tc>
          <w:tcPr>
            <w:tcW w:w="0" w:type="dxa"/>
            <w:vAlign w:val="bottom"/>
          </w:tcPr>
          <w:p>
            <w:pPr>
              <w:spacing w:after="0"/>
              <w:rPr>
                <w:sz w:val="1"/>
                <w:szCs w:val="1"/>
                <w:color w:val="auto"/>
              </w:rPr>
            </w:pPr>
          </w:p>
        </w:tc>
      </w:tr>
      <w:tr>
        <w:trPr>
          <w:trHeight w:val="243"/>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December 31, 2015</w:t>
            </w:r>
          </w:p>
        </w:tc>
        <w:tc>
          <w:tcPr>
            <w:tcW w:w="2080" w:type="dxa"/>
            <w:vAlign w:val="bottom"/>
            <w:gridSpan w:val="2"/>
          </w:tcPr>
          <w:p>
            <w:pPr>
              <w:ind w:left="40"/>
              <w:spacing w:after="0"/>
              <w:rPr>
                <w:sz w:val="20"/>
                <w:szCs w:val="20"/>
                <w:color w:val="auto"/>
              </w:rPr>
            </w:pPr>
            <w:r>
              <w:rPr>
                <w:rFonts w:ascii="Arial" w:cs="Arial" w:eastAsia="Arial" w:hAnsi="Arial"/>
                <w:sz w:val="18"/>
                <w:szCs w:val="18"/>
                <w:color w:val="auto"/>
              </w:rPr>
              <w:t>USD/Brazilian Real</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Brazilian Real</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3.7461</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January 15, 2016</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2015</w:t>
            </w:r>
          </w:p>
        </w:tc>
        <w:tc>
          <w:tcPr>
            <w:tcW w:w="2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USD/Brazilian Real</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3.9503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1"/>
                <w:szCs w:val="21"/>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January 15, 2016</w:t>
            </w:r>
          </w:p>
        </w:tc>
        <w:tc>
          <w:tcPr>
            <w:tcW w:w="0" w:type="dxa"/>
            <w:vAlign w:val="bottom"/>
          </w:tcPr>
          <w:p>
            <w:pPr>
              <w:spacing w:after="0"/>
              <w:rPr>
                <w:sz w:val="1"/>
                <w:szCs w:val="1"/>
                <w:color w:val="auto"/>
              </w:rPr>
            </w:pPr>
          </w:p>
        </w:tc>
      </w:tr>
      <w:tr>
        <w:trPr>
          <w:trHeight w:val="27"/>
        </w:trPr>
        <w:tc>
          <w:tcPr>
            <w:tcW w:w="1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660" w:right="380" w:hanging="328"/>
        <w:spacing w:after="0" w:line="216" w:lineRule="auto"/>
        <w:tabs>
          <w:tab w:leader="none" w:pos="66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Unrealized gains on foreign currency exchange contracts are recorded in prepaid expenses and other current assets. Unrealized losses on foreign currency exchange contracts are recorded in other accrued expenses.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Business Combination</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4, 2015, we entered into an Asset Purchase Agreement (the "APA") to acquire substantially all of the net assets of Ecolink Intelligent Technology, Inc. ("Ecolink"), a leading developer of smart home technology that designs, develops and manufactures a wide range of intelligent wireless security and home automation products. This transaction closed on August 31, 2015. The purchase price of $24.1 million was comprised of $12.9 million in cash, and $11.2 million of contingent consideration. Additionally, we incurred $0.2 million in acquisition costs, consisting primarily of legal and accounting expenses, which were recorded within selling, general and administrative expenses for the year ended December 31, 2015. The acquisition of these assets will allow us to extend our product offerings to include home security and automation products previously marketed by Ecolink and to sell these products to our existing customers.</w:t>
      </w:r>
    </w:p>
    <w:p>
      <w:pPr>
        <w:spacing w:after="0" w:line="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Included in the net assets acquired from Ecolink was a 50% ownership interest in Encore Controls LLC ("Encore"), a developer of smart home technology that designs and sells intelligent wireless fire safety products for use in home security systems.</w:t>
      </w:r>
    </w:p>
    <w:p>
      <w:pPr>
        <w:spacing w:after="0" w:line="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the time of acquisition, management determined that we were the primary beneficiary of Encore due to our ability to direct the activities that most significantly impacted the economic performance of Encore, and thus we consolidated the financial statements of Encore commencing on the acquisition date. The aggregate fair value of Encore’s net assets on the acquisition date was $0.7 million, of which $0.4 million was attributable to the noncontrolling interest. The fair value attributable to the noncontrolling interest was based on the noncontrolling interest's ownership percentage in the fair values of the assets and liabilities of Encore.</w:t>
      </w:r>
    </w:p>
    <w:p>
      <w:pPr>
        <w:spacing w:after="0" w:line="1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21, 2016, we sold our ownership interest in Encore to Encore’s noncontrolling interest holder in exchange for full rights and ownership of Encore’s patents and developed technology as well as the noncontrolling interest’s portion of certain of Encore’s tangible net assets. Additionally, as a condition of the sale of our ownership interest in Encore, we agreed to grant a royalty-free license to Encore for the use of Encore’s developed technology and patents in connection with selling specific products to specific customers. As a result of this transaction, we no longer have any involvement with Encore other than the granting of this limited license. Upon deconsolidation, we recorded a gain of $65 thousand, based on the difference between the fair value of the net assets received and our ownership interest in Encore. This gain is presented in our consolidated income statement within other income (expense), net for the nine months ended September 30, 2016.</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consolidated income statement for the three months ended September 30, 2016 includes net sales of $0.9 million and a net loss of $0.9 million attributable to Ecolink. Our consolidated income statement for the nine months ended September 30, 2016 includes net sales of $3.7 million and a net loss of $1.5 million attributable to Ecolink. Our consolidated income statement for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three and nine months ended September 30, 2015 includes net sales of $0.3 million and a net loss of $0.2 million attributable to Ecolink for the period commencing on August 31, 2015.</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are required to make additional earnout payments upon the achievement of certain operating income levels attributable to Ecolink over each of the next 5 years. The amount of contingent consideration has no upper limit and is calculated at the end of each calendar year based upon certain percentages of operating income target levels as defined in the APA. Ecolink's operating income will be calculated using certain revenues, costs and expenses directly attributable to Ecolink as specified in the APA. At the acquisition date, the value of earnout contingent consideration was estimated using a valuation methodology based on projections of future operating income calculated in accordance with the APA. Such projections were then discounted using an average discount rate of 15.5% to reflect the risk in achieving the projected operating income levels as well as the time value of money. The fair value measurement of the earnout contingent consideration was based primarily on significant inputs not observable in an active market and thus represents a Level 3 measurement as defined under U.S. GAAP. At December 31, 2015 the fair value of the earnout contingent consideration was $11.8 million. The fair value of the earnout contingent consideration increased $0.6 million and decreased $0.2 million during the three and nine months ended September 30, 2016, respectively, primarily to reflect adjustments to the timing of earnout payments and the related accretion driven by the time value of money. These adjustments were recorded within selling, general and administrative expenses. The fair value of the earnout contingent consideration at September 30, 2016 was $11.6 million. The fair value of earnout contingent consideration is presented as long term contingent consideration in our consolidated balance sheet.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 Allocation</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Using the acquisition method of accounting, the acquisition date fair value of the consideration transferred was allocated to the net tangible and intangible assets acquired and liabilities assumed based on their estimated fair values on the acquisition date. The excess of the purchase price over the fair value of net assets acquired is recorded as goodwill. The goodwill is expected to be deductible for income tax purposes. Management's purchase price allocation was the following: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Estimated Lives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00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374</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253</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2000" w:type="dxa"/>
            <w:vAlign w:val="bottom"/>
            <w:tcBorders>
              <w:bottom w:val="single" w:sz="8" w:color="CCEEFF"/>
            </w:tcBorders>
            <w:gridSpan w:val="3"/>
            <w:shd w:val="clear" w:color="auto" w:fill="CCEEFF"/>
          </w:tcPr>
          <w:p>
            <w:pPr>
              <w:jc w:val="center"/>
              <w:ind w:right="330"/>
              <w:spacing w:after="0"/>
              <w:rPr>
                <w:sz w:val="20"/>
                <w:szCs w:val="20"/>
                <w:color w:val="auto"/>
              </w:rPr>
            </w:pPr>
            <w:r>
              <w:rPr>
                <w:rFonts w:ascii="Arial" w:cs="Arial" w:eastAsia="Arial" w:hAnsi="Arial"/>
                <w:sz w:val="18"/>
                <w:szCs w:val="18"/>
                <w:color w:val="auto"/>
                <w:w w:val="87"/>
              </w:rPr>
              <w:t>1-4 years</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Non-interest bearing liabilities</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(1,557)</w:t>
            </w:r>
          </w:p>
        </w:tc>
      </w:tr>
      <w:tr>
        <w:trPr>
          <w:trHeight w:val="27"/>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tangible assets acquired</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Trade name</w:t>
            </w:r>
          </w:p>
        </w:tc>
        <w:tc>
          <w:tcPr>
            <w:tcW w:w="2000" w:type="dxa"/>
            <w:vAlign w:val="bottom"/>
            <w:gridSpan w:val="3"/>
          </w:tcPr>
          <w:p>
            <w:pPr>
              <w:jc w:val="center"/>
              <w:ind w:right="310"/>
              <w:spacing w:after="0"/>
              <w:rPr>
                <w:sz w:val="20"/>
                <w:szCs w:val="20"/>
                <w:color w:val="auto"/>
              </w:rPr>
            </w:pPr>
            <w:r>
              <w:rPr>
                <w:rFonts w:ascii="Arial" w:cs="Arial" w:eastAsia="Arial" w:hAnsi="Arial"/>
                <w:sz w:val="18"/>
                <w:szCs w:val="18"/>
                <w:color w:val="auto"/>
                <w:w w:val="88"/>
              </w:rPr>
              <w:t>7 years</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400</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2000" w:type="dxa"/>
            <w:vAlign w:val="bottom"/>
            <w:tcBorders>
              <w:bottom w:val="single" w:sz="8" w:color="CCEEFF"/>
            </w:tcBorders>
            <w:gridSpan w:val="3"/>
            <w:shd w:val="clear" w:color="auto" w:fill="CCEEFF"/>
          </w:tcPr>
          <w:p>
            <w:pPr>
              <w:jc w:val="center"/>
              <w:ind w:right="310"/>
              <w:spacing w:after="0"/>
              <w:rPr>
                <w:sz w:val="20"/>
                <w:szCs w:val="20"/>
                <w:color w:val="auto"/>
              </w:rPr>
            </w:pPr>
            <w:r>
              <w:rPr>
                <w:rFonts w:ascii="Arial" w:cs="Arial" w:eastAsia="Arial" w:hAnsi="Arial"/>
                <w:sz w:val="18"/>
                <w:szCs w:val="18"/>
                <w:color w:val="auto"/>
                <w:w w:val="89"/>
              </w:rPr>
              <w:t>4-14 years</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9,080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2000" w:type="dxa"/>
            <w:vAlign w:val="bottom"/>
            <w:gridSpan w:val="3"/>
          </w:tcPr>
          <w:p>
            <w:pPr>
              <w:jc w:val="center"/>
              <w:ind w:right="310"/>
              <w:spacing w:after="0"/>
              <w:rPr>
                <w:sz w:val="20"/>
                <w:szCs w:val="20"/>
                <w:color w:val="auto"/>
              </w:rPr>
            </w:pPr>
            <w:r>
              <w:rPr>
                <w:rFonts w:ascii="Arial" w:cs="Arial" w:eastAsia="Arial" w:hAnsi="Arial"/>
                <w:sz w:val="18"/>
                <w:szCs w:val="18"/>
                <w:color w:val="auto"/>
                <w:w w:val="88"/>
              </w:rPr>
              <w:t>5 years</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1,300</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12,564</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purchase price</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24,527</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 in Encore</w:t>
            </w: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Net purchase price</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24,149</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Contingent consideration</w:t>
            </w: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(11,200)</w:t>
            </w:r>
          </w:p>
        </w:tc>
      </w:tr>
      <w:tr>
        <w:trPr>
          <w:trHeight w:val="257"/>
        </w:trPr>
        <w:tc>
          <w:tcPr>
            <w:tcW w:w="8120" w:type="dxa"/>
            <w:vAlign w:val="bottom"/>
          </w:tcPr>
          <w:p>
            <w:pPr>
              <w:ind w:left="380"/>
              <w:spacing w:after="0"/>
              <w:rPr>
                <w:sz w:val="20"/>
                <w:szCs w:val="20"/>
                <w:color w:val="auto"/>
              </w:rPr>
            </w:pPr>
            <w:r>
              <w:rPr>
                <w:rFonts w:ascii="Arial" w:cs="Arial" w:eastAsia="Arial" w:hAnsi="Arial"/>
                <w:sz w:val="18"/>
                <w:szCs w:val="18"/>
                <w:color w:val="auto"/>
              </w:rPr>
              <w:t>Cash paid</w:t>
            </w:r>
          </w:p>
        </w:tc>
        <w:tc>
          <w:tcPr>
            <w:tcW w:w="1700" w:type="dxa"/>
            <w:vAlign w:val="bottom"/>
            <w:gridSpan w:val="2"/>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12,949</w:t>
            </w:r>
          </w:p>
        </w:tc>
      </w:tr>
      <w:tr>
        <w:trPr>
          <w:trHeight w:val="20"/>
        </w:trPr>
        <w:tc>
          <w:tcPr>
            <w:tcW w:w="8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Management's determination of the fair value of intangible assets acquired was based primarily on significant inputs not observable in an active market and thus represent Level 3 fair value measurements as defined under U.S. GAAP.</w:t>
      </w:r>
    </w:p>
    <w:p>
      <w:pPr>
        <w:spacing w:after="0" w:line="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assigned to Ecolink’s trade name intangible asset was determined utilizing a relief from royalty method. Under the relief from royalty method, the fair value of the intangible asset is estimated to be the present value of the royalties saved because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owns the intangible asset. Revenue projections and estimated useful life were significant inputs into estimating the value of Ecolink’s trade name.</w:t>
      </w:r>
    </w:p>
    <w:p>
      <w:pPr>
        <w:spacing w:after="0" w:line="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assigned to Ecolink's developed technology was determined utilizing a multi-period excess earnings approach. Under the multi-period excess earnings approach, the fair value of the intangible asset is estimated to be the present value of future earnings attributable to the asset and utilizes revenue and cost projections, including an assumed contributory asset charge.</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assigned to Ecolink's customer relationships intangible asset was determined utilizing the with and without method. Under the with and without method, the fair value of the intangible asset is estimated based on the difference in projected earnings utilizing the existing Ecolink customer base versus projected earnings based on starting with no customers and reacquiring the customer base. Revenue and earnings projections were significant inputs into estimating the value of Ecolink’s customer relationships.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The trade name, developed technology and customer relationships intangible assets are expected to be deductible for income tax purposes.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Results (Unaudited)</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unaudited pro forma financial information presents the combined results of our operations and the operations of Ecolink as if this transaction had occurred on January 1, 2014. This unaudited pro forma financial information is not intended to represent or be indicative of the consolidated results of operations that would have been achieved had the acquisition actually been completed as of January 1, 2014, and should not be taken as a projection of the future consolidated results of our operations.</w:t>
      </w:r>
    </w:p>
    <w:p>
      <w:pPr>
        <w:spacing w:after="0" w:line="273"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40" w:type="dxa"/>
            <w:vAlign w:val="bottom"/>
            <w:gridSpan w:val="4"/>
          </w:tcPr>
          <w:p>
            <w:pPr>
              <w:jc w:val="right"/>
              <w:ind w:right="333"/>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per-share amounts)</w:t>
            </w: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2015</w:t>
            </w:r>
          </w:p>
        </w:tc>
      </w:tr>
      <w:tr>
        <w:trPr>
          <w:trHeight w:val="25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169,185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161,392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490,829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444,762</w:t>
            </w: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7,813</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6,203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17,223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19,505</w:t>
            </w: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Universal Electronics Inc.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7,813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17,184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19,440</w:t>
            </w: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w w:val="96"/>
              </w:rPr>
              <w:t>Basic earnings per share attributable to Universal Electronics Inc.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0.54</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1.25</w:t>
            </w: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Diluted earnings per share attributable to Universal Electronics Inc.</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0.53</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0.41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1.23</w:t>
            </w:r>
          </w:p>
        </w:tc>
      </w:tr>
      <w:tr>
        <w:trPr>
          <w:trHeight w:val="27"/>
        </w:trPr>
        <w:tc>
          <w:tcPr>
            <w:tcW w:w="50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purposes of determining pro forma net income attributable to Universal Electronics Inc., adjustments were made to each period presented in the table above. Pro forma net income and pro forma net income attributable to Universal Electronics Inc. assume that amortization of acquired intangible assets and of fair value adjustments related to inventories began at January 1, 2014 rather than on September 1, 2015. The result is a net decrease in amortization expense of $10 thousand and $0.1 million for the three and nine months ended September 30, 2016, respectively, and a net increase in amortization expense of $0.3 million and $1.3 million for the three and nine months ended September 30, 2015, respectively. Additionally, acquisition costs totaling $0.2 million are excluded from pro forma net income and pro forma net income attributable to Universal Electronics Inc. All adjustments have been made net of their related tax effects.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the Consolidated Financial Statements and the related notes that appear elsewhere in this document.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develop and manufacture a broad line of pre-programmed universal remote control products, AV accessories, software and intelligent wireless automation components dedicated to redefining the home entertainment and automation experience. Our customers operate primarily in the consumer electronics market and include subscription broadcasters, OEMs, international retailers, private label brands, pro-security installers and companies in the computing industry. We also sell integrated circuits, on which our software and device control database is embedded, and license our device control database to OEMs that manufacture televisions, digital audio and video players, streamer boxes, cable converters, satellite receivers, set-top boxes, room air conditioning equipment, game consoles, and wireless mobile phones and tablets.</w:t>
      </w:r>
    </w:p>
    <w:p>
      <w:pPr>
        <w:spacing w:after="0" w:line="13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Since our beginning in 1986, we have compiled an extensive device control code database that covers over 982,000 individual device functions and approximately 7,700 unique consumer electronic brands. QuickSet®, our proprietary software, can automatically detect, identify and enable the appropriate control commands for home entertainment, automation and appliances like air conditioners. Our library is regularly updated with new control functions captured directly from devices, remote controls and manufacturer specifications to ensure the accuracy and integrity of our database and control engine. Our universal remote control library contains device codes that are capable of controlling virtually all set-top boxes, televisions, audio components, DVD players, Blu-Ray players, and CD players, as well as most other remote controlled home entertainment devices and home automation control modules worldwide.</w:t>
      </w:r>
    </w:p>
    <w:p>
      <w:pPr>
        <w:spacing w:after="0" w:line="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the wider adoption of more advanced technologies, emerging radio frequency ("RF") technologies, such as RF4CE, Bluetooth, and Bluetooth Smart, have increasingly become a focus in our development efforts. Several new recently released platforms utilize RF to effectively implement popular features like voice search.</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We have developed a comprehensive patent portfolio of almost 400 pending and issued patents related to remote controls and home automation.</w:t>
      </w:r>
    </w:p>
    <w:p>
      <w:pPr>
        <w:spacing w:after="0" w:line="1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operate as one business segment. We have twenty-two international subsidiaries located in Argentina, Brazil, British Virgin Islands, Cayman Islands, France, Germany, Hong Kong (3), India, Italy, Japan, Mexico, the Netherlands, People's Republic of China (5), Singapore, Spain, and the United Kingdom.</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To recap our results for the three months ended September 30, 2016:</w:t>
      </w:r>
    </w:p>
    <w:p>
      <w:pPr>
        <w:spacing w:after="0" w:line="63" w:lineRule="exact"/>
        <w:rPr>
          <w:sz w:val="20"/>
          <w:szCs w:val="20"/>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sales increased 5.4% to $169.2 million for the three months ended September 30, 2016 from $160.5 million for the three months ended September 30, 2015.</w:t>
      </w:r>
    </w:p>
    <w:p>
      <w:pPr>
        <w:spacing w:after="0" w:line="8"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gross margin percentage decreased from 26.7% for the three months ended September 30, 2015 to 24.7% for the three months ended September 30, 2016.</w:t>
      </w:r>
    </w:p>
    <w:p>
      <w:pPr>
        <w:spacing w:after="0" w:line="8"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Operating expenses, as a percent of net sales, decreased from 21.1% for the three months ended September 30, 2015 to 19.9% for the three months ended September 30, 2016.</w:t>
      </w:r>
    </w:p>
    <w:p>
      <w:pPr>
        <w:spacing w:after="0" w:line="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operating income decreased from $9.0 million for the three months ended September 30, 2015 to $8.1 million for the three months ended September 30, 2016, and our operating margin percentage decreased from 5.6% for the three months ended September 30, 2015 to 4.8% for the three months ended September 30, 2016.</w:t>
      </w:r>
    </w:p>
    <w:p>
      <w:pPr>
        <w:spacing w:after="0" w:line="19"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effective tax rate decreased to 5.1% for the three months ended September 30, 2016, compared to 25.8% for the three months ended September 30, 2015.</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strategic business objectives for 2016 include the following:</w:t>
      </w:r>
    </w:p>
    <w:p>
      <w:pPr>
        <w:spacing w:after="0" w:line="63"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to develop and market the advanced remote control products and technologies our customer base is adopting;</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to broaden our home control and automation product offerings;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further penetrate international subscription broadcasting markets;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acquire new customers in historically strong regions;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our share with existing customers;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to seek acquisitions or strategic partners that complement and strengthen our existing business.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intend for the following discussion of our financial condition and results of operations to provide information that will assist in understanding our consolidated financial statements, the changes in certain key items in those financial statements from period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period, and the primary factors that accounted for those changes, as well as how certain accounting principles, policies and estimates affect our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preparation of financial statements in conformity with accounting principles accepted in the United States of America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allowances for sales returns and doubtful accounts, inventory valuation, our review for impairment of long-lived assets, intangible assets and goodwill, business combinations, income taxes, stock-based compensation expense and performance-based common stock warrants. Actual results may differ from these judgments and estimates, and they may be adjusted as more information becomes available. Any adjustment may be significant and may have a material impact on our consolidated financial position or results of operations.</w:t>
      </w:r>
    </w:p>
    <w:p>
      <w:pPr>
        <w:spacing w:after="0" w:line="11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accounting policy is deemed to be critical if it requires an accounting estimate to be made based on assumptions about matters that are highly uncertain at the time the estimate is made, if different estimates reasonably may have been used, or if changes in the estimate that are reasonably likely to occur may materially impact the financial statements. The critical accounting policy below supplements the items that we disclosed as our critical accounting policies and estimates in Item 7, "Management's Discussion and Analysis of Financial Condition and Results of Operations" contained in our Annual Report on Form 10-K for our fiscal year ended December 31, 2015.</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Common Stock Warrants</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measurement date for performance-based common stock warrants is the date on which the warrants vest. We recognize the fair value of performance-based common stock warrants as a reduction to net sales ratably as the warrants vest based on the projected number of warrants that will vest, the proportion of the performance criteria achieved by the customer within the period relative to the total performance required (aggregate purchase levels) for the warrants to vest and the then-current fair value of the related unvested warrants. If we do not have a reliable forecast of future purchases to be made by the customer by which to estimate the number of warrants that will vest, then the maximum number of potential warrants is assumed until such time that a reliable forecast of future purchases is available. To the extent that our projections change in the future as to the number of warrants that will vest, a cumulative catch-up adjustment will be recorded in the period in which our estimates change.</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fair value of performance-based common stock warrants is determined utilizing the Black-Scholes option pricing model. The assumptions utilized in the Black-Scholes model include the price of our common stock, the risk-free interest rate, expected volatility, and expected life in years. The price of our common stock is equal to the average of the high and low trade prices of our common stock on the measurement date. The risk-free interest rate over the expected life is equal to the prevailing U.S. Treasury note rate over the same period. Expected volatility is determined utilizing historical volatility over a period of time equal to the expected life of the warrant. Expected life is equal to the remaining contractual term of the warrant. The dividend yield is assumed to be zero since we have not historically declared dividends and do not have any plans to declare dividends in the future.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See Note 1 contained in the "Notes to Consolidated Financial Statements" for a discussion of recent accounting pronouncements.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expressed as a percentage of net sales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322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3180" w:type="dxa"/>
            <w:vAlign w:val="bottom"/>
            <w:tcBorders>
              <w:bottom w:val="single" w:sz="8" w:color="auto"/>
            </w:tcBorders>
            <w:gridSpan w:val="3"/>
          </w:tcPr>
          <w:p>
            <w:pPr>
              <w:jc w:val="right"/>
              <w:ind w:right="411"/>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840" w:type="dxa"/>
            <w:vAlign w:val="bottom"/>
            <w:gridSpan w:val="2"/>
          </w:tcPr>
          <w:p>
            <w:pPr>
              <w:ind w:left="5560"/>
              <w:spacing w:after="0"/>
              <w:rPr>
                <w:sz w:val="20"/>
                <w:szCs w:val="20"/>
                <w:color w:val="auto"/>
              </w:rPr>
            </w:pPr>
            <w:r>
              <w:rPr>
                <w:rFonts w:ascii="Arial" w:cs="Arial" w:eastAsia="Arial" w:hAnsi="Arial"/>
                <w:sz w:val="14"/>
                <w:szCs w:val="14"/>
                <w:b w:val="1"/>
                <w:bCs w:val="1"/>
                <w:color w:val="auto"/>
                <w:w w:val="83"/>
              </w:rPr>
              <w:t>2016</w:t>
            </w: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jc w:val="right"/>
              <w:ind w:right="55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560" w:type="dxa"/>
            <w:vAlign w:val="bottom"/>
          </w:tcPr>
          <w:p>
            <w:pPr>
              <w:jc w:val="right"/>
              <w:ind w:right="55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520" w:type="dxa"/>
            <w:vAlign w:val="bottom"/>
          </w:tcPr>
          <w:p>
            <w:pPr>
              <w:jc w:val="right"/>
              <w:ind w:right="531"/>
              <w:spacing w:after="0"/>
              <w:rPr>
                <w:sz w:val="20"/>
                <w:szCs w:val="20"/>
                <w:color w:val="auto"/>
              </w:rPr>
            </w:pPr>
            <w:r>
              <w:rPr>
                <w:rFonts w:ascii="Arial" w:cs="Arial" w:eastAsia="Arial" w:hAnsi="Arial"/>
                <w:sz w:val="14"/>
                <w:szCs w:val="14"/>
                <w:b w:val="1"/>
                <w:bCs w:val="1"/>
                <w:color w:val="auto"/>
              </w:rPr>
              <w:t>2015</w:t>
            </w:r>
          </w:p>
        </w:tc>
      </w:tr>
      <w:tr>
        <w:trPr>
          <w:trHeight w:val="250"/>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21"/>
                <w:szCs w:val="21"/>
                <w:color w:val="auto"/>
              </w:rPr>
            </w:pPr>
          </w:p>
        </w:tc>
        <w:tc>
          <w:tcPr>
            <w:tcW w:w="1560" w:type="dxa"/>
            <w:vAlign w:val="bottom"/>
          </w:tcPr>
          <w:p>
            <w:pPr>
              <w:jc w:val="right"/>
              <w:ind w:right="151"/>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21"/>
                <w:szCs w:val="21"/>
                <w:color w:val="auto"/>
              </w:rPr>
            </w:pPr>
          </w:p>
        </w:tc>
        <w:tc>
          <w:tcPr>
            <w:tcW w:w="1560" w:type="dxa"/>
            <w:vAlign w:val="bottom"/>
          </w:tcPr>
          <w:p>
            <w:pPr>
              <w:jc w:val="right"/>
              <w:ind w:right="132"/>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1520" w:type="dxa"/>
            <w:vAlign w:val="bottom"/>
          </w:tcPr>
          <w:p>
            <w:pPr>
              <w:jc w:val="right"/>
              <w:ind w:right="91"/>
              <w:spacing w:after="0"/>
              <w:rPr>
                <w:sz w:val="20"/>
                <w:szCs w:val="20"/>
                <w:color w:val="auto"/>
              </w:rPr>
            </w:pPr>
            <w:r>
              <w:rPr>
                <w:rFonts w:ascii="Arial" w:cs="Arial" w:eastAsia="Arial" w:hAnsi="Arial"/>
                <w:sz w:val="18"/>
                <w:szCs w:val="18"/>
                <w:color w:val="auto"/>
              </w:rPr>
              <w:t>72.7</w:t>
            </w:r>
          </w:p>
        </w:tc>
      </w:tr>
      <w:tr>
        <w:trPr>
          <w:trHeight w:val="27"/>
        </w:trPr>
        <w:tc>
          <w:tcPr>
            <w:tcW w:w="49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9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27.3</w:t>
            </w: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 expenses</w:t>
            </w: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560" w:type="dxa"/>
            <w:vAlign w:val="bottom"/>
          </w:tcPr>
          <w:p>
            <w:pPr>
              <w:jc w:val="right"/>
              <w:ind w:right="15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560" w:type="dxa"/>
            <w:vAlign w:val="bottom"/>
          </w:tcPr>
          <w:p>
            <w:pPr>
              <w:jc w:val="right"/>
              <w:ind w:right="15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520" w:type="dxa"/>
            <w:vAlign w:val="bottom"/>
          </w:tcPr>
          <w:p>
            <w:pPr>
              <w:jc w:val="right"/>
              <w:ind w:right="91"/>
              <w:spacing w:after="0"/>
              <w:rPr>
                <w:sz w:val="20"/>
                <w:szCs w:val="20"/>
                <w:color w:val="auto"/>
              </w:rPr>
            </w:pPr>
            <w:r>
              <w:rPr>
                <w:rFonts w:ascii="Arial" w:cs="Arial" w:eastAsia="Arial" w:hAnsi="Arial"/>
                <w:sz w:val="18"/>
                <w:szCs w:val="18"/>
                <w:color w:val="auto"/>
              </w:rPr>
              <w:t>2.9</w:t>
            </w:r>
          </w:p>
        </w:tc>
      </w:tr>
      <w:tr>
        <w:trPr>
          <w:trHeight w:val="27"/>
        </w:trPr>
        <w:tc>
          <w:tcPr>
            <w:tcW w:w="4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6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18.6</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9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15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5.8</w:t>
            </w:r>
          </w:p>
        </w:tc>
      </w:tr>
      <w:tr>
        <w:trPr>
          <w:trHeight w:val="27"/>
        </w:trPr>
        <w:tc>
          <w:tcPr>
            <w:tcW w:w="4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 (expense), net</w:t>
            </w:r>
          </w:p>
        </w:tc>
        <w:tc>
          <w:tcPr>
            <w:tcW w:w="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0.0</w:t>
            </w: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Other income (expense), net</w:t>
            </w: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560" w:type="dxa"/>
            <w:vAlign w:val="bottom"/>
          </w:tcPr>
          <w:p>
            <w:pPr>
              <w:jc w:val="right"/>
              <w:ind w:right="15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520" w:type="dxa"/>
            <w:vAlign w:val="bottom"/>
          </w:tcPr>
          <w:p>
            <w:pPr>
              <w:jc w:val="right"/>
              <w:ind w:right="91"/>
              <w:spacing w:after="0"/>
              <w:rPr>
                <w:sz w:val="20"/>
                <w:szCs w:val="20"/>
                <w:color w:val="auto"/>
              </w:rPr>
            </w:pPr>
            <w:r>
              <w:rPr>
                <w:rFonts w:ascii="Arial" w:cs="Arial" w:eastAsia="Arial" w:hAnsi="Arial"/>
                <w:sz w:val="18"/>
                <w:szCs w:val="18"/>
                <w:color w:val="auto"/>
              </w:rPr>
              <w:t>(0.0</w:t>
            </w:r>
          </w:p>
        </w:tc>
      </w:tr>
      <w:tr>
        <w:trPr>
          <w:trHeight w:val="27"/>
        </w:trPr>
        <w:tc>
          <w:tcPr>
            <w:tcW w:w="49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9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5.8</w:t>
            </w: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Provision for income taxes</w:t>
            </w: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560" w:type="dxa"/>
            <w:vAlign w:val="bottom"/>
          </w:tcPr>
          <w:p>
            <w:pPr>
              <w:jc w:val="right"/>
              <w:ind w:right="15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560" w:type="dxa"/>
            <w:vAlign w:val="bottom"/>
          </w:tcPr>
          <w:p>
            <w:pPr>
              <w:jc w:val="right"/>
              <w:ind w:right="152"/>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520" w:type="dxa"/>
            <w:vAlign w:val="bottom"/>
          </w:tcPr>
          <w:p>
            <w:pPr>
              <w:jc w:val="right"/>
              <w:ind w:right="91"/>
              <w:spacing w:after="0"/>
              <w:rPr>
                <w:sz w:val="20"/>
                <w:szCs w:val="20"/>
                <w:color w:val="auto"/>
              </w:rPr>
            </w:pPr>
            <w:r>
              <w:rPr>
                <w:rFonts w:ascii="Arial" w:cs="Arial" w:eastAsia="Arial" w:hAnsi="Arial"/>
                <w:sz w:val="18"/>
                <w:szCs w:val="18"/>
                <w:color w:val="auto"/>
              </w:rPr>
              <w:t>1.3</w:t>
            </w:r>
          </w:p>
        </w:tc>
      </w:tr>
      <w:tr>
        <w:trPr>
          <w:trHeight w:val="27"/>
        </w:trPr>
        <w:tc>
          <w:tcPr>
            <w:tcW w:w="49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4.5</w:t>
            </w: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51"/>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1"/>
                <w:szCs w:val="21"/>
                <w:color w:val="auto"/>
              </w:rPr>
            </w:pPr>
          </w:p>
        </w:tc>
        <w:tc>
          <w:tcPr>
            <w:tcW w:w="1560" w:type="dxa"/>
            <w:vAlign w:val="bottom"/>
          </w:tcPr>
          <w:p>
            <w:pPr>
              <w:jc w:val="right"/>
              <w:ind w:right="152"/>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1"/>
                <w:szCs w:val="21"/>
                <w:color w:val="auto"/>
              </w:rPr>
            </w:pPr>
          </w:p>
        </w:tc>
        <w:tc>
          <w:tcPr>
            <w:tcW w:w="1520" w:type="dxa"/>
            <w:vAlign w:val="bottom"/>
          </w:tcPr>
          <w:p>
            <w:pPr>
              <w:jc w:val="right"/>
              <w:ind w:right="91"/>
              <w:spacing w:after="0"/>
              <w:rPr>
                <w:sz w:val="20"/>
                <w:szCs w:val="20"/>
                <w:color w:val="auto"/>
              </w:rPr>
            </w:pPr>
            <w:r>
              <w:rPr>
                <w:rFonts w:ascii="Arial" w:cs="Arial" w:eastAsia="Arial" w:hAnsi="Arial"/>
                <w:sz w:val="18"/>
                <w:szCs w:val="18"/>
                <w:color w:val="auto"/>
              </w:rPr>
              <w:t>0.0</w:t>
            </w:r>
          </w:p>
        </w:tc>
      </w:tr>
      <w:tr>
        <w:trPr>
          <w:trHeight w:val="27"/>
        </w:trPr>
        <w:tc>
          <w:tcPr>
            <w:tcW w:w="49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Universal Electronics Inc.</w:t>
            </w:r>
          </w:p>
        </w:tc>
        <w:tc>
          <w:tcPr>
            <w:tcW w:w="9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2016 versus Three Months Ended September 30, 2015</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for the three months ended September 30, 2016 were $169.2 million, an increase of 5.4% compared to $160.5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2015. Net sales by our Business and Consumer lines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234"/>
              <w:spacing w:after="0"/>
              <w:rPr>
                <w:sz w:val="20"/>
                <w:szCs w:val="20"/>
                <w:color w:val="auto"/>
              </w:rPr>
            </w:pPr>
            <w:r>
              <w:rPr>
                <w:rFonts w:ascii="Arial" w:cs="Arial" w:eastAsia="Arial" w:hAnsi="Arial"/>
                <w:sz w:val="14"/>
                <w:szCs w:val="14"/>
                <w:b w:val="1"/>
                <w:bCs w:val="1"/>
                <w:color w:val="auto"/>
              </w:rPr>
              <w:t>Three Months Ended September 30,</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r>
      <w:tr>
        <w:trPr>
          <w:trHeight w:val="264"/>
        </w:trPr>
        <w:tc>
          <w:tcPr>
            <w:tcW w:w="504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2016</w:t>
            </w:r>
          </w:p>
        </w:tc>
        <w:tc>
          <w:tcPr>
            <w:tcW w:w="12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1328"/>
              <w:spacing w:after="0"/>
              <w:rPr>
                <w:sz w:val="20"/>
                <w:szCs w:val="20"/>
                <w:color w:val="auto"/>
              </w:rPr>
            </w:pPr>
            <w:r>
              <w:rPr>
                <w:rFonts w:ascii="Arial" w:cs="Arial" w:eastAsia="Arial" w:hAnsi="Arial"/>
                <w:sz w:val="14"/>
                <w:szCs w:val="14"/>
                <w:b w:val="1"/>
                <w:bCs w:val="1"/>
                <w:color w:val="auto"/>
              </w:rPr>
              <w:t>2015</w:t>
            </w:r>
          </w:p>
        </w:tc>
      </w:tr>
      <w:tr>
        <w:trPr>
          <w:trHeight w:val="264"/>
        </w:trPr>
        <w:tc>
          <w:tcPr>
            <w:tcW w:w="504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w w:val="93"/>
              </w:rPr>
              <w:t>(millions)</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 of total</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 (millions)</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 of total</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148.6</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92.6%</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Consumer</w:t>
            </w:r>
          </w:p>
        </w:tc>
        <w:tc>
          <w:tcPr>
            <w:tcW w:w="48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17"/>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w:t>
            </w:r>
          </w:p>
        </w:tc>
        <w:tc>
          <w:tcPr>
            <w:tcW w:w="1740" w:type="dxa"/>
            <w:vAlign w:val="bottom"/>
            <w:gridSpan w:val="3"/>
          </w:tcPr>
          <w:p>
            <w:pPr>
              <w:jc w:val="right"/>
              <w:ind w:right="108"/>
              <w:spacing w:after="0"/>
              <w:rPr>
                <w:sz w:val="20"/>
                <w:szCs w:val="20"/>
                <w:color w:val="auto"/>
              </w:rPr>
            </w:pPr>
            <w:r>
              <w:rPr>
                <w:rFonts w:ascii="Arial" w:cs="Arial" w:eastAsia="Arial" w:hAnsi="Arial"/>
                <w:sz w:val="18"/>
                <w:szCs w:val="18"/>
                <w:color w:val="auto"/>
              </w:rPr>
              <w:t>7.4</w:t>
            </w:r>
          </w:p>
        </w:tc>
      </w:tr>
      <w:tr>
        <w:trPr>
          <w:trHeight w:val="27"/>
        </w:trPr>
        <w:tc>
          <w:tcPr>
            <w:tcW w:w="50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net sales</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169.2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sales in our Business lines (subscription broadcasting, OEM, and computing companies) were 92.9% of net sales for the three months ended September 30, 2016 compared to 92.6% for the three months ended September 30, 2015. Net sales in our Business lines for the three months ended September 30, 2016 increased by 5.8% to $157.2 million from $148.6 million driven by an increased demand in both the subscription broadcasting and OEM markets for our advanced products which include features such as voice control and two-way RF technologies.</w:t>
      </w:r>
    </w:p>
    <w:p>
      <w:pPr>
        <w:spacing w:after="0" w:line="117"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Net sales in our Consumer lines (</w:t>
      </w:r>
      <w:r>
        <w:rPr>
          <w:rFonts w:ascii="Arial" w:cs="Arial" w:eastAsia="Arial" w:hAnsi="Arial"/>
          <w:sz w:val="16"/>
          <w:szCs w:val="16"/>
          <w:i w:val="1"/>
          <w:iCs w:val="1"/>
          <w:color w:val="auto"/>
        </w:rPr>
        <w:t>One For All</w:t>
      </w:r>
      <w:r>
        <w:rPr>
          <w:rFonts w:ascii="Arial" w:cs="Arial" w:eastAsia="Arial" w:hAnsi="Arial"/>
          <w:sz w:val="22"/>
          <w:szCs w:val="22"/>
          <w:i w:val="1"/>
          <w:iCs w:val="1"/>
          <w:color w:val="auto"/>
          <w:vertAlign w:val="superscript"/>
        </w:rPr>
        <w:t>®</w:t>
      </w:r>
      <w:r>
        <w:rPr>
          <w:rFonts w:ascii="Arial" w:cs="Arial" w:eastAsia="Arial" w:hAnsi="Arial"/>
          <w:sz w:val="16"/>
          <w:szCs w:val="16"/>
          <w:color w:val="auto"/>
        </w:rPr>
        <w:t xml:space="preserve"> retail and private label) were 7.1% of net sales for the three months ended September 30, 2016 compared to 7.4% for the three months ended September 30, 2015. Net sales in our Consumer lines for the three months ended September 30, 2016 increased modestly by</w:t>
      </w:r>
    </w:p>
    <w:p>
      <w:pPr>
        <w:jc w:val="both"/>
        <w:spacing w:after="0" w:line="261" w:lineRule="auto"/>
        <w:rPr>
          <w:sz w:val="20"/>
          <w:szCs w:val="20"/>
          <w:color w:val="auto"/>
        </w:rPr>
      </w:pPr>
      <w:r>
        <w:rPr>
          <w:rFonts w:ascii="Arial" w:cs="Arial" w:eastAsia="Arial" w:hAnsi="Arial"/>
          <w:sz w:val="18"/>
          <w:szCs w:val="18"/>
          <w:color w:val="auto"/>
        </w:rPr>
        <w:t>0.8% to $12.0 million from $11.9 million in the three months ended September 30, 2015. There was stronger demand for our accessory products in Europe which was partially offset by decreased sales in the Americas.</w:t>
      </w:r>
    </w:p>
    <w:p>
      <w:pPr>
        <w:spacing w:after="0" w:line="13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Gross profit. </w:t>
      </w:r>
      <w:r>
        <w:rPr>
          <w:rFonts w:ascii="Arial" w:cs="Arial" w:eastAsia="Arial" w:hAnsi="Arial"/>
          <w:sz w:val="17"/>
          <w:szCs w:val="17"/>
          <w:color w:val="auto"/>
        </w:rPr>
        <w:t>Gross profit for the three months ended September 30, 2016 was $41.8 million compared to $42.8 million for the three months ended September</w:t>
      </w:r>
      <w:r>
        <w:rPr>
          <w:rFonts w:ascii="Arial" w:cs="Arial" w:eastAsia="Arial" w:hAnsi="Arial"/>
          <w:sz w:val="17"/>
          <w:szCs w:val="17"/>
          <w:i w:val="1"/>
          <w:iCs w:val="1"/>
          <w:color w:val="auto"/>
        </w:rPr>
        <w:t xml:space="preserve"> </w:t>
      </w:r>
      <w:r>
        <w:rPr>
          <w:rFonts w:ascii="Arial" w:cs="Arial" w:eastAsia="Arial" w:hAnsi="Arial"/>
          <w:sz w:val="17"/>
          <w:szCs w:val="17"/>
          <w:color w:val="auto"/>
        </w:rPr>
        <w:t>30, 2015. Gross profit as a percent of sales decreased to 24.7% for the three months ended September 30, 2016 compared to 26.7% for the three months ended September 30, 2015. The gross margin percentage was unfavorably impacted by price reductions granted to certain large customers, temporary manufacturing inefficiencies related to a factory transition, and the weakening of the British Pound relative to the U.S. Dollar. The impact of these unfavorable items was partially offset by the weakening of the Chinese Yuan Renminbi relative to the U.S. Dollar.</w:t>
      </w:r>
    </w:p>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Research and development ("R&amp;D") expenses. </w:t>
      </w:r>
      <w:r>
        <w:rPr>
          <w:rFonts w:ascii="Arial" w:cs="Arial" w:eastAsia="Arial" w:hAnsi="Arial"/>
          <w:sz w:val="18"/>
          <w:szCs w:val="18"/>
          <w:color w:val="auto"/>
        </w:rPr>
        <w:t>R&amp;D expenses increased 19.9% to $5.0 million for the three months ended September 30, 2016 from $4.1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September 30, 2015 as we continue to develop new product offerings in existing categories as well as new categories such as home security.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Selling, general and administrative ("SG&amp;A") expenses. </w:t>
      </w:r>
      <w:r>
        <w:rPr>
          <w:rFonts w:ascii="Arial" w:cs="Arial" w:eastAsia="Arial" w:hAnsi="Arial"/>
          <w:sz w:val="18"/>
          <w:szCs w:val="18"/>
          <w:color w:val="auto"/>
        </w:rPr>
        <w:t>SG&amp;A expenses decreased 3.1% to $28.7 million for the three months ended September 30, 2016</w:t>
      </w:r>
      <w:r>
        <w:rPr>
          <w:rFonts w:ascii="Arial" w:cs="Arial" w:eastAsia="Arial" w:hAnsi="Arial"/>
          <w:sz w:val="18"/>
          <w:szCs w:val="18"/>
          <w:i w:val="1"/>
          <w:iCs w:val="1"/>
          <w:color w:val="auto"/>
        </w:rPr>
        <w:t xml:space="preserve"> </w:t>
      </w:r>
      <w:r>
        <w:rPr>
          <w:rFonts w:ascii="Arial" w:cs="Arial" w:eastAsia="Arial" w:hAnsi="Arial"/>
          <w:sz w:val="18"/>
          <w:szCs w:val="18"/>
          <w:color w:val="auto"/>
        </w:rPr>
        <w:t>from $29.6 million for the three months ended September 30, 2015. The decrease was primarily due to a $4.6 million unfavorable court order issued during the three months ended September 30, 2015 related to a patent litigation lawsuit. This decrease was partially offset by increased payroll costs driven by additional headcount required to support product development efforts and additional headcount related to our August 2015 acquisition of Ecolink Intelligent Technology, Inc.</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Net interest expense was $0.2 million for the three months ended September 30, 2016 compared to net interest expense of $16</w:t>
      </w:r>
      <w:r>
        <w:rPr>
          <w:rFonts w:ascii="Arial" w:cs="Arial" w:eastAsia="Arial" w:hAnsi="Arial"/>
          <w:sz w:val="18"/>
          <w:szCs w:val="18"/>
          <w:i w:val="1"/>
          <w:iCs w:val="1"/>
          <w:color w:val="auto"/>
        </w:rPr>
        <w:t xml:space="preserve"> </w:t>
      </w:r>
      <w:r>
        <w:rPr>
          <w:rFonts w:ascii="Arial" w:cs="Arial" w:eastAsia="Arial" w:hAnsi="Arial"/>
          <w:sz w:val="18"/>
          <w:szCs w:val="18"/>
          <w:color w:val="auto"/>
        </w:rPr>
        <w:t>thousand for the three months ended September 30, 2015 as a result of an increased level of borrowings on our line of credit.</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Net other income was $0.3 million for the three months ended September 30, 2016 compared to net other expense of $0.6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September 30, 2015. This change was driven primarily by foreign currency gains associated with fluctuations in the Chinese Yuan Renminbi, British Pound, and Euro exchange rates versus the U.S. Dollar and decreased foreign currency losses associated with fluctuations in the Brazilian Real exchange rate versus the U.S. Dollar.</w:t>
      </w:r>
    </w:p>
    <w:p>
      <w:pPr>
        <w:spacing w:after="0" w:line="13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Provision for income taxes. </w:t>
      </w:r>
      <w:r>
        <w:rPr>
          <w:rFonts w:ascii="Arial" w:cs="Arial" w:eastAsia="Arial" w:hAnsi="Arial"/>
          <w:sz w:val="16"/>
          <w:szCs w:val="16"/>
          <w:color w:val="auto"/>
        </w:rPr>
        <w:t>Income tax expense was $0.4 million for the three months ended September 30, 2016 compared to $2.2 million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September 30, 2015. Our effective tax rate was 5.1% for the three months ended September 30, 2016 compared to 25.8% for the three months ended September 30, 2015. The decrease in our effective tax rate was primarily due to the recording of $1.8 million in tax refunds during the three months ended September 30, 2016, of which $1.4 million related to tax incentives in China for 2015 and $0.4 million related to certain deductible research and development expenses incurred in China during 2015. This impact was partially offset by the recording of a $0.7 million decrease to the carrying value of certain deferred tax assets to reflect the lower statutory tax rate that will be applied as a result of tax incentives at one of our China manufacturing facilities.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2016 versus Nine Months Ended September 30, 2015</w:t>
      </w:r>
    </w:p>
    <w:p>
      <w:pPr>
        <w:spacing w:after="0" w:line="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for the nine months ended September 30, 2016 were $490.8 million, an increase of 11.4% compared to $440.7 million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2015. Net sales by our Business and Consumer lines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274"/>
              <w:spacing w:after="0"/>
              <w:rPr>
                <w:sz w:val="20"/>
                <w:szCs w:val="20"/>
                <w:color w:val="auto"/>
              </w:rPr>
            </w:pPr>
            <w:r>
              <w:rPr>
                <w:rFonts w:ascii="Arial" w:cs="Arial" w:eastAsia="Arial" w:hAnsi="Arial"/>
                <w:sz w:val="14"/>
                <w:szCs w:val="14"/>
                <w:b w:val="1"/>
                <w:bCs w:val="1"/>
                <w:color w:val="auto"/>
              </w:rPr>
              <w:t>Nine Months Ended September 30,</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r>
      <w:tr>
        <w:trPr>
          <w:trHeight w:val="264"/>
        </w:trPr>
        <w:tc>
          <w:tcPr>
            <w:tcW w:w="504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2016</w:t>
            </w:r>
          </w:p>
        </w:tc>
        <w:tc>
          <w:tcPr>
            <w:tcW w:w="12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1328"/>
              <w:spacing w:after="0"/>
              <w:rPr>
                <w:sz w:val="20"/>
                <w:szCs w:val="20"/>
                <w:color w:val="auto"/>
              </w:rPr>
            </w:pPr>
            <w:r>
              <w:rPr>
                <w:rFonts w:ascii="Arial" w:cs="Arial" w:eastAsia="Arial" w:hAnsi="Arial"/>
                <w:sz w:val="14"/>
                <w:szCs w:val="14"/>
                <w:b w:val="1"/>
                <w:bCs w:val="1"/>
                <w:color w:val="auto"/>
              </w:rPr>
              <w:t>2015</w:t>
            </w:r>
          </w:p>
        </w:tc>
      </w:tr>
      <w:tr>
        <w:trPr>
          <w:trHeight w:val="264"/>
        </w:trPr>
        <w:tc>
          <w:tcPr>
            <w:tcW w:w="504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w w:val="93"/>
              </w:rPr>
              <w:t>(millions)</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 of total</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 (millions)</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 of total</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456.3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405.6</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92.0%</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Consumer</w:t>
            </w:r>
          </w:p>
        </w:tc>
        <w:tc>
          <w:tcPr>
            <w:tcW w:w="48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17"/>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35.1</w:t>
            </w:r>
          </w:p>
        </w:tc>
        <w:tc>
          <w:tcPr>
            <w:tcW w:w="1740" w:type="dxa"/>
            <w:vAlign w:val="bottom"/>
            <w:gridSpan w:val="3"/>
          </w:tcPr>
          <w:p>
            <w:pPr>
              <w:jc w:val="right"/>
              <w:ind w:right="108"/>
              <w:spacing w:after="0"/>
              <w:rPr>
                <w:sz w:val="20"/>
                <w:szCs w:val="20"/>
                <w:color w:val="auto"/>
              </w:rPr>
            </w:pPr>
            <w:r>
              <w:rPr>
                <w:rFonts w:ascii="Arial" w:cs="Arial" w:eastAsia="Arial" w:hAnsi="Arial"/>
                <w:sz w:val="18"/>
                <w:szCs w:val="18"/>
                <w:color w:val="auto"/>
              </w:rPr>
              <w:t>8.0</w:t>
            </w:r>
          </w:p>
        </w:tc>
      </w:tr>
      <w:tr>
        <w:trPr>
          <w:trHeight w:val="27"/>
        </w:trPr>
        <w:tc>
          <w:tcPr>
            <w:tcW w:w="50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net sales</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490.8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440.7</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sales in our Business lines (subscription broadcasting, OEM, and computing companies) were 93.0% of net sales for the nine months ended September 30, 2016 compared to 92.0% for the nine months ended September 30, 2015. Net sales in our Business lines for the nine months ended September 30, 2016 increased by 12.5% to $456.3 million from $405.6 million driven primarily by strong demand and increased market share with North American subscription broadcasters as more customers transition from lower end platforms to higher end platforms. Partially offsetting this increase was a decrease in net sales to consumer electronics companies in Asia.</w:t>
      </w:r>
    </w:p>
    <w:p>
      <w:pPr>
        <w:spacing w:after="0" w:line="134"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Net sales in our Consumer lines (</w:t>
      </w:r>
      <w:r>
        <w:rPr>
          <w:rFonts w:ascii="Arial" w:cs="Arial" w:eastAsia="Arial" w:hAnsi="Arial"/>
          <w:sz w:val="18"/>
          <w:szCs w:val="18"/>
          <w:i w:val="1"/>
          <w:iCs w:val="1"/>
          <w:color w:val="auto"/>
        </w:rPr>
        <w:t>One For All</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xml:space="preserve"> retail and private label) were 7.0% of net sales for the nine months ended September 30, 2016 compared to 8.0% for the nine months ended September 30, 2015. Net sales in our Consumer lines for the nine months ended September 30, 2016 decreased by 1.7% to $34.5 million from $35.1 million in the nine months ended September 30, 2015. This decrease was mainly due to decreased sales in the Latin American market.</w:t>
      </w:r>
    </w:p>
    <w:p>
      <w:pPr>
        <w:spacing w:after="0" w:line="14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Gross profit. </w:t>
      </w:r>
      <w:r>
        <w:rPr>
          <w:rFonts w:ascii="Arial" w:cs="Arial" w:eastAsia="Arial" w:hAnsi="Arial"/>
          <w:sz w:val="17"/>
          <w:szCs w:val="17"/>
          <w:color w:val="auto"/>
        </w:rPr>
        <w:t>Gross profit for the nine months ended September 30, 2016 was $122.9 million compared to $120.5 million for the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2015. Gross profit as a percent of sales decreased to 25.0% for the nine months ended September 30, 2016 compared to 27.3% for the nine months ended September 30, 2015. The gross margin percentage was unfavorably impacted by an increase in sales to certain large customers that yield a lower gross margin rate than our company average, pricing pressure and a decrease in royalty revenue associated with the TV and mobile device markets. The impact of these unfavorable items was partially offset by the weakening of the Chinese Yuan Renminbi relative to the U.S. Dollar.</w:t>
      </w:r>
    </w:p>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R&amp;D expenses increased 20.8% to $15.3 million for nine months ended September 30, 2016 from $12.7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September 30, 2015 as we continue to develop new product offerings in existing categories as well as new categories such as home security.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SG&amp;A expenses increased 7.5% to $88.5 million for the nine months ended September 30, 2016 from $82.3</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nine months ended September 30, 2015. This increase was driven primarily by increased payroll costs as well as severance costs associated with a factory transition. Payroll costs increased as a result of additional headcount required to support product development efforts as well as additional headcount related to our August 2015 acquisition of Ecolink Intelligent Technology, Inc. Severance costs were incurred related to the transition of manufacturing activities from our higher cost factory located in southern China to our lower cost factories located in other regions within China. We expect this transition to continue over the next 12-15 months. These increases were partially offset by a lower level of patent litigation related costs as well as the weakening of the Chinese Yuan Renminbi and Brazilian Real versus the U.S. Dollar.</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Net interest expense was $0.8 million for the nine months ended September 30, 2016 compared to net interest income of $0.2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nine months ended September 30, 2015 as a result of an increased level of borrowings on our line of credit.</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Net other income was $1.7 million for the nine months ended September 30, 2016 compared to net other expense of $0.3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nine months ended September 30, 2015. This change was driven primarily by foreign currency gains associated with fluctuations in the Chinese Yuan Renminbi exchange rate versus the U.S. Dollar.</w:t>
      </w:r>
    </w:p>
    <w:p>
      <w:pPr>
        <w:spacing w:after="0" w:line="1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Provision for income taxes. </w:t>
      </w:r>
      <w:r>
        <w:rPr>
          <w:rFonts w:ascii="Arial" w:cs="Arial" w:eastAsia="Arial" w:hAnsi="Arial"/>
          <w:sz w:val="17"/>
          <w:szCs w:val="17"/>
          <w:color w:val="auto"/>
        </w:rPr>
        <w:t>Income tax expense was $3.0 million for the nine months ended September 30, 2016 compared to $5.6 million for the nine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September 30, 2015. Our effective tax rate was 14.7% for the nine months ended September 30, 2016 compared to 22.1% for the nine months ended September 30, 2015. The decrease in our effective tax rate was primarily due to (a) the recording of an additional $1.3 million in tax refunds during the nine months ended September 30, 2016, of which $0.9 million related to tax incentives in China for previous tax years and $0.4 million related to certain deductible research and development expenses incurred in China during 2015; and (b) lower tax rates in certain jurisdictions within China due to local tax incentives. These impacts were partially offset by the recording of a $0.7 million decrease to the carrying value of certain deferred tax assets to reflect the lower statutory tax rate that will be applied as a result of tax incentives at one of our China manufacturing facilities.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and Uses of Cash</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1720" w:type="dxa"/>
            <w:vAlign w:val="bottom"/>
            <w:gridSpan w:val="2"/>
          </w:tcPr>
          <w:p>
            <w:pPr>
              <w:ind w:left="80"/>
              <w:spacing w:after="0"/>
              <w:rPr>
                <w:sz w:val="20"/>
                <w:szCs w:val="20"/>
                <w:color w:val="auto"/>
              </w:rPr>
            </w:pPr>
            <w:r>
              <w:rPr>
                <w:rFonts w:ascii="Arial" w:cs="Arial" w:eastAsia="Arial" w:hAnsi="Arial"/>
                <w:sz w:val="14"/>
                <w:szCs w:val="14"/>
                <w:b w:val="1"/>
                <w:bCs w:val="1"/>
                <w:color w:val="auto"/>
              </w:rPr>
              <w:t>Nine Months Ended</w:t>
            </w:r>
          </w:p>
        </w:tc>
        <w:tc>
          <w:tcPr>
            <w:tcW w:w="360" w:type="dxa"/>
            <w:vAlign w:val="bottom"/>
          </w:tcPr>
          <w:p>
            <w:pPr>
              <w:spacing w:after="0"/>
              <w:rPr>
                <w:sz w:val="14"/>
                <w:szCs w:val="14"/>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Increase</w:t>
            </w:r>
          </w:p>
        </w:tc>
        <w:tc>
          <w:tcPr>
            <w:tcW w:w="200" w:type="dxa"/>
            <w:vAlign w:val="bottom"/>
          </w:tcPr>
          <w:p>
            <w:pPr>
              <w:spacing w:after="0"/>
              <w:rPr>
                <w:sz w:val="14"/>
                <w:szCs w:val="14"/>
                <w:color w:val="auto"/>
              </w:rPr>
            </w:pPr>
          </w:p>
        </w:tc>
        <w:tc>
          <w:tcPr>
            <w:tcW w:w="1620" w:type="dxa"/>
            <w:vAlign w:val="bottom"/>
          </w:tcPr>
          <w:p>
            <w:pPr>
              <w:jc w:val="center"/>
              <w:ind w:right="116"/>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92"/>
        </w:trPr>
        <w:tc>
          <w:tcPr>
            <w:tcW w:w="57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2016</w:t>
            </w:r>
          </w:p>
        </w:tc>
        <w:tc>
          <w:tcPr>
            <w:tcW w:w="360" w:type="dxa"/>
            <w:vAlign w:val="bottom"/>
          </w:tcPr>
          <w:p>
            <w:pPr>
              <w:spacing w:after="0"/>
              <w:rPr>
                <w:sz w:val="16"/>
                <w:szCs w:val="16"/>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(Decrease)</w:t>
            </w:r>
          </w:p>
        </w:tc>
        <w:tc>
          <w:tcPr>
            <w:tcW w:w="200" w:type="dxa"/>
            <w:vAlign w:val="bottom"/>
          </w:tcPr>
          <w:p>
            <w:pPr>
              <w:spacing w:after="0"/>
              <w:rPr>
                <w:sz w:val="16"/>
                <w:szCs w:val="16"/>
                <w:color w:val="auto"/>
              </w:rPr>
            </w:pPr>
          </w:p>
        </w:tc>
        <w:tc>
          <w:tcPr>
            <w:tcW w:w="1620" w:type="dxa"/>
            <w:vAlign w:val="bottom"/>
          </w:tcPr>
          <w:p>
            <w:pPr>
              <w:jc w:val="center"/>
              <w:ind w:right="136"/>
              <w:spacing w:after="0"/>
              <w:rPr>
                <w:sz w:val="20"/>
                <w:szCs w:val="20"/>
                <w:color w:val="auto"/>
              </w:rPr>
            </w:pPr>
            <w:r>
              <w:rPr>
                <w:rFonts w:ascii="Arial" w:cs="Arial" w:eastAsia="Arial" w:hAnsi="Arial"/>
                <w:sz w:val="14"/>
                <w:szCs w:val="14"/>
                <w:b w:val="1"/>
                <w:bCs w:val="1"/>
                <w:color w:val="auto"/>
                <w:w w:val="91"/>
              </w:rPr>
              <w:t>September 30, 2015</w:t>
            </w:r>
          </w:p>
        </w:tc>
        <w:tc>
          <w:tcPr>
            <w:tcW w:w="0" w:type="dxa"/>
            <w:vAlign w:val="bottom"/>
          </w:tcPr>
          <w:p>
            <w:pPr>
              <w:spacing w:after="0"/>
              <w:rPr>
                <w:sz w:val="1"/>
                <w:szCs w:val="1"/>
                <w:color w:val="auto"/>
              </w:rPr>
            </w:pP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(used for) operating activities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38,681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16,151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22,530</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Cash used for investing activities</w:t>
            </w:r>
          </w:p>
        </w:tc>
        <w:tc>
          <w:tcPr>
            <w:tcW w:w="2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(30,239)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10,496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(40,735)</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(used for)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18,906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(28,989)</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(3,184)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504"/>
        </w:trPr>
        <w:tc>
          <w:tcPr>
            <w:tcW w:w="5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September 30, 2016</w:t>
            </w:r>
          </w:p>
        </w:tc>
        <w:tc>
          <w:tcPr>
            <w:tcW w:w="360" w:type="dxa"/>
            <w:vAlign w:val="bottom"/>
          </w:tcPr>
          <w:p>
            <w:pPr>
              <w:spacing w:after="0"/>
              <w:rPr>
                <w:sz w:val="24"/>
                <w:szCs w:val="24"/>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Increase</w:t>
            </w:r>
          </w:p>
        </w:tc>
        <w:tc>
          <w:tcPr>
            <w:tcW w:w="200" w:type="dxa"/>
            <w:vAlign w:val="bottom"/>
          </w:tcPr>
          <w:p>
            <w:pPr>
              <w:spacing w:after="0"/>
              <w:rPr>
                <w:sz w:val="24"/>
                <w:szCs w:val="24"/>
                <w:color w:val="auto"/>
              </w:rPr>
            </w:pPr>
          </w:p>
        </w:tc>
        <w:tc>
          <w:tcPr>
            <w:tcW w:w="1620" w:type="dxa"/>
            <w:vAlign w:val="bottom"/>
            <w:vMerge w:val="restart"/>
          </w:tcPr>
          <w:p>
            <w:pPr>
              <w:jc w:val="center"/>
              <w:ind w:right="116"/>
              <w:spacing w:after="0"/>
              <w:rPr>
                <w:sz w:val="20"/>
                <w:szCs w:val="20"/>
                <w:color w:val="auto"/>
              </w:rPr>
            </w:pPr>
            <w:r>
              <w:rPr>
                <w:rFonts w:ascii="Arial" w:cs="Arial" w:eastAsia="Arial" w:hAnsi="Arial"/>
                <w:sz w:val="14"/>
                <w:szCs w:val="14"/>
                <w:b w:val="1"/>
                <w:bCs w:val="1"/>
                <w:color w:val="auto"/>
                <w:w w:val="93"/>
              </w:rPr>
              <w:t>December 31, 2015</w:t>
            </w:r>
          </w:p>
        </w:tc>
        <w:tc>
          <w:tcPr>
            <w:tcW w:w="0" w:type="dxa"/>
            <w:vAlign w:val="bottom"/>
          </w:tcPr>
          <w:p>
            <w:pPr>
              <w:spacing w:after="0"/>
              <w:rPr>
                <w:sz w:val="1"/>
                <w:szCs w:val="1"/>
                <w:color w:val="auto"/>
              </w:rPr>
            </w:pPr>
          </w:p>
        </w:tc>
      </w:tr>
      <w:tr>
        <w:trPr>
          <w:trHeight w:val="192"/>
        </w:trPr>
        <w:tc>
          <w:tcPr>
            <w:tcW w:w="5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(Decrease)</w:t>
            </w:r>
          </w:p>
        </w:tc>
        <w:tc>
          <w:tcPr>
            <w:tcW w:w="2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48,141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52,966</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220" w:type="dxa"/>
            <w:vAlign w:val="bottom"/>
          </w:tcPr>
          <w:p>
            <w:pPr>
              <w:spacing w:after="0"/>
              <w:rPr>
                <w:sz w:val="21"/>
                <w:szCs w:val="21"/>
                <w:color w:val="auto"/>
              </w:rPr>
            </w:pPr>
          </w:p>
        </w:tc>
        <w:tc>
          <w:tcPr>
            <w:tcW w:w="1620" w:type="dxa"/>
            <w:vAlign w:val="bottom"/>
          </w:tcPr>
          <w:p>
            <w:pPr>
              <w:jc w:val="right"/>
              <w:ind w:right="36"/>
              <w:spacing w:after="0"/>
              <w:rPr>
                <w:sz w:val="20"/>
                <w:szCs w:val="20"/>
                <w:color w:val="auto"/>
              </w:rPr>
            </w:pPr>
            <w:r>
              <w:rPr>
                <w:rFonts w:ascii="Arial" w:cs="Arial" w:eastAsia="Arial" w:hAnsi="Arial"/>
                <w:sz w:val="18"/>
                <w:szCs w:val="18"/>
                <w:color w:val="auto"/>
              </w:rPr>
              <w:t>123,245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23,045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6"/>
              <w:spacing w:after="0"/>
              <w:rPr>
                <w:sz w:val="20"/>
                <w:szCs w:val="20"/>
                <w:color w:val="auto"/>
              </w:rPr>
            </w:pPr>
            <w:r>
              <w:rPr>
                <w:rFonts w:ascii="Arial" w:cs="Arial" w:eastAsia="Arial" w:hAnsi="Arial"/>
                <w:sz w:val="18"/>
                <w:szCs w:val="18"/>
                <w:color w:val="auto"/>
              </w:rPr>
              <w:t>100,200</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Net cash provided by operating activities </w:t>
      </w:r>
      <w:r>
        <w:rPr>
          <w:rFonts w:ascii="Arial" w:cs="Arial" w:eastAsia="Arial" w:hAnsi="Arial"/>
          <w:sz w:val="17"/>
          <w:szCs w:val="17"/>
          <w:color w:val="auto"/>
        </w:rPr>
        <w:t>was $38.7 million during the nine months ended September 30, 2016 compared to $22.5 million of cash provided by</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activities during the nine months ended September 30, 2015. The increase in net cash provided by operating activities was primarily due to (a) working capital needs associated with inventories, accounts payable and accounts receivable; (b) an increased level of stock-based compensation expense driven by performance-based common stock warrants that we issued in March 2016 as well as a higher level of stock-based compensation expense associated with stock incentive plan awards to employees and outside directors; and (c) an increased level of depreciation and amortization expense driven by our recent investments in factory equipment as well as intangible assets purchased in our August 2015 acquisition of Ecolink Intelligent Technology, Inc. With respect to working capital, the total value of our inventory increased as certain customers were transitioning to our higher end products. Our inventory turns have remained flat at 4.2 turns at September 30, 2016 and 2015. Cash flows from accounts payable were largely driven by better vendor management. Cash outflows associated with accounts receivable decreased as a result of higher third quarter sales growth during the prior year period. This was partially offset by an increase in days sales outstanding from 63 days at September 30, 2015 to 72 days at September 30, 2016 as a result of us extending longer payment terms to a couple of significant customers beginning in late 2015.</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Net cash used for investing activities </w:t>
      </w:r>
      <w:r>
        <w:rPr>
          <w:rFonts w:ascii="Arial" w:cs="Arial" w:eastAsia="Arial" w:hAnsi="Arial"/>
          <w:sz w:val="16"/>
          <w:szCs w:val="16"/>
          <w:color w:val="auto"/>
        </w:rPr>
        <w:t>during the nine months ended September 30, 2016 was $30.2 million compared to $40.7 million during the nine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2015. This decrease was primarily due to the acquisition of Ecolink Intelligent Technology, Inc during the third quarter of 2015.</w:t>
      </w:r>
    </w:p>
    <w:p>
      <w:pPr>
        <w:spacing w:after="0" w:line="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Net cash used for financing activities </w:t>
      </w:r>
      <w:r>
        <w:rPr>
          <w:rFonts w:ascii="Arial" w:cs="Arial" w:eastAsia="Arial" w:hAnsi="Arial"/>
          <w:sz w:val="16"/>
          <w:szCs w:val="16"/>
          <w:color w:val="auto"/>
        </w:rPr>
        <w:t>was $10.1 million during the nine months ended September 30, 2016 compared to $29.0 million during the nine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2015. This decrease was driven primarily by a decrease of $76.5 million in treasury stock purchases. This was partly offset by borrowing activity on our line of credit and, to a lesser extent, an increase in proceeds from stock options exercised. During the current year period, we made net payments of $15.0 million on our line of credit, compared to net borrowings on our line of credit of $47.0 million in the prior year period.</w:t>
      </w:r>
    </w:p>
    <w:p>
      <w:pPr>
        <w:spacing w:after="0" w:line="10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During the nine months ended September 30, 2016, we repurchased 39,531 shares of our common stock at a cost of $2.2 million compared to our repurchase of 1,593,420 shares at a cost of $78.7 million during the nine months ended September 30, 2015. We hold these shares as treasury stock and they are available for reissue. Presently, we have no plans to distribute these shares, although we may change these plans if necessary to fulfill our on-going business objectives.</w:t>
      </w:r>
    </w:p>
    <w:p>
      <w:pPr>
        <w:spacing w:after="0" w:line="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time to time, our Board of Directors authorizes management to repurchase shares of our issued and outstanding common stock on the open market. Repurchases may be made to manage dilution created by shares issued under our stock incentive plans or whenever we deem a repurchase is a good use of our cash and the price to be paid is at or below a threshold approved by our Board. As of September 30, 2016, we had 375,000 shares available for repurchase on the open market under the Board's authorizations. On November 2, 2016, our Board increased these repurchase authorizations by 125,000 shares bringing the total authorization as of the approval date to 500,000 shares.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our contractual obligations and the effect these obligations are expected to have on our liquidity and cash flow in future periods.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Payments Due by Period</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3"/>
                <w:szCs w:val="13"/>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ind w:right="175"/>
              <w:spacing w:after="0" w:line="153" w:lineRule="exact"/>
              <w:rPr>
                <w:sz w:val="20"/>
                <w:szCs w:val="20"/>
                <w:color w:val="auto"/>
              </w:rPr>
            </w:pPr>
            <w:r>
              <w:rPr>
                <w:rFonts w:ascii="Arial" w:cs="Arial" w:eastAsia="Arial" w:hAnsi="Arial"/>
                <w:sz w:val="14"/>
                <w:szCs w:val="14"/>
                <w:b w:val="1"/>
                <w:bCs w:val="1"/>
                <w:color w:val="auto"/>
              </w:rPr>
              <w:t>Less than</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center"/>
              <w:ind w:right="196"/>
              <w:spacing w:after="0" w:line="153" w:lineRule="exact"/>
              <w:rPr>
                <w:sz w:val="20"/>
                <w:szCs w:val="20"/>
                <w:color w:val="auto"/>
              </w:rPr>
            </w:pPr>
            <w:r>
              <w:rPr>
                <w:rFonts w:ascii="Arial" w:cs="Arial" w:eastAsia="Arial" w:hAnsi="Arial"/>
                <w:sz w:val="14"/>
                <w:szCs w:val="14"/>
                <w:b w:val="1"/>
                <w:bCs w:val="1"/>
                <w:color w:val="auto"/>
                <w:w w:val="92"/>
              </w:rPr>
              <w:t>1 - 3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415"/>
              <w:spacing w:after="0" w:line="153" w:lineRule="exact"/>
              <w:rPr>
                <w:sz w:val="20"/>
                <w:szCs w:val="20"/>
                <w:color w:val="auto"/>
              </w:rPr>
            </w:pPr>
            <w:r>
              <w:rPr>
                <w:rFonts w:ascii="Arial" w:cs="Arial" w:eastAsia="Arial" w:hAnsi="Arial"/>
                <w:sz w:val="14"/>
                <w:szCs w:val="14"/>
                <w:b w:val="1"/>
                <w:bCs w:val="1"/>
                <w:color w:val="auto"/>
              </w:rPr>
              <w:t>4 - 5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375"/>
              <w:spacing w:after="0" w:line="153" w:lineRule="exact"/>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1 year</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87"/>
              </w:rPr>
              <w:t>years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3,920</w:t>
            </w:r>
          </w:p>
        </w:tc>
        <w:tc>
          <w:tcPr>
            <w:tcW w:w="4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5,347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1,485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Capital lease obligations</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5"/>
                <w:szCs w:val="25"/>
                <w:color w:val="auto"/>
                <w:vertAlign w:val="superscript"/>
              </w:rPr>
              <w:t>(1)</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5,700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5,700</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25"/>
                <w:szCs w:val="25"/>
                <w:color w:val="auto"/>
                <w:vertAlign w:val="superscript"/>
              </w:rPr>
              <w:t>(2)</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11,600</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6,040</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5,560</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contractual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30,571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9,638</w:t>
            </w:r>
          </w:p>
        </w:tc>
        <w:tc>
          <w:tcPr>
            <w:tcW w:w="4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11,387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8,061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1,485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Purchase obligations primarily consist of contractual payments to purchase property, plant and equipment.</w:t>
      </w:r>
    </w:p>
    <w:p>
      <w:pPr>
        <w:spacing w:after="0" w:line="98" w:lineRule="exact"/>
        <w:rPr>
          <w:rFonts w:ascii="Arial" w:cs="Arial" w:eastAsia="Arial" w:hAnsi="Arial"/>
          <w:sz w:val="25"/>
          <w:szCs w:val="25"/>
          <w:color w:val="auto"/>
          <w:vertAlign w:val="superscript"/>
        </w:rPr>
      </w:pPr>
    </w:p>
    <w:p>
      <w:pPr>
        <w:ind w:left="660" w:hanging="328"/>
        <w:spacing w:after="0" w:line="219" w:lineRule="auto"/>
        <w:tabs>
          <w:tab w:leader="none" w:pos="660" w:val="left"/>
        </w:tabs>
        <w:numPr>
          <w:ilvl w:val="0"/>
          <w:numId w:val="12"/>
        </w:numPr>
        <w:rPr>
          <w:rFonts w:ascii="Arial" w:cs="Arial" w:eastAsia="Arial" w:hAnsi="Arial"/>
          <w:sz w:val="24"/>
          <w:szCs w:val="24"/>
          <w:color w:val="auto"/>
          <w:vertAlign w:val="superscript"/>
        </w:rPr>
      </w:pPr>
      <w:r>
        <w:rPr>
          <w:rFonts w:ascii="Arial" w:cs="Arial" w:eastAsia="Arial" w:hAnsi="Arial"/>
          <w:sz w:val="17"/>
          <w:szCs w:val="17"/>
          <w:color w:val="auto"/>
        </w:rPr>
        <w:t>Contingent consideration consists of contingent payments related to our purchase of the net assets of Ecolink Intelligent Technology, Inc.</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Historically, we have utilized cash provided from operations as our primary source of liquidity, as internally generated cash flows have been sufficient to support our business operations, capital expenditures and discretionary share repurchases. More recently we have utilized our revolving line of credit to fund an increased level of share repurchases and our acquisition of the net assets of Ecolink Intelligent Technology, Inc. We anticipate that we will continue to utilize both cash flows from operations and our revolving line of credit to support ongoing business operations, capital expenditures and future discretionary share repurchases. Our working capital needs have typically been greatest during the third and fourth quarters when accounts receivable and inventories increase in connection with the fourth quarter holiday selling season and when inventory levels increase in anticipation of factory closures in observance of Chinese New Year. We believe our current cash balances, anticipated cash flow to be generated from operations and available borrowing resources will be sufficient to cover expected cash outlays during the next twelve months; however, because our cash is located in various jurisdictions throughout the world, we may at times need to increase borrowing from our revolving line of credit or take on additional debt until we are able to transfer cash among our various entities.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Our liquidity is subject to various risks including the risks discussed under "Item 3. Quantitative and Qualitative Disclosures about Market Risk."</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18"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61"/>
        </w:trPr>
        <w:tc>
          <w:tcPr>
            <w:tcW w:w="1100" w:type="dxa"/>
            <w:vAlign w:val="bottom"/>
            <w:tcBorders>
              <w:bottom w:val="single" w:sz="8" w:color="0000EE"/>
            </w:tcBorders>
          </w:tcPr>
          <w:p>
            <w:pPr>
              <w:spacing w:after="0"/>
              <w:rPr>
                <w:rFonts w:ascii="Arial" w:cs="Arial" w:eastAsia="Arial" w:hAnsi="Arial"/>
                <w:sz w:val="14"/>
                <w:szCs w:val="14"/>
                <w:b w:val="1"/>
                <w:bCs w:val="1"/>
                <w:color w:val="0000EE"/>
                <w:w w:val="91"/>
              </w:rPr>
            </w:pPr>
            <w:hyperlink w:anchor="page2">
              <w:r>
                <w:rPr>
                  <w:rFonts w:ascii="Arial" w:cs="Arial" w:eastAsia="Arial" w:hAnsi="Arial"/>
                  <w:sz w:val="14"/>
                  <w:szCs w:val="14"/>
                  <w:b w:val="1"/>
                  <w:bCs w:val="1"/>
                  <w:color w:val="0000EE"/>
                  <w:w w:val="91"/>
                </w:rPr>
                <w:t>Table of Contents</w:t>
              </w:r>
            </w:hyperlink>
          </w:p>
        </w:tc>
        <w:tc>
          <w:tcPr>
            <w:tcW w:w="5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649"/>
        </w:trPr>
        <w:tc>
          <w:tcPr>
            <w:tcW w:w="686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24"/>
                <w:szCs w:val="24"/>
                <w:color w:val="auto"/>
              </w:rPr>
            </w:pPr>
          </w:p>
        </w:tc>
        <w:tc>
          <w:tcPr>
            <w:tcW w:w="2060" w:type="dxa"/>
            <w:vAlign w:val="bottom"/>
            <w:gridSpan w:val="2"/>
          </w:tcPr>
          <w:p>
            <w:pPr>
              <w:ind w:left="200"/>
              <w:spacing w:after="0"/>
              <w:rPr>
                <w:sz w:val="20"/>
                <w:szCs w:val="20"/>
                <w:color w:val="auto"/>
              </w:rPr>
            </w:pPr>
            <w:r>
              <w:rPr>
                <w:rFonts w:ascii="Arial" w:cs="Arial" w:eastAsia="Arial" w:hAnsi="Arial"/>
                <w:sz w:val="14"/>
                <w:szCs w:val="14"/>
                <w:b w:val="1"/>
                <w:bCs w:val="1"/>
                <w:color w:val="auto"/>
              </w:rPr>
              <w:t>September 30, 2016</w:t>
            </w:r>
          </w:p>
        </w:tc>
        <w:tc>
          <w:tcPr>
            <w:tcW w:w="300" w:type="dxa"/>
            <w:vAlign w:val="bottom"/>
          </w:tcPr>
          <w:p>
            <w:pPr>
              <w:spacing w:after="0"/>
              <w:rPr>
                <w:sz w:val="24"/>
                <w:szCs w:val="24"/>
                <w:color w:val="auto"/>
              </w:rPr>
            </w:pPr>
          </w:p>
        </w:tc>
        <w:tc>
          <w:tcPr>
            <w:tcW w:w="1860" w:type="dxa"/>
            <w:vAlign w:val="bottom"/>
          </w:tcPr>
          <w:p>
            <w:pPr>
              <w:jc w:val="right"/>
              <w:ind w:right="416"/>
              <w:spacing w:after="0"/>
              <w:rPr>
                <w:sz w:val="20"/>
                <w:szCs w:val="20"/>
                <w:color w:val="auto"/>
              </w:rPr>
            </w:pPr>
            <w:r>
              <w:rPr>
                <w:rFonts w:ascii="Arial" w:cs="Arial" w:eastAsia="Arial" w:hAnsi="Arial"/>
                <w:sz w:val="14"/>
                <w:szCs w:val="14"/>
                <w:b w:val="1"/>
                <w:bCs w:val="1"/>
                <w:color w:val="auto"/>
              </w:rPr>
              <w:t>December 31, 2015</w:t>
            </w:r>
          </w:p>
        </w:tc>
      </w:tr>
      <w:tr>
        <w:trPr>
          <w:trHeight w:val="250"/>
        </w:trPr>
        <w:tc>
          <w:tcPr>
            <w:tcW w:w="68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48,141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52,966</w:t>
            </w:r>
          </w:p>
        </w:tc>
      </w:tr>
      <w:tr>
        <w:trPr>
          <w:trHeight w:val="243"/>
        </w:trPr>
        <w:tc>
          <w:tcPr>
            <w:tcW w:w="6860" w:type="dxa"/>
            <w:vAlign w:val="bottom"/>
            <w:gridSpan w:val="2"/>
          </w:tcPr>
          <w:p>
            <w:pPr>
              <w:ind w:left="40"/>
              <w:spacing w:after="0"/>
              <w:rPr>
                <w:sz w:val="20"/>
                <w:szCs w:val="20"/>
                <w:color w:val="auto"/>
              </w:rPr>
            </w:pPr>
            <w:r>
              <w:rPr>
                <w:rFonts w:ascii="Arial" w:cs="Arial" w:eastAsia="Arial" w:hAnsi="Arial"/>
                <w:sz w:val="18"/>
                <w:szCs w:val="18"/>
                <w:color w:val="auto"/>
              </w:rPr>
              <w:t>Available borrowing resources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ind w:right="36"/>
              <w:spacing w:after="0"/>
              <w:rPr>
                <w:sz w:val="20"/>
                <w:szCs w:val="20"/>
                <w:color w:val="auto"/>
              </w:rPr>
            </w:pPr>
            <w:r>
              <w:rPr>
                <w:rFonts w:ascii="Arial" w:cs="Arial" w:eastAsia="Arial" w:hAnsi="Arial"/>
                <w:sz w:val="18"/>
                <w:szCs w:val="18"/>
                <w:color w:val="auto"/>
              </w:rPr>
              <w:t>49,987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6"/>
              <w:spacing w:after="0"/>
              <w:rPr>
                <w:sz w:val="20"/>
                <w:szCs w:val="20"/>
                <w:color w:val="auto"/>
              </w:rPr>
            </w:pPr>
            <w:r>
              <w:rPr>
                <w:rFonts w:ascii="Arial" w:cs="Arial" w:eastAsia="Arial" w:hAnsi="Arial"/>
                <w:sz w:val="18"/>
                <w:szCs w:val="18"/>
                <w:color w:val="auto"/>
              </w:rPr>
              <w:t>34,987</w:t>
            </w:r>
          </w:p>
        </w:tc>
      </w:tr>
    </w:tbl>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cash balances are held in numerous locations throughout the world. The majority of our cash is held outside of the United States and may be repatriated to the United States but, under current law, would be subject to United States federal income taxes, less applicable foreign tax credits. Repatriation of some foreign balances is restricted by local laws. We have not provided for the United States federal tax liability on these amounts for financial statement purposes as this cash is considered indefinitely reinvested outside of the United States. Our intent is to meet our domestic liquidity needs through ongoing cash flows, external borrowings, or both. We utilize a variety of tax planning strategies in an effort to ensure that our worldwide cash is available in the locations in which it is needed.</w:t>
      </w:r>
    </w:p>
    <w:p>
      <w:pPr>
        <w:spacing w:after="0" w:line="1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September 30, 2016, we had $3.5 million, $20.6 million, $5.5 million, $15.3 million and $3.2 million of cash and cash equivalents in the United States, the People's Republic of China ("PRC"), Asia (excluding the PRC), Europe, and South America, respectively. On December 31, 2015, we had $8.5 million, $28.7 million, $5.3 million, $8.1 million, and $2.4 million of cash and cash equivalents in the United States, the PRC, Asia (excluding the PRC), Europe and South America, respectively. We attempt to mitigate our exposure to liquidity, credit and other relevant risks by placing our cash and cash equivalents with financial institutions we believe are high quality.</w:t>
      </w:r>
    </w:p>
    <w:p>
      <w:pPr>
        <w:spacing w:after="0" w:line="13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September 16, 2016, we extended the term of our Amended and Restated Credit Agreement ("Amended Credit Agreement") with U.S. Bank National Association ("U.S. Bank") to November 1, 2018. The Amended Credit Agreement provides for an $85.0 million line of credit ("Credit Line") that may be used for working capital and other general corporate purposes including acquisitions, share repurchases and capital expenditures. Amounts available for borrowing under the Credit Line are reduced by the balance of any outstanding letters of credit, of which there were $13 thousand at September 30, 2016.</w:t>
      </w:r>
    </w:p>
    <w:p>
      <w:pPr>
        <w:spacing w:after="0" w:line="1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obligations under the Credit Line are secured by substantially all of our U.S. personal property and tangible and intangible assets as well as 65% of our ownership interest in Enson Assets Limited, our wholly-owned subsidiary which controls our manufacturing factories in the PRC.</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Amended Credit Agreement, we may elect to pay interest on the Credit Line based on LIBOR plus an applicable margin (varying from 1.25% to 1.75%) or base rate (based on the prime rate of U.S. Bank or as otherwise specified in the Amended Credit Agreement) plus an applicable margin (varying from 0.00% to 0.50%). The applicable margins are calculated quarterly and vary based on our cash flow leverage ratio as set forth in the Amended Credit Agreement. The interest rate in effect at September 30, 2016 was 1.77%. There are no commitment fees or unused line fees under the Amended Credit Agreement.</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Amended Credit Agreement includes financial covenants requiring a minimum fixed charge coverage ratio and a maximum cash flow leverage ratio. In addition, the Amended Credit Agreement also contains other customary affirmative and negative covenants and events of default. As of September 30, 2016, we were in compliance with the covenants and conditions of the Amended Credit Agreement.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2016, we had an outstanding balance of $35.0 million on our Credit Line.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do not participate in any material off 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Financial Condition and Future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Forward-Looking Statements</w:t>
      </w:r>
    </w:p>
    <w:p>
      <w:pPr>
        <w:spacing w:after="0" w:line="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caution that the following important factors, among others (including but not limited to factors discussed in "Management's Discussion and Analysis of Financial Condition and Results of Operations," as well as those discussed in our 2015 Annual Report on Form 10-K, or in our other reports filed from time to time with the Securities and Exchange Commission), may affect our actual results and may contribute to or cause our actual consolidated results to differ materially from those expressed in any of our forward-looking statements. The factors included here are not exhaustive. Further, any forward-looking statement speaks only as of the date on which such statement is made, and we undertake no obligation to update any forward-looking statement to reflect events or circumstances after the date on which such statement is made or to reflect the occurrence of unanticipated events. New factors emerge from time to time, and it is not possible for management to predict all such factors, nor can we assess the impact of each such factor on the business or the extent to which any factor, or combination of factors, may cause actual results to differ materially from those contained in any forward-looking statement. Therefore, forward-looking statements should not be relied upon as a prediction of actual future results.</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14" w:right="2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While we believe that the forward-looking statements made in this report are based on reasonable assumptions, the actual outcome of such statements is subject to a number of risks and uncertainties, including the significant percentage of our revenue attributable to a limited number of customers; the failure of our markets to continue growing and expanding in the manner we anticipated; the failure of our customers to grow and expand as we anticipated; the effects of natural or other events beyond our control, including the effects political unrest, war or terrorist activities may have on us or the economy; the economic environment's effect on us or our customers; the growth of, acceptance of and the demand for our products and technologies in various markets and geographical regions, including cable, satellite, consumer electronics, retail, and digital media and interactive technology; our successful integration of the Ecolink assets and business lines; our inability to add profitable complementary products which are accepted by the marketplace; our inability to attract and retain a quality workforce at adequate levels in all regions of the world, and particularly Asia; our inability to continue to maintain our operating costs at acceptable levels through our cost containment efforts; an unfavorable ruling in any or all of the litigation matters to which we are party; our inability to continue selling our products or licensing our technologies at higher or profitable margins; our inability to obtain orders or maintain our order volume with new and existing customers; our inability to develop new and innovative technologies and products that are accepted by our customers; the sale of our Guangzhou facility not occurring as or within the time frame anticipated by management; our inability to successfully and profitably restructure our manufacturing facilities and activities; possible dilutive effect our stock incentive programs may have on our earnings per share and stock price; the continued ability to identify and execute on opportunities that maximize stockholder value, including the effects repurchasing the company's shares have on the company's stock value; our inability to continue to obtain adequate quantities of component parts or secure adequate factory production capacity on a timely basis; and other factors listed from time to time in our press releases and filings with the Securities and Exchange Commission.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exposed to interest rate risk related to our debt. From time to time we borrow amounts on our Credit Line for working capital and other liquidity needs. Under the Amended Credit Agreement that became effective on October 2, 2012, we may elect to pay interest on outstanding borrowings on our Credit Line based on LIBOR or a base rate (based on the prime rate of U.S. Bank) plus an applicable margin as defined in the Amended Credit Agreement. Accordingly, changes in interest rates would impact our results of operations in future periods. A 100 basis point increase in interest rates would have an approximately $0.2 million annual impact on net income based on our outstanding line of credit balance at September 30, 2016.</w:t>
      </w:r>
    </w:p>
    <w:p>
      <w:pPr>
        <w:spacing w:after="0" w:line="1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cannot make any assurances that we will not need to borrow additional amounts in the future or that funds will be extended to us under comparable terms or at all. If funding is not available to us at a time when we need to borrow, we would have to use our cash reserves, including potentially repatriating cash from foreign jurisdictions, which may have a material adverse effect on our operating results, financial position and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9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At September 30, 2016 we had wholly-owned subsidiaries in Argentina, Brazil, Cayman Islands, France, Germany, Hong Kong, India, Italy, Japan, Mexico, the Netherlands, the PRC, Singapore, Spain and the United Kingdom. We are exposed to foreign currency exchange rate risk inherent in our sales commitments, anticipated sales, anticipated purchases, operating expenses, assets and liabilities denominated in currencies other than the U.S. Dollar. The most significant foreign currencies to our operations are the Chinese Yuan Renminbi, Euro, British Pound, Argentinian Peso, Mexican Peso, Brazilian Real, Indian Rupee and Japanese Yen. Our most significant foreign currency exposure is to the Chinese Yuan Renminbi as this is the functional currency of our China-based factories where the majority of our products are manufactured. If the Chinese Yuan Renminbi were to strengthen against the U.S. Dollar, our manufacturing costs would increase. We are generally a net payor of the Euro, Mexican Peso, Indian Rupee and Japanese Yen and therefore benefit from a stronger U.S. Dollar and are adversely affected by a weaker U.S. Dollar relative to the foreign currency. For the British Pound, Argentinian Peso and Brazilian Real, we are generally a net receiver of the foreign currency and therefore benefit from a weaker U.S. Dollar and are adversely affected by a stronger U.S. Dollar relative to the foreign currency. Even where we are a net receiver, a weaker U.S. Dollar may adversely affect certain expense figures taken alone.</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enter into foreign currency exchange agreements to manage the foreign currency exchange rate risks inherent in our forecasted income and cash flows denominated in foreign currencies. The terms of these foreign currency exchange agreements normally last less than nine months. We recognize the gains and losses on these foreign currency contracts in the same period as the remeasurement losses and gains of the related foreign currency-denominated exposures.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 is difficult to estimate the impact of fluctuations on reported income, as it depends on the opening and closing rates,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 Alternatively, we may choose not to hedge the foreign currency risk associated with our foreign currency exposures, primarily if such exposure acts as a natural foreign currency hedge for other offsetting amounts denominated in the same currency or the currency is difficult or too expensive to hedge. We do not enter into any derivative transactions for speculative purposes.</w:t>
      </w:r>
    </w:p>
    <w:p>
      <w:pPr>
        <w:spacing w:after="0" w:line="13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sensitivity of earnings and cash flows to the variability in exchange rates is assessed by applying an approximate range of potential rate fluctuations to our assets, obligations and projected results of operations denominated in foreign currency with all other variables held constant. The analysis includes all of our foreign currency contracts offset by the underlying exposures. Based on our overall foreign currency rate exposure at September 30, 2016, we believe that movements in foreign currency rates may have a material effect on our financial position and results of operations. We estimate that if the exchange rates for the Chinese Yuan Renminbi, Euro, British Pound, Argentinian Peso, Mexican Peso, Brazilian Real and Indian Rupee relative to the U.S. Dollar fluctuate 10% from September 30, 2016, net income in the fourth quarter of 2016 would fluctuate by approximately $10.0 million.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Exchange Act Rule 13a-15(d)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Commission's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1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 executive and principal financial officers have concluded that our disclosure controls and procedures were effective, as of the end of the period covered by this report, to provide reasonable assurance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to allow timely decisions regarding required disclosures.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subject to lawsuits arising out of the conduct of our business. The discussion of our litigation matters contained in "Notes to Consolidated Financial Statements - Note 10"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The reader should carefully consider, in connection with the other information in this report, the factors discussed in "Part I, Item</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1A: Risk Factors" of the Company's 2015 Annual Report on Form 10-K incorporated herein by reference. These factors may cause our actual results to differ materially from those stated in forward-looking statements contained in this document and elsewhere.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the three months ended September 30, 2016, we repurchased 3,202 shares of our issued and outstanding common stock for $0.2 million. We make stock repurchases under ongoing and systematic programs approved by our Board of Directors to manage the dilution created by shares issued under our stock incentive plans or when we deem a repurchase is a good use of our cash and the price to be paid is at or below a threshold approved by our Board from time to time. On September 30, 2016, we had 375,000 shares available for repurchase on the open market under the Board's authorizations. On November 2, 2016, our Board increased these repurchase authorizations by 125,000 shares bringing the total authorization as of the approval date to 500,000 shares. Shares may also be tendered by employees to satisfy tax withholding obligations in connection with the vesting of restricted stock.</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for the three months ended September 30, 2016, our total stock repurchases, average price paid per share and the maximum number of shares that may yet be purchased on the open market under our plans or programs: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 Average</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 Shares</w:t>
            </w: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as Part of Publicly</w:t>
            </w: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 Plans or</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 xml:space="preserve">Shares Purchased </w:t>
            </w:r>
            <w:r>
              <w:rPr>
                <w:rFonts w:ascii="Arial" w:cs="Arial" w:eastAsia="Arial" w:hAnsi="Arial"/>
                <w:sz w:val="8"/>
                <w:szCs w:val="8"/>
                <w:b w:val="1"/>
                <w:bCs w:val="1"/>
                <w:color w:val="auto"/>
                <w:w w:val="95"/>
              </w:rPr>
              <w:t>(1)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4"/>
              </w:rPr>
              <w:t xml:space="preserve">per Share </w:t>
            </w:r>
            <w:r>
              <w:rPr>
                <w:rFonts w:ascii="Arial" w:cs="Arial" w:eastAsia="Arial" w:hAnsi="Arial"/>
                <w:sz w:val="8"/>
                <w:szCs w:val="8"/>
                <w:b w:val="1"/>
                <w:bCs w:val="1"/>
                <w:color w:val="auto"/>
                <w:w w:val="94"/>
              </w:rPr>
              <w:t>(2)</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 xml:space="preserve">Programs </w:t>
            </w:r>
            <w:r>
              <w:rPr>
                <w:rFonts w:ascii="Arial" w:cs="Arial" w:eastAsia="Arial" w:hAnsi="Arial"/>
                <w:sz w:val="8"/>
                <w:szCs w:val="8"/>
                <w:b w:val="1"/>
                <w:bCs w:val="1"/>
                <w:color w:val="auto"/>
                <w:w w:val="93"/>
              </w:rPr>
              <w:t>(3)</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July 1, 2016 - July 31, 2016</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375,000</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August 1, 2016 - August 31, 2016</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2,603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8"/>
              <w:spacing w:after="0"/>
              <w:rPr>
                <w:sz w:val="20"/>
                <w:szCs w:val="20"/>
                <w:color w:val="auto"/>
              </w:rPr>
            </w:pPr>
            <w:r>
              <w:rPr>
                <w:rFonts w:ascii="Arial" w:cs="Arial" w:eastAsia="Arial" w:hAnsi="Arial"/>
                <w:sz w:val="18"/>
                <w:szCs w:val="18"/>
                <w:color w:val="auto"/>
              </w:rPr>
              <w:t>76.41</w:t>
            </w:r>
          </w:p>
        </w:tc>
        <w:tc>
          <w:tcPr>
            <w:tcW w:w="100" w:type="dxa"/>
            <w:vAlign w:val="bottom"/>
          </w:tcPr>
          <w:p>
            <w:pPr>
              <w:spacing w:after="0"/>
              <w:rPr>
                <w:sz w:val="21"/>
                <w:szCs w:val="21"/>
                <w:color w:val="auto"/>
              </w:rPr>
            </w:pPr>
          </w:p>
        </w:tc>
        <w:tc>
          <w:tcPr>
            <w:tcW w:w="1940" w:type="dxa"/>
            <w:vAlign w:val="bottom"/>
          </w:tcPr>
          <w:p>
            <w:pPr>
              <w:ind w:left="166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28"/>
              <w:spacing w:after="0"/>
              <w:rPr>
                <w:sz w:val="20"/>
                <w:szCs w:val="20"/>
                <w:color w:val="auto"/>
              </w:rPr>
            </w:pPr>
            <w:r>
              <w:rPr>
                <w:rFonts w:ascii="Arial" w:cs="Arial" w:eastAsia="Arial" w:hAnsi="Arial"/>
                <w:sz w:val="18"/>
                <w:szCs w:val="18"/>
                <w:color w:val="auto"/>
              </w:rPr>
              <w:t>375,000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1, 2016 - September 30, 2016</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599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75.12</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375,000</w:t>
            </w:r>
          </w:p>
        </w:tc>
        <w:tc>
          <w:tcPr>
            <w:tcW w:w="0" w:type="dxa"/>
            <w:vAlign w:val="bottom"/>
          </w:tcPr>
          <w:p>
            <w:pPr>
              <w:spacing w:after="0"/>
              <w:rPr>
                <w:sz w:val="1"/>
                <w:szCs w:val="1"/>
                <w:color w:val="auto"/>
              </w:rPr>
            </w:pPr>
          </w:p>
        </w:tc>
      </w:tr>
      <w:tr>
        <w:trPr>
          <w:trHeight w:val="257"/>
        </w:trPr>
        <w:tc>
          <w:tcPr>
            <w:tcW w:w="424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3,202</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8"/>
              <w:spacing w:after="0"/>
              <w:rPr>
                <w:sz w:val="20"/>
                <w:szCs w:val="20"/>
                <w:color w:val="auto"/>
              </w:rPr>
            </w:pPr>
            <w:r>
              <w:rPr>
                <w:rFonts w:ascii="Arial" w:cs="Arial" w:eastAsia="Arial" w:hAnsi="Arial"/>
                <w:sz w:val="18"/>
                <w:szCs w:val="18"/>
                <w:color w:val="auto"/>
              </w:rPr>
              <w:t>76.16</w:t>
            </w:r>
          </w:p>
        </w:tc>
        <w:tc>
          <w:tcPr>
            <w:tcW w:w="100" w:type="dxa"/>
            <w:vAlign w:val="bottom"/>
          </w:tcPr>
          <w:p>
            <w:pPr>
              <w:spacing w:after="0"/>
              <w:rPr>
                <w:sz w:val="22"/>
                <w:szCs w:val="22"/>
                <w:color w:val="auto"/>
              </w:rPr>
            </w:pPr>
          </w:p>
        </w:tc>
        <w:tc>
          <w:tcPr>
            <w:tcW w:w="1940" w:type="dxa"/>
            <w:vAlign w:val="bottom"/>
            <w:tcBorders>
              <w:top w:val="single" w:sz="8" w:color="auto"/>
              <w:bottom w:val="single" w:sz="8" w:color="auto"/>
            </w:tcBorders>
          </w:tcPr>
          <w:p>
            <w:pPr>
              <w:ind w:left="166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28"/>
              <w:spacing w:after="0"/>
              <w:rPr>
                <w:sz w:val="20"/>
                <w:szCs w:val="20"/>
                <w:color w:val="auto"/>
              </w:rPr>
            </w:pPr>
            <w:r>
              <w:rPr>
                <w:rFonts w:ascii="Arial" w:cs="Arial" w:eastAsia="Arial" w:hAnsi="Arial"/>
                <w:sz w:val="18"/>
                <w:szCs w:val="18"/>
                <w:color w:val="auto"/>
              </w:rPr>
              <w:t>375,000</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line="216" w:lineRule="auto"/>
        <w:tabs>
          <w:tab w:leader="none" w:pos="66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Of the repurchases in August and September, 2,603 and 599 shares, respectively, represent common shares of the Company that were owned and tendered by employees to satisfy tax withholding obligations in connection with the vesting of restricted shares.</w:t>
      </w:r>
    </w:p>
    <w:p>
      <w:pPr>
        <w:spacing w:after="0" w:line="95" w:lineRule="exact"/>
        <w:rPr>
          <w:rFonts w:ascii="Arial" w:cs="Arial" w:eastAsia="Arial" w:hAnsi="Arial"/>
          <w:sz w:val="25"/>
          <w:szCs w:val="25"/>
          <w:color w:val="auto"/>
          <w:vertAlign w:val="superscript"/>
        </w:rPr>
      </w:pPr>
    </w:p>
    <w:p>
      <w:pPr>
        <w:ind w:left="660" w:right="20" w:hanging="328"/>
        <w:spacing w:after="0" w:line="216" w:lineRule="auto"/>
        <w:tabs>
          <w:tab w:leader="none" w:pos="66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For shares tendered in connection with the vesting of restricted shares, the average price paid per share is an average calculated using the daily high and low of the Company's common stock at the time of vesting.</w:t>
      </w:r>
    </w:p>
    <w:p>
      <w:pPr>
        <w:spacing w:after="0" w:line="95" w:lineRule="exact"/>
        <w:rPr>
          <w:rFonts w:ascii="Arial" w:cs="Arial" w:eastAsia="Arial" w:hAnsi="Arial"/>
          <w:sz w:val="25"/>
          <w:szCs w:val="25"/>
          <w:color w:val="auto"/>
          <w:vertAlign w:val="superscript"/>
        </w:rPr>
      </w:pPr>
    </w:p>
    <w:p>
      <w:pPr>
        <w:ind w:left="660" w:hanging="328"/>
        <w:spacing w:after="0" w:line="216" w:lineRule="auto"/>
        <w:tabs>
          <w:tab w:leader="none" w:pos="66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The Company may purchase shares from time to time in open market purchases or privately negotiated transactions. The Company may make all or part of the purchases pursuant to accelerated share repurchases or Rule 10b5-1 plans.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18" w:right="2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91"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860" w:type="dxa"/>
            <w:vAlign w:val="bottom"/>
          </w:tcPr>
          <w:p>
            <w:pPr>
              <w:jc w:val="right"/>
              <w:ind w:right="450"/>
              <w:spacing w:after="0"/>
              <w:rPr>
                <w:sz w:val="20"/>
                <w:szCs w:val="20"/>
                <w:color w:val="auto"/>
              </w:rPr>
            </w:pPr>
            <w:r>
              <w:rPr>
                <w:rFonts w:ascii="Arial" w:cs="Arial" w:eastAsia="Arial" w:hAnsi="Arial"/>
                <w:sz w:val="18"/>
                <w:szCs w:val="18"/>
                <w:color w:val="auto"/>
                <w:w w:val="85"/>
              </w:rPr>
              <w:t>10.1</w:t>
            </w:r>
          </w:p>
        </w:tc>
        <w:tc>
          <w:tcPr>
            <w:tcW w:w="9940" w:type="dxa"/>
            <w:vAlign w:val="bottom"/>
          </w:tcPr>
          <w:p>
            <w:pPr>
              <w:ind w:left="560"/>
              <w:spacing w:after="0"/>
              <w:rPr>
                <w:sz w:val="20"/>
                <w:szCs w:val="20"/>
                <w:color w:val="auto"/>
              </w:rPr>
            </w:pPr>
            <w:r>
              <w:rPr>
                <w:rFonts w:ascii="Arial" w:cs="Arial" w:eastAsia="Arial" w:hAnsi="Arial"/>
                <w:sz w:val="18"/>
                <w:szCs w:val="18"/>
                <w:color w:val="auto"/>
                <w:w w:val="90"/>
              </w:rPr>
              <w:t>Fifth Amendment to Amended and Restated Credit Agreement dated September 16, 2016 between Universal Electronics Inc. and</w:t>
            </w:r>
          </w:p>
        </w:tc>
      </w:tr>
      <w:tr>
        <w:trPr>
          <w:trHeight w:val="230"/>
        </w:trPr>
        <w:tc>
          <w:tcPr>
            <w:tcW w:w="860" w:type="dxa"/>
            <w:vAlign w:val="bottom"/>
          </w:tcPr>
          <w:p>
            <w:pPr>
              <w:spacing w:after="0"/>
              <w:rPr>
                <w:sz w:val="20"/>
                <w:szCs w:val="20"/>
                <w:color w:val="auto"/>
              </w:rPr>
            </w:pPr>
          </w:p>
        </w:tc>
        <w:tc>
          <w:tcPr>
            <w:tcW w:w="9940" w:type="dxa"/>
            <w:vAlign w:val="bottom"/>
          </w:tcPr>
          <w:p>
            <w:pPr>
              <w:ind w:left="560"/>
              <w:spacing w:after="0"/>
              <w:rPr>
                <w:sz w:val="20"/>
                <w:szCs w:val="20"/>
                <w:color w:val="auto"/>
              </w:rPr>
            </w:pPr>
            <w:r>
              <w:rPr>
                <w:rFonts w:ascii="Arial" w:cs="Arial" w:eastAsia="Arial" w:hAnsi="Arial"/>
                <w:sz w:val="18"/>
                <w:szCs w:val="18"/>
                <w:color w:val="auto"/>
              </w:rPr>
              <w:t>U.S. National Association (filed herewith)</w:t>
            </w:r>
          </w:p>
        </w:tc>
      </w:tr>
      <w:tr>
        <w:trPr>
          <w:trHeight w:val="392"/>
        </w:trPr>
        <w:tc>
          <w:tcPr>
            <w:tcW w:w="860" w:type="dxa"/>
            <w:vAlign w:val="bottom"/>
          </w:tcPr>
          <w:p>
            <w:pPr>
              <w:jc w:val="right"/>
              <w:ind w:right="450"/>
              <w:spacing w:after="0"/>
              <w:rPr>
                <w:sz w:val="20"/>
                <w:szCs w:val="20"/>
                <w:color w:val="auto"/>
              </w:rPr>
            </w:pPr>
            <w:r>
              <w:rPr>
                <w:rFonts w:ascii="Arial" w:cs="Arial" w:eastAsia="Arial" w:hAnsi="Arial"/>
                <w:sz w:val="18"/>
                <w:szCs w:val="18"/>
                <w:color w:val="auto"/>
                <w:w w:val="85"/>
              </w:rPr>
              <w:t>10.2</w:t>
            </w:r>
          </w:p>
        </w:tc>
        <w:tc>
          <w:tcPr>
            <w:tcW w:w="9940" w:type="dxa"/>
            <w:vAlign w:val="bottom"/>
          </w:tcPr>
          <w:p>
            <w:pPr>
              <w:ind w:left="560"/>
              <w:spacing w:after="0"/>
              <w:rPr>
                <w:sz w:val="20"/>
                <w:szCs w:val="20"/>
                <w:color w:val="auto"/>
              </w:rPr>
            </w:pPr>
            <w:r>
              <w:rPr>
                <w:rFonts w:ascii="Arial" w:cs="Arial" w:eastAsia="Arial" w:hAnsi="Arial"/>
                <w:sz w:val="18"/>
                <w:szCs w:val="18"/>
                <w:color w:val="auto"/>
              </w:rPr>
              <w:t>Equity Transfer Agreement with Respect to Panyu Gemstar Project (filed herewith)</w:t>
            </w:r>
          </w:p>
        </w:tc>
      </w:tr>
      <w:tr>
        <w:trPr>
          <w:trHeight w:val="377"/>
        </w:trPr>
        <w:tc>
          <w:tcPr>
            <w:tcW w:w="860" w:type="dxa"/>
            <w:vAlign w:val="bottom"/>
          </w:tcPr>
          <w:p>
            <w:pPr>
              <w:jc w:val="right"/>
              <w:ind w:right="450"/>
              <w:spacing w:after="0"/>
              <w:rPr>
                <w:sz w:val="20"/>
                <w:szCs w:val="20"/>
                <w:color w:val="auto"/>
              </w:rPr>
            </w:pPr>
            <w:r>
              <w:rPr>
                <w:rFonts w:ascii="Arial" w:cs="Arial" w:eastAsia="Arial" w:hAnsi="Arial"/>
                <w:sz w:val="18"/>
                <w:szCs w:val="18"/>
                <w:color w:val="auto"/>
                <w:w w:val="85"/>
              </w:rPr>
              <w:t>31.1</w:t>
            </w:r>
          </w:p>
        </w:tc>
        <w:tc>
          <w:tcPr>
            <w:tcW w:w="9940" w:type="dxa"/>
            <w:vAlign w:val="bottom"/>
          </w:tcPr>
          <w:p>
            <w:pPr>
              <w:ind w:left="560"/>
              <w:spacing w:after="0"/>
              <w:rPr>
                <w:sz w:val="20"/>
                <w:szCs w:val="20"/>
                <w:color w:val="auto"/>
              </w:rPr>
            </w:pPr>
            <w:r>
              <w:rPr>
                <w:rFonts w:ascii="Arial" w:cs="Arial" w:eastAsia="Arial" w:hAnsi="Arial"/>
                <w:sz w:val="18"/>
                <w:szCs w:val="18"/>
                <w:color w:val="auto"/>
                <w:w w:val="96"/>
              </w:rPr>
              <w:t>Rule 13a-14(a) Certifications of Paul D. Arling, Chief Executive Officer (principal executive officer) of Universal Electronics</w:t>
            </w:r>
          </w:p>
        </w:tc>
      </w:tr>
      <w:tr>
        <w:trPr>
          <w:trHeight w:val="230"/>
        </w:trPr>
        <w:tc>
          <w:tcPr>
            <w:tcW w:w="860" w:type="dxa"/>
            <w:vAlign w:val="bottom"/>
          </w:tcPr>
          <w:p>
            <w:pPr>
              <w:spacing w:after="0"/>
              <w:rPr>
                <w:sz w:val="20"/>
                <w:szCs w:val="20"/>
                <w:color w:val="auto"/>
              </w:rPr>
            </w:pPr>
          </w:p>
        </w:tc>
        <w:tc>
          <w:tcPr>
            <w:tcW w:w="9940" w:type="dxa"/>
            <w:vAlign w:val="bottom"/>
          </w:tcPr>
          <w:p>
            <w:pPr>
              <w:ind w:left="560"/>
              <w:spacing w:after="0"/>
              <w:rPr>
                <w:sz w:val="20"/>
                <w:szCs w:val="20"/>
                <w:color w:val="auto"/>
              </w:rPr>
            </w:pPr>
            <w:r>
              <w:rPr>
                <w:rFonts w:ascii="Arial" w:cs="Arial" w:eastAsia="Arial" w:hAnsi="Arial"/>
                <w:sz w:val="18"/>
                <w:szCs w:val="18"/>
                <w:color w:val="auto"/>
              </w:rPr>
              <w:t>Inc.</w:t>
            </w:r>
          </w:p>
        </w:tc>
      </w:tr>
      <w:tr>
        <w:trPr>
          <w:trHeight w:val="377"/>
        </w:trPr>
        <w:tc>
          <w:tcPr>
            <w:tcW w:w="860" w:type="dxa"/>
            <w:vAlign w:val="bottom"/>
          </w:tcPr>
          <w:p>
            <w:pPr>
              <w:jc w:val="right"/>
              <w:ind w:right="450"/>
              <w:spacing w:after="0"/>
              <w:rPr>
                <w:sz w:val="20"/>
                <w:szCs w:val="20"/>
                <w:color w:val="auto"/>
              </w:rPr>
            </w:pPr>
            <w:r>
              <w:rPr>
                <w:rFonts w:ascii="Arial" w:cs="Arial" w:eastAsia="Arial" w:hAnsi="Arial"/>
                <w:sz w:val="18"/>
                <w:szCs w:val="18"/>
                <w:color w:val="auto"/>
                <w:w w:val="85"/>
              </w:rPr>
              <w:t>31.2</w:t>
            </w:r>
          </w:p>
        </w:tc>
        <w:tc>
          <w:tcPr>
            <w:tcW w:w="9940" w:type="dxa"/>
            <w:vAlign w:val="bottom"/>
          </w:tcPr>
          <w:p>
            <w:pPr>
              <w:ind w:left="560"/>
              <w:spacing w:after="0"/>
              <w:rPr>
                <w:sz w:val="20"/>
                <w:szCs w:val="20"/>
                <w:color w:val="auto"/>
              </w:rPr>
            </w:pPr>
            <w:r>
              <w:rPr>
                <w:rFonts w:ascii="Arial" w:cs="Arial" w:eastAsia="Arial" w:hAnsi="Arial"/>
                <w:sz w:val="18"/>
                <w:szCs w:val="18"/>
                <w:color w:val="auto"/>
              </w:rPr>
              <w:t>Rule 13a-14(a) Certifications of Bryan M. Hackworth, Chief Financial Officer (principal financial officer and principal</w:t>
            </w:r>
          </w:p>
        </w:tc>
      </w:tr>
      <w:tr>
        <w:trPr>
          <w:trHeight w:val="230"/>
        </w:trPr>
        <w:tc>
          <w:tcPr>
            <w:tcW w:w="860" w:type="dxa"/>
            <w:vAlign w:val="bottom"/>
          </w:tcPr>
          <w:p>
            <w:pPr>
              <w:spacing w:after="0"/>
              <w:rPr>
                <w:sz w:val="20"/>
                <w:szCs w:val="20"/>
                <w:color w:val="auto"/>
              </w:rPr>
            </w:pPr>
          </w:p>
        </w:tc>
        <w:tc>
          <w:tcPr>
            <w:tcW w:w="9940" w:type="dxa"/>
            <w:vAlign w:val="bottom"/>
          </w:tcPr>
          <w:p>
            <w:pPr>
              <w:ind w:left="560"/>
              <w:spacing w:after="0"/>
              <w:rPr>
                <w:sz w:val="20"/>
                <w:szCs w:val="20"/>
                <w:color w:val="auto"/>
              </w:rPr>
            </w:pPr>
            <w:r>
              <w:rPr>
                <w:rFonts w:ascii="Arial" w:cs="Arial" w:eastAsia="Arial" w:hAnsi="Arial"/>
                <w:sz w:val="18"/>
                <w:szCs w:val="18"/>
                <w:color w:val="auto"/>
              </w:rPr>
              <w:t>accounting officer) of Universal Electronics Inc.</w:t>
            </w:r>
          </w:p>
        </w:tc>
      </w:tr>
    </w:tbl>
    <w:p>
      <w:pPr>
        <w:spacing w:after="0" w:line="161" w:lineRule="exact"/>
        <w:rPr>
          <w:sz w:val="20"/>
          <w:szCs w:val="20"/>
          <w:color w:val="auto"/>
        </w:rPr>
      </w:pPr>
    </w:p>
    <w:p>
      <w:pPr>
        <w:jc w:val="both"/>
        <w:ind w:left="1800" w:hanging="1414"/>
        <w:spacing w:after="0" w:line="264"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Section 1350 Certifications of Paul D. Arling, Chief Executive Officer (principal executive officer) of Universal Electronics Inc., and Bryan M. Hackworth, Chief Financial Officer (principal financial officer and principal accounting officer) of Universal Electronics Inc. pursuant to 18 U.S.C. Section 1350</w:t>
      </w:r>
    </w:p>
    <w:p>
      <w:pPr>
        <w:spacing w:after="0" w:line="141"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4860" w:type="dxa"/>
            <w:vAlign w:val="bottom"/>
          </w:tcPr>
          <w:p>
            <w:pPr>
              <w:ind w:left="380"/>
              <w:spacing w:after="0"/>
              <w:rPr>
                <w:sz w:val="20"/>
                <w:szCs w:val="20"/>
                <w:color w:val="auto"/>
              </w:rPr>
            </w:pPr>
            <w:r>
              <w:rPr>
                <w:rFonts w:ascii="Arial" w:cs="Arial" w:eastAsia="Arial" w:hAnsi="Arial"/>
                <w:sz w:val="18"/>
                <w:szCs w:val="18"/>
                <w:color w:val="auto"/>
              </w:rPr>
              <w:t>XBRL Instance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4860" w:type="dxa"/>
            <w:vAlign w:val="bottom"/>
          </w:tcPr>
          <w:p>
            <w:pPr>
              <w:ind w:left="38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4860" w:type="dxa"/>
            <w:vAlign w:val="bottom"/>
          </w:tcPr>
          <w:p>
            <w:pPr>
              <w:ind w:left="38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4860" w:type="dxa"/>
            <w:vAlign w:val="bottom"/>
          </w:tcPr>
          <w:p>
            <w:pPr>
              <w:ind w:left="38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4860" w:type="dxa"/>
            <w:vAlign w:val="bottom"/>
          </w:tcPr>
          <w:p>
            <w:pPr>
              <w:ind w:left="380"/>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4860" w:type="dxa"/>
            <w:vAlign w:val="bottom"/>
          </w:tcPr>
          <w:p>
            <w:pPr>
              <w:ind w:left="380"/>
              <w:spacing w:after="0"/>
              <w:rPr>
                <w:sz w:val="20"/>
                <w:szCs w:val="20"/>
                <w:color w:val="auto"/>
              </w:rPr>
            </w:pPr>
            <w:r>
              <w:rPr>
                <w:rFonts w:ascii="Arial" w:cs="Arial" w:eastAsia="Arial" w:hAnsi="Arial"/>
                <w:sz w:val="18"/>
                <w:szCs w:val="18"/>
                <w:color w:val="auto"/>
                <w:w w:val="90"/>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80"/>
          </w:cols>
          <w:pgMar w:left="240" w:top="118" w:right="47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r>
              <w:rPr>
                <w:rFonts w:ascii="Arial" w:cs="Arial" w:eastAsia="Arial" w:hAnsi="Arial"/>
                <w:sz w:val="18"/>
                <w:szCs w:val="18"/>
                <w:color w:val="auto"/>
                <w:w w:val="91"/>
              </w:rPr>
              <w:t>Dated:November 8, 2016</w:t>
            </w:r>
          </w:p>
        </w:tc>
        <w:tc>
          <w:tcPr>
            <w:tcW w:w="7520" w:type="dxa"/>
            <w:vAlign w:val="bottom"/>
            <w:gridSpan w:val="2"/>
          </w:tcPr>
          <w:p>
            <w:pPr>
              <w:ind w:left="1760"/>
              <w:spacing w:after="0"/>
              <w:rPr>
                <w:sz w:val="20"/>
                <w:szCs w:val="20"/>
                <w:color w:val="auto"/>
              </w:rPr>
            </w:pPr>
            <w:r>
              <w:rPr>
                <w:rFonts w:ascii="Arial" w:cs="Arial" w:eastAsia="Arial" w:hAnsi="Arial"/>
                <w:sz w:val="18"/>
                <w:szCs w:val="18"/>
                <w:b w:val="1"/>
                <w:bCs w:val="1"/>
                <w:color w:val="auto"/>
              </w:rPr>
              <w:t>UNIVERSAL ELECTRONICS INC.</w:t>
            </w:r>
          </w:p>
        </w:tc>
      </w:tr>
      <w:tr>
        <w:trPr>
          <w:trHeight w:val="392"/>
        </w:trPr>
        <w:tc>
          <w:tcPr>
            <w:tcW w:w="3860" w:type="dxa"/>
            <w:vAlign w:val="bottom"/>
          </w:tcPr>
          <w:p>
            <w:pPr>
              <w:spacing w:after="0"/>
              <w:rPr>
                <w:sz w:val="24"/>
                <w:szCs w:val="24"/>
                <w:color w:val="auto"/>
              </w:rPr>
            </w:pPr>
          </w:p>
        </w:tc>
        <w:tc>
          <w:tcPr>
            <w:tcW w:w="2380" w:type="dxa"/>
            <w:vAlign w:val="bottom"/>
          </w:tcPr>
          <w:p>
            <w:pPr>
              <w:ind w:left="1760"/>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Bryan M. Hackworth</w:t>
            </w:r>
          </w:p>
        </w:tc>
      </w:tr>
      <w:tr>
        <w:trPr>
          <w:trHeight w:val="27"/>
        </w:trPr>
        <w:tc>
          <w:tcPr>
            <w:tcW w:w="38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38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Bryan M. Hackworth</w:t>
            </w:r>
          </w:p>
        </w:tc>
      </w:tr>
      <w:tr>
        <w:trPr>
          <w:trHeight w:val="270"/>
        </w:trPr>
        <w:tc>
          <w:tcPr>
            <w:tcW w:w="386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Chief Financial Officer (principal financial officer</w:t>
            </w:r>
          </w:p>
        </w:tc>
      </w:tr>
      <w:tr>
        <w:trPr>
          <w:trHeight w:val="270"/>
        </w:trPr>
        <w:tc>
          <w:tcPr>
            <w:tcW w:w="386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and principal accounting officer)</w:t>
            </w:r>
          </w:p>
        </w:tc>
      </w:tr>
      <w:tr>
        <w:trPr>
          <w:trHeight w:val="864"/>
        </w:trPr>
        <w:tc>
          <w:tcPr>
            <w:tcW w:w="3860" w:type="dxa"/>
            <w:vAlign w:val="bottom"/>
          </w:tcPr>
          <w:p>
            <w:pPr>
              <w:spacing w:after="0"/>
              <w:rPr>
                <w:sz w:val="24"/>
                <w:szCs w:val="24"/>
                <w:color w:val="auto"/>
              </w:rPr>
            </w:pPr>
          </w:p>
        </w:tc>
        <w:tc>
          <w:tcPr>
            <w:tcW w:w="2380" w:type="dxa"/>
            <w:vAlign w:val="bottom"/>
          </w:tcPr>
          <w:p>
            <w:pPr>
              <w:ind w:left="1720"/>
              <w:spacing w:after="0"/>
              <w:rPr>
                <w:sz w:val="20"/>
                <w:szCs w:val="20"/>
                <w:color w:val="auto"/>
              </w:rPr>
            </w:pPr>
            <w:r>
              <w:rPr>
                <w:rFonts w:ascii="Arial" w:cs="Arial" w:eastAsia="Arial" w:hAnsi="Arial"/>
                <w:sz w:val="18"/>
                <w:szCs w:val="18"/>
                <w:color w:val="auto"/>
              </w:rPr>
              <w:t>38</w:t>
            </w:r>
          </w:p>
        </w:tc>
        <w:tc>
          <w:tcPr>
            <w:tcW w:w="514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3520"/>
              <w:spacing w:after="0"/>
              <w:rPr>
                <w:sz w:val="20"/>
                <w:szCs w:val="20"/>
                <w:color w:val="auto"/>
              </w:rPr>
            </w:pPr>
            <w:r>
              <w:rPr>
                <w:rFonts w:ascii="Arial" w:cs="Arial" w:eastAsia="Arial" w:hAnsi="Arial"/>
                <w:sz w:val="18"/>
                <w:szCs w:val="18"/>
                <w:b w:val="1"/>
                <w:bCs w:val="1"/>
                <w:color w:val="auto"/>
              </w:rPr>
              <w:t>EXHIBIT INDEX</w:t>
            </w:r>
          </w:p>
        </w:tc>
      </w:tr>
      <w:tr>
        <w:trPr>
          <w:trHeight w:val="588"/>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986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228"/>
        </w:trPr>
        <w:tc>
          <w:tcPr>
            <w:tcW w:w="1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98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1"/>
              </w:rPr>
              <w:t>Fifth Amendment to Amended and Restated Credit Agreement dated September 16, 2016 between Universal Electronics Inc. and U.S.</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20"/>
              <w:spacing w:after="0"/>
              <w:rPr>
                <w:sz w:val="20"/>
                <w:szCs w:val="20"/>
                <w:color w:val="auto"/>
              </w:rPr>
            </w:pPr>
            <w:r>
              <w:rPr>
                <w:rFonts w:ascii="Arial" w:cs="Arial" w:eastAsia="Arial" w:hAnsi="Arial"/>
                <w:sz w:val="18"/>
                <w:szCs w:val="18"/>
                <w:color w:val="auto"/>
              </w:rPr>
              <w:t>National Association (filed herewith)</w:t>
            </w:r>
          </w:p>
        </w:tc>
      </w:tr>
      <w:tr>
        <w:trPr>
          <w:trHeight w:val="392"/>
        </w:trPr>
        <w:tc>
          <w:tcPr>
            <w:tcW w:w="1380" w:type="dxa"/>
            <w:vAlign w:val="bottom"/>
          </w:tcPr>
          <w:p>
            <w:pPr>
              <w:ind w:left="4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9860" w:type="dxa"/>
            <w:vAlign w:val="bottom"/>
          </w:tcPr>
          <w:p>
            <w:pPr>
              <w:ind w:left="20"/>
              <w:spacing w:after="0"/>
              <w:rPr>
                <w:sz w:val="20"/>
                <w:szCs w:val="20"/>
                <w:color w:val="auto"/>
              </w:rPr>
            </w:pPr>
            <w:r>
              <w:rPr>
                <w:rFonts w:ascii="Arial" w:cs="Arial" w:eastAsia="Arial" w:hAnsi="Arial"/>
                <w:sz w:val="18"/>
                <w:szCs w:val="18"/>
                <w:color w:val="auto"/>
              </w:rPr>
              <w:t>Equity Transfer Agreement with Respect to Panyu Gemstar Project (filed herewith)</w:t>
            </w:r>
          </w:p>
        </w:tc>
      </w:tr>
      <w:tr>
        <w:trPr>
          <w:trHeight w:val="392"/>
        </w:trPr>
        <w:tc>
          <w:tcPr>
            <w:tcW w:w="1380" w:type="dxa"/>
            <w:vAlign w:val="bottom"/>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9860" w:type="dxa"/>
            <w:vAlign w:val="bottom"/>
          </w:tcPr>
          <w:p>
            <w:pPr>
              <w:ind w:left="20"/>
              <w:spacing w:after="0"/>
              <w:rPr>
                <w:sz w:val="20"/>
                <w:szCs w:val="20"/>
                <w:color w:val="auto"/>
              </w:rPr>
            </w:pPr>
            <w:r>
              <w:rPr>
                <w:rFonts w:ascii="Arial" w:cs="Arial" w:eastAsia="Arial" w:hAnsi="Arial"/>
                <w:sz w:val="18"/>
                <w:szCs w:val="18"/>
                <w:color w:val="auto"/>
                <w:w w:val="97"/>
              </w:rPr>
              <w:t>Rule 13a-14(a) Certifications of Paul D. Arling, Chief Executive Officer (principal executive officer) of Universal Electronics Inc.</w:t>
            </w:r>
          </w:p>
        </w:tc>
      </w:tr>
      <w:tr>
        <w:trPr>
          <w:trHeight w:val="377"/>
        </w:trPr>
        <w:tc>
          <w:tcPr>
            <w:tcW w:w="138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9860" w:type="dxa"/>
            <w:vAlign w:val="bottom"/>
          </w:tcPr>
          <w:p>
            <w:pPr>
              <w:ind w:left="20"/>
              <w:spacing w:after="0"/>
              <w:rPr>
                <w:sz w:val="20"/>
                <w:szCs w:val="20"/>
                <w:color w:val="auto"/>
              </w:rPr>
            </w:pPr>
            <w:r>
              <w:rPr>
                <w:rFonts w:ascii="Arial" w:cs="Arial" w:eastAsia="Arial" w:hAnsi="Arial"/>
                <w:sz w:val="18"/>
                <w:szCs w:val="18"/>
                <w:color w:val="auto"/>
                <w:w w:val="97"/>
              </w:rPr>
              <w:t>Rule 13a-14(a) Certifications of Bryan M. Hackworth, Chief Financial Officer (principal financial officer and principal accounting</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20"/>
              <w:spacing w:after="0"/>
              <w:rPr>
                <w:sz w:val="20"/>
                <w:szCs w:val="20"/>
                <w:color w:val="auto"/>
              </w:rPr>
            </w:pPr>
            <w:r>
              <w:rPr>
                <w:rFonts w:ascii="Arial" w:cs="Arial" w:eastAsia="Arial" w:hAnsi="Arial"/>
                <w:sz w:val="18"/>
                <w:szCs w:val="18"/>
                <w:color w:val="auto"/>
              </w:rPr>
              <w:t>officer) of Universal Electronics Inc.</w:t>
            </w:r>
          </w:p>
        </w:tc>
      </w:tr>
      <w:tr>
        <w:trPr>
          <w:trHeight w:val="377"/>
        </w:trPr>
        <w:tc>
          <w:tcPr>
            <w:tcW w:w="1380" w:type="dxa"/>
            <w:vAlign w:val="bottom"/>
          </w:tcPr>
          <w:p>
            <w:pPr>
              <w:ind w:left="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9860" w:type="dxa"/>
            <w:vAlign w:val="bottom"/>
          </w:tcPr>
          <w:p>
            <w:pPr>
              <w:ind w:left="20"/>
              <w:spacing w:after="0"/>
              <w:rPr>
                <w:sz w:val="20"/>
                <w:szCs w:val="20"/>
                <w:color w:val="auto"/>
              </w:rPr>
            </w:pPr>
            <w:r>
              <w:rPr>
                <w:rFonts w:ascii="Arial" w:cs="Arial" w:eastAsia="Arial" w:hAnsi="Arial"/>
                <w:sz w:val="18"/>
                <w:szCs w:val="18"/>
                <w:color w:val="auto"/>
                <w:w w:val="95"/>
              </w:rPr>
              <w:t>Section 1350 Certifications of Paul D. Arling, Chief Executive Officer (principal executive officer) of Universal Electronics Inc., and</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tcPr>
          <w:p>
            <w:pPr>
              <w:ind w:left="20"/>
              <w:spacing w:after="0"/>
              <w:rPr>
                <w:sz w:val="20"/>
                <w:szCs w:val="20"/>
                <w:color w:val="auto"/>
              </w:rPr>
            </w:pPr>
            <w:r>
              <w:rPr>
                <w:rFonts w:ascii="Arial" w:cs="Arial" w:eastAsia="Arial" w:hAnsi="Arial"/>
                <w:sz w:val="18"/>
                <w:szCs w:val="18"/>
                <w:color w:val="auto"/>
                <w:w w:val="94"/>
              </w:rPr>
              <w:t>Bryan M. Hackworth, Chief Financial Officer (principal financial officer and principal accounting officer) of Universal Electronics Inc.</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20"/>
              <w:spacing w:after="0"/>
              <w:rPr>
                <w:sz w:val="20"/>
                <w:szCs w:val="20"/>
                <w:color w:val="auto"/>
              </w:rPr>
            </w:pPr>
            <w:r>
              <w:rPr>
                <w:rFonts w:ascii="Arial" w:cs="Arial" w:eastAsia="Arial" w:hAnsi="Arial"/>
                <w:sz w:val="18"/>
                <w:szCs w:val="18"/>
                <w:color w:val="auto"/>
              </w:rPr>
              <w:t>pursuant to 18 U.S.C. Section 1350</w:t>
            </w: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9860" w:type="dxa"/>
            <w:vAlign w:val="bottom"/>
          </w:tcPr>
          <w:p>
            <w:pPr>
              <w:ind w:left="20"/>
              <w:spacing w:after="0"/>
              <w:rPr>
                <w:sz w:val="20"/>
                <w:szCs w:val="20"/>
                <w:color w:val="auto"/>
              </w:rPr>
            </w:pPr>
            <w:r>
              <w:rPr>
                <w:rFonts w:ascii="Arial" w:cs="Arial" w:eastAsia="Arial" w:hAnsi="Arial"/>
                <w:sz w:val="18"/>
                <w:szCs w:val="18"/>
                <w:color w:val="auto"/>
              </w:rPr>
              <w:t>XBRL Instance Document</w:t>
            </w: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986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986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986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9860" w:type="dxa"/>
            <w:vAlign w:val="bottom"/>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986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118" w:right="29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FIFTH 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CREDIT AGREEMENT</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Fifth Amendment to Amended and Restated Credit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September 19, 2016, is by and between UNIVERSAL ELECTRONICS INC., a corporation organized under the laws of the State of Delaware (the “</w:t>
      </w:r>
      <w:r>
        <w:rPr>
          <w:rFonts w:ascii="Arial" w:cs="Arial" w:eastAsia="Arial" w:hAnsi="Arial"/>
          <w:sz w:val="18"/>
          <w:szCs w:val="18"/>
          <w:u w:val="single" w:color="auto"/>
          <w:color w:val="auto"/>
        </w:rPr>
        <w:t>Borrower</w:t>
      </w:r>
      <w:r>
        <w:rPr>
          <w:rFonts w:ascii="Arial" w:cs="Arial" w:eastAsia="Arial" w:hAnsi="Arial"/>
          <w:sz w:val="18"/>
          <w:szCs w:val="18"/>
          <w:color w:val="auto"/>
        </w:rPr>
        <w:t>”), and U.S. BANK NATIONAL ASSOCIATION, a national banking association (the “</w:t>
      </w:r>
      <w:r>
        <w:rPr>
          <w:rFonts w:ascii="Arial" w:cs="Arial" w:eastAsia="Arial" w:hAnsi="Arial"/>
          <w:sz w:val="18"/>
          <w:szCs w:val="18"/>
          <w:u w:val="single" w:color="auto"/>
          <w:color w:val="auto"/>
        </w:rPr>
        <w:t>Lender</w:t>
      </w:r>
      <w:r>
        <w:rPr>
          <w:rFonts w:ascii="Arial" w:cs="Arial" w:eastAsia="Arial" w:hAnsi="Arial"/>
          <w:sz w:val="18"/>
          <w:szCs w:val="18"/>
          <w:color w:val="auto"/>
        </w:rPr>
        <w: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firstLine="656"/>
        <w:spacing w:after="0" w:line="257" w:lineRule="auto"/>
        <w:tabs>
          <w:tab w:leader="none" w:pos="103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Borrower and the Lender have entered into an Amended and Restated Credit Agreement dated as of October 2, 2012, as amended by the First Amendment to Amended and Restated Credit Agreement dated as of October 9, 2014, the Second Amendment to Amended and Restated Credit Agreement dated as of September 3, 2015, the Third Amendment to Amended and Restated Credit Agreement dated as of November 10, 2015 and the Fourth Amendment to Amended and Restated Credit Agreement dated as of February 3, 2016 (together, as amended, restated, supplemented, or otherwise modified prior to the date hereof,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w:t>
      </w:r>
    </w:p>
    <w:p>
      <w:pPr>
        <w:spacing w:after="0" w:line="188" w:lineRule="exact"/>
        <w:rPr>
          <w:sz w:val="20"/>
          <w:szCs w:val="20"/>
          <w:color w:val="auto"/>
        </w:rPr>
      </w:pPr>
    </w:p>
    <w:p>
      <w:pPr>
        <w:ind w:firstLine="656"/>
        <w:spacing w:after="0" w:line="277" w:lineRule="auto"/>
        <w:tabs>
          <w:tab w:leader="none" w:pos="100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Borrower has requested that the Lender make certain amendments to the Credit Agreement and the Lender is willing to do so, on the terms and subject to the conditions set forth herein.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in consideration of the mutual promises herein set forth and for other good and valuable consideration, the Borrower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Lender agree as follows:</w:t>
      </w:r>
    </w:p>
    <w:p>
      <w:pPr>
        <w:spacing w:after="0" w:line="234" w:lineRule="exact"/>
        <w:rPr>
          <w:sz w:val="20"/>
          <w:szCs w:val="20"/>
          <w:color w:val="auto"/>
        </w:rPr>
      </w:pPr>
    </w:p>
    <w:p>
      <w:pPr>
        <w:ind w:left="660" w:firstLine="648"/>
        <w:spacing w:after="0" w:line="329" w:lineRule="auto"/>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b w:val="1"/>
          <w:bCs w:val="1"/>
          <w:u w:val="single" w:color="auto"/>
          <w:color w:val="auto"/>
        </w:rPr>
        <w:t>Capitalized Terms</w:t>
      </w:r>
      <w:r>
        <w:rPr>
          <w:rFonts w:ascii="Arial" w:cs="Arial" w:eastAsia="Arial" w:hAnsi="Arial"/>
          <w:sz w:val="18"/>
          <w:szCs w:val="18"/>
          <w:color w:val="auto"/>
        </w:rPr>
        <w:t>. Capitalized terms used herein and not otherwise defined herein shall have the meanings</w:t>
      </w:r>
      <w:r>
        <w:rPr>
          <w:rFonts w:ascii="Arial" w:cs="Arial" w:eastAsia="Arial" w:hAnsi="Arial"/>
          <w:sz w:val="18"/>
          <w:szCs w:val="18"/>
          <w:b w:val="1"/>
          <w:bCs w:val="1"/>
          <w:color w:val="auto"/>
        </w:rPr>
        <w:t xml:space="preserve"> </w:t>
      </w:r>
      <w:r>
        <w:rPr>
          <w:rFonts w:ascii="Arial" w:cs="Arial" w:eastAsia="Arial" w:hAnsi="Arial"/>
          <w:sz w:val="18"/>
          <w:szCs w:val="18"/>
          <w:color w:val="auto"/>
        </w:rPr>
        <w:t>assigned to them in the Credit Agreement, unless the context shall otherwise require.</w:t>
      </w:r>
    </w:p>
    <w:p>
      <w:pPr>
        <w:spacing w:after="0" w:line="149"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1520" w:type="dxa"/>
            <w:vAlign w:val="bottom"/>
          </w:tcPr>
          <w:p>
            <w:pPr>
              <w:jc w:val="right"/>
              <w:ind w:right="690"/>
              <w:spacing w:after="0"/>
              <w:rPr>
                <w:sz w:val="20"/>
                <w:szCs w:val="20"/>
                <w:color w:val="auto"/>
              </w:rPr>
            </w:pPr>
            <w:r>
              <w:rPr>
                <w:rFonts w:ascii="Arial" w:cs="Arial" w:eastAsia="Arial" w:hAnsi="Arial"/>
                <w:sz w:val="18"/>
                <w:szCs w:val="18"/>
                <w:b w:val="1"/>
                <w:bCs w:val="1"/>
                <w:color w:val="auto"/>
                <w:w w:val="84"/>
              </w:rPr>
              <w:t>Section 2.</w:t>
            </w:r>
          </w:p>
        </w:tc>
        <w:tc>
          <w:tcPr>
            <w:tcW w:w="520" w:type="dxa"/>
            <w:vAlign w:val="bottom"/>
          </w:tcPr>
          <w:p>
            <w:pPr>
              <w:spacing w:after="0"/>
              <w:rPr>
                <w:sz w:val="17"/>
                <w:szCs w:val="17"/>
                <w:color w:val="auto"/>
              </w:rPr>
            </w:pPr>
          </w:p>
        </w:tc>
        <w:tc>
          <w:tcPr>
            <w:tcW w:w="808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Amendments. </w:t>
            </w:r>
            <w:r>
              <w:rPr>
                <w:rFonts w:ascii="Arial" w:cs="Arial" w:eastAsia="Arial" w:hAnsi="Arial"/>
                <w:sz w:val="18"/>
                <w:szCs w:val="18"/>
                <w:color w:val="auto"/>
              </w:rPr>
              <w:t>The Credit Agreement is hereby amended as follows:</w:t>
            </w:r>
          </w:p>
        </w:tc>
      </w:tr>
      <w:tr>
        <w:trPr>
          <w:trHeight w:val="20"/>
        </w:trPr>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561"/>
        </w:trPr>
        <w:tc>
          <w:tcPr>
            <w:tcW w:w="1520" w:type="dxa"/>
            <w:vAlign w:val="bottom"/>
          </w:tcPr>
          <w:p>
            <w:pPr>
              <w:jc w:val="right"/>
              <w:ind w:right="650"/>
              <w:spacing w:after="0"/>
              <w:rPr>
                <w:sz w:val="20"/>
                <w:szCs w:val="20"/>
                <w:color w:val="auto"/>
              </w:rPr>
            </w:pPr>
            <w:r>
              <w:rPr>
                <w:rFonts w:ascii="Arial" w:cs="Arial" w:eastAsia="Arial" w:hAnsi="Arial"/>
                <w:sz w:val="18"/>
                <w:szCs w:val="18"/>
                <w:b w:val="1"/>
                <w:bCs w:val="1"/>
                <w:color w:val="auto"/>
              </w:rPr>
              <w:t>2.1</w:t>
            </w:r>
          </w:p>
        </w:tc>
        <w:tc>
          <w:tcPr>
            <w:tcW w:w="8600" w:type="dxa"/>
            <w:vAlign w:val="bottom"/>
            <w:gridSpan w:val="5"/>
          </w:tcPr>
          <w:p>
            <w:pPr>
              <w:spacing w:after="0"/>
              <w:rPr>
                <w:sz w:val="20"/>
                <w:szCs w:val="20"/>
                <w:color w:val="auto"/>
              </w:rPr>
            </w:pPr>
            <w:r>
              <w:rPr>
                <w:rFonts w:ascii="Arial" w:cs="Arial" w:eastAsia="Arial" w:hAnsi="Arial"/>
                <w:sz w:val="18"/>
                <w:szCs w:val="18"/>
                <w:b w:val="1"/>
                <w:bCs w:val="1"/>
                <w:color w:val="auto"/>
                <w:w w:val="93"/>
              </w:rPr>
              <w:t>Definitions</w:t>
            </w:r>
            <w:r>
              <w:rPr>
                <w:rFonts w:ascii="Arial" w:cs="Arial" w:eastAsia="Arial" w:hAnsi="Arial"/>
                <w:sz w:val="18"/>
                <w:szCs w:val="18"/>
                <w:color w:val="auto"/>
                <w:w w:val="93"/>
              </w:rPr>
              <w:t>. Section 1.1 of the Credit Agreement is amended by amending and restating the definition of “Revolving</w:t>
            </w:r>
          </w:p>
        </w:tc>
      </w:tr>
      <w:tr>
        <w:trPr>
          <w:trHeight w:val="20"/>
        </w:trPr>
        <w:tc>
          <w:tcPr>
            <w:tcW w:w="15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bl>
    <w:p>
      <w:pPr>
        <w:spacing w:after="0" w:line="53" w:lineRule="exact"/>
        <w:rPr>
          <w:sz w:val="20"/>
          <w:szCs w:val="20"/>
          <w:color w:val="auto"/>
        </w:rPr>
      </w:pPr>
    </w:p>
    <w:p>
      <w:pPr>
        <w:ind w:left="1860"/>
        <w:spacing w:after="0"/>
        <w:rPr>
          <w:sz w:val="20"/>
          <w:szCs w:val="20"/>
          <w:color w:val="auto"/>
        </w:rPr>
      </w:pPr>
      <w:r>
        <w:rPr>
          <w:rFonts w:ascii="Arial" w:cs="Arial" w:eastAsia="Arial" w:hAnsi="Arial"/>
          <w:sz w:val="18"/>
          <w:szCs w:val="18"/>
          <w:u w:val="single" w:color="auto"/>
          <w:color w:val="auto"/>
        </w:rPr>
        <w:t>Commitment End Date</w:t>
      </w:r>
      <w:r>
        <w:rPr>
          <w:rFonts w:ascii="Arial" w:cs="Arial" w:eastAsia="Arial" w:hAnsi="Arial"/>
          <w:sz w:val="18"/>
          <w:szCs w:val="18"/>
          <w:color w:val="auto"/>
        </w:rPr>
        <w:t>” contained therein, to read in its entirety as follows:</w:t>
      </w:r>
    </w:p>
    <w:p>
      <w:pPr>
        <w:spacing w:after="0" w:line="114"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680" w:type="dxa"/>
            <w:vAlign w:val="bottom"/>
          </w:tcPr>
          <w:p>
            <w:pPr>
              <w:spacing w:after="0"/>
              <w:rPr>
                <w:sz w:val="18"/>
                <w:szCs w:val="18"/>
                <w:color w:val="auto"/>
              </w:rPr>
            </w:pPr>
          </w:p>
        </w:tc>
        <w:tc>
          <w:tcPr>
            <w:tcW w:w="9080" w:type="dxa"/>
            <w:vAlign w:val="bottom"/>
            <w:gridSpan w:val="5"/>
          </w:tcPr>
          <w:p>
            <w:pPr>
              <w:jc w:val="right"/>
              <w:ind w:right="4700"/>
              <w:spacing w:after="0"/>
              <w:rPr>
                <w:sz w:val="20"/>
                <w:szCs w:val="20"/>
                <w:color w:val="auto"/>
              </w:rPr>
            </w:pPr>
            <w:r>
              <w:rPr>
                <w:rFonts w:ascii="Arial" w:cs="Arial" w:eastAsia="Arial" w:hAnsi="Arial"/>
                <w:sz w:val="18"/>
                <w:szCs w:val="18"/>
                <w:color w:val="auto"/>
                <w:w w:val="98"/>
              </w:rPr>
              <w:t>“Revolving Commitment End Date”: November 1, 2018.</w:t>
            </w:r>
          </w:p>
        </w:tc>
      </w:tr>
      <w:tr>
        <w:trPr>
          <w:trHeight w:val="20"/>
        </w:trPr>
        <w:tc>
          <w:tcPr>
            <w:tcW w:w="1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r>
      <w:tr>
        <w:trPr>
          <w:trHeight w:val="439"/>
        </w:trPr>
        <w:tc>
          <w:tcPr>
            <w:tcW w:w="1680" w:type="dxa"/>
            <w:vAlign w:val="bottom"/>
          </w:tcPr>
          <w:p>
            <w:pPr>
              <w:jc w:val="right"/>
              <w:ind w:right="210"/>
              <w:spacing w:after="0"/>
              <w:rPr>
                <w:sz w:val="20"/>
                <w:szCs w:val="20"/>
                <w:color w:val="auto"/>
              </w:rPr>
            </w:pPr>
            <w:r>
              <w:rPr>
                <w:rFonts w:ascii="Arial" w:cs="Arial" w:eastAsia="Arial" w:hAnsi="Arial"/>
                <w:sz w:val="18"/>
                <w:szCs w:val="18"/>
                <w:b w:val="1"/>
                <w:bCs w:val="1"/>
                <w:color w:val="auto"/>
              </w:rPr>
              <w:t>Section 3.</w:t>
            </w:r>
          </w:p>
        </w:tc>
        <w:tc>
          <w:tcPr>
            <w:tcW w:w="340" w:type="dxa"/>
            <w:vAlign w:val="bottom"/>
          </w:tcPr>
          <w:p>
            <w:pPr>
              <w:spacing w:after="0"/>
              <w:rPr>
                <w:sz w:val="24"/>
                <w:szCs w:val="24"/>
                <w:color w:val="auto"/>
              </w:rPr>
            </w:pPr>
          </w:p>
        </w:tc>
        <w:tc>
          <w:tcPr>
            <w:tcW w:w="8740" w:type="dxa"/>
            <w:vAlign w:val="bottom"/>
            <w:gridSpan w:val="4"/>
          </w:tcPr>
          <w:p>
            <w:pPr>
              <w:jc w:val="right"/>
              <w:spacing w:after="0"/>
              <w:rPr>
                <w:sz w:val="20"/>
                <w:szCs w:val="20"/>
                <w:color w:val="auto"/>
              </w:rPr>
            </w:pPr>
            <w:r>
              <w:rPr>
                <w:rFonts w:ascii="Arial" w:cs="Arial" w:eastAsia="Arial" w:hAnsi="Arial"/>
                <w:sz w:val="18"/>
                <w:szCs w:val="18"/>
                <w:b w:val="1"/>
                <w:bCs w:val="1"/>
                <w:color w:val="auto"/>
                <w:w w:val="98"/>
              </w:rPr>
              <w:t xml:space="preserve">Conditions and Effectiveness. </w:t>
            </w:r>
            <w:r>
              <w:rPr>
                <w:rFonts w:ascii="Arial" w:cs="Arial" w:eastAsia="Arial" w:hAnsi="Arial"/>
                <w:sz w:val="18"/>
                <w:szCs w:val="18"/>
                <w:color w:val="auto"/>
                <w:w w:val="98"/>
              </w:rPr>
              <w:t>This Amendment shall become effective only upon satisfaction of the following</w:t>
            </w:r>
          </w:p>
        </w:tc>
      </w:tr>
      <w:tr>
        <w:trPr>
          <w:trHeight w:val="277"/>
        </w:trPr>
        <w:tc>
          <w:tcPr>
            <w:tcW w:w="1680" w:type="dxa"/>
            <w:vAlign w:val="bottom"/>
          </w:tcPr>
          <w:p>
            <w:pPr>
              <w:jc w:val="right"/>
              <w:ind w:right="790"/>
              <w:spacing w:after="0"/>
              <w:rPr>
                <w:sz w:val="20"/>
                <w:szCs w:val="20"/>
                <w:color w:val="auto"/>
              </w:rPr>
            </w:pPr>
            <w:r>
              <w:rPr>
                <w:rFonts w:ascii="Arial" w:cs="Arial" w:eastAsia="Arial" w:hAnsi="Arial"/>
                <w:sz w:val="18"/>
                <w:szCs w:val="18"/>
                <w:color w:val="auto"/>
                <w:w w:val="90"/>
              </w:rPr>
              <w:t>conditions:</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5860" w:type="dxa"/>
            <w:vAlign w:val="bottom"/>
          </w:tcPr>
          <w:p>
            <w:pPr>
              <w:spacing w:after="0"/>
              <w:rPr>
                <w:sz w:val="24"/>
                <w:szCs w:val="24"/>
                <w:color w:val="auto"/>
              </w:rPr>
            </w:pPr>
          </w:p>
        </w:tc>
      </w:tr>
      <w:tr>
        <w:trPr>
          <w:trHeight w:val="473"/>
        </w:trPr>
        <w:tc>
          <w:tcPr>
            <w:tcW w:w="1680" w:type="dxa"/>
            <w:vAlign w:val="bottom"/>
          </w:tcPr>
          <w:p>
            <w:pPr>
              <w:jc w:val="right"/>
              <w:ind w:right="170"/>
              <w:spacing w:after="0"/>
              <w:rPr>
                <w:sz w:val="20"/>
                <w:szCs w:val="20"/>
                <w:color w:val="auto"/>
              </w:rPr>
            </w:pPr>
            <w:r>
              <w:rPr>
                <w:rFonts w:ascii="Arial" w:cs="Arial" w:eastAsia="Arial" w:hAnsi="Arial"/>
                <w:sz w:val="18"/>
                <w:szCs w:val="18"/>
                <w:b w:val="1"/>
                <w:bCs w:val="1"/>
                <w:color w:val="auto"/>
              </w:rPr>
              <w:t>3.1</w:t>
            </w:r>
          </w:p>
        </w:tc>
        <w:tc>
          <w:tcPr>
            <w:tcW w:w="340" w:type="dxa"/>
            <w:vAlign w:val="bottom"/>
          </w:tcPr>
          <w:p>
            <w:pPr>
              <w:spacing w:after="0"/>
              <w:rPr>
                <w:sz w:val="24"/>
                <w:szCs w:val="24"/>
                <w:color w:val="auto"/>
              </w:rPr>
            </w:pPr>
          </w:p>
        </w:tc>
        <w:tc>
          <w:tcPr>
            <w:tcW w:w="8740" w:type="dxa"/>
            <w:vAlign w:val="bottom"/>
            <w:gridSpan w:val="4"/>
          </w:tcPr>
          <w:p>
            <w:pPr>
              <w:jc w:val="right"/>
              <w:ind w:right="2460"/>
              <w:spacing w:after="0"/>
              <w:rPr>
                <w:sz w:val="20"/>
                <w:szCs w:val="20"/>
                <w:color w:val="auto"/>
              </w:rPr>
            </w:pPr>
            <w:r>
              <w:rPr>
                <w:rFonts w:ascii="Arial" w:cs="Arial" w:eastAsia="Arial" w:hAnsi="Arial"/>
                <w:sz w:val="18"/>
                <w:szCs w:val="18"/>
                <w:color w:val="auto"/>
                <w:w w:val="92"/>
              </w:rPr>
              <w:t>The Borrower shall have duly executed and delivered to the Lender this Amendment.</w:t>
            </w:r>
          </w:p>
        </w:tc>
      </w:tr>
      <w:tr>
        <w:trPr>
          <w:trHeight w:val="473"/>
        </w:trPr>
        <w:tc>
          <w:tcPr>
            <w:tcW w:w="1680" w:type="dxa"/>
            <w:vAlign w:val="bottom"/>
          </w:tcPr>
          <w:p>
            <w:pPr>
              <w:jc w:val="right"/>
              <w:ind w:right="170"/>
              <w:spacing w:after="0"/>
              <w:rPr>
                <w:sz w:val="20"/>
                <w:szCs w:val="20"/>
                <w:color w:val="auto"/>
              </w:rPr>
            </w:pPr>
            <w:r>
              <w:rPr>
                <w:rFonts w:ascii="Arial" w:cs="Arial" w:eastAsia="Arial" w:hAnsi="Arial"/>
                <w:sz w:val="18"/>
                <w:szCs w:val="18"/>
                <w:b w:val="1"/>
                <w:bCs w:val="1"/>
                <w:color w:val="auto"/>
              </w:rPr>
              <w:t>3.2</w:t>
            </w:r>
          </w:p>
        </w:tc>
        <w:tc>
          <w:tcPr>
            <w:tcW w:w="340" w:type="dxa"/>
            <w:vAlign w:val="bottom"/>
          </w:tcPr>
          <w:p>
            <w:pPr>
              <w:spacing w:after="0"/>
              <w:rPr>
                <w:sz w:val="24"/>
                <w:szCs w:val="24"/>
                <w:color w:val="auto"/>
              </w:rPr>
            </w:pPr>
          </w:p>
        </w:tc>
        <w:tc>
          <w:tcPr>
            <w:tcW w:w="8740" w:type="dxa"/>
            <w:vAlign w:val="bottom"/>
            <w:gridSpan w:val="4"/>
          </w:tcPr>
          <w:p>
            <w:pPr>
              <w:jc w:val="right"/>
              <w:spacing w:after="0"/>
              <w:rPr>
                <w:sz w:val="20"/>
                <w:szCs w:val="20"/>
                <w:color w:val="auto"/>
              </w:rPr>
            </w:pPr>
            <w:r>
              <w:rPr>
                <w:rFonts w:ascii="Arial" w:cs="Arial" w:eastAsia="Arial" w:hAnsi="Arial"/>
                <w:sz w:val="18"/>
                <w:szCs w:val="18"/>
                <w:color w:val="auto"/>
                <w:w w:val="92"/>
              </w:rPr>
              <w:t>The Borrower shall have delivered to the Lender a certification by the Secretary or Assistant Secretary of the Borrower</w:t>
            </w:r>
          </w:p>
        </w:tc>
      </w:tr>
    </w:tbl>
    <w:p>
      <w:pPr>
        <w:spacing w:after="0" w:line="26" w:lineRule="exact"/>
        <w:rPr>
          <w:sz w:val="20"/>
          <w:szCs w:val="20"/>
          <w:color w:val="auto"/>
        </w:rPr>
      </w:pPr>
    </w:p>
    <w:p>
      <w:pPr>
        <w:jc w:val="both"/>
        <w:ind w:left="1220"/>
        <w:spacing w:after="0" w:line="329" w:lineRule="auto"/>
        <w:rPr>
          <w:sz w:val="20"/>
          <w:szCs w:val="20"/>
          <w:color w:val="auto"/>
        </w:rPr>
      </w:pPr>
      <w:r>
        <w:rPr>
          <w:rFonts w:ascii="Arial" w:cs="Arial" w:eastAsia="Arial" w:hAnsi="Arial"/>
          <w:sz w:val="17"/>
          <w:szCs w:val="17"/>
          <w:color w:val="auto"/>
        </w:rPr>
        <w:t>certifying as to (i) true and complete copies of the Borrower’s Restated Certificate of Incorporation and Amended and Restated Bylaws attached thereto, (ii) resolutions of the Borrower’s Board of Directors authorizing the execution, delivery and performance of this Amendment, and (iii) the incumbency, names, titles, and signatures of each officer of the Borrower authorized to execute this Amendment and any other instrument or agreement executed by the Borrower in connection with this Amendment.</w:t>
      </w:r>
    </w:p>
    <w:p>
      <w:pPr>
        <w:spacing w:after="0" w:line="167" w:lineRule="exact"/>
        <w:rPr>
          <w:sz w:val="20"/>
          <w:szCs w:val="20"/>
          <w:color w:val="auto"/>
        </w:rPr>
      </w:pPr>
    </w:p>
    <w:p>
      <w:pPr>
        <w:jc w:val="both"/>
        <w:ind w:left="1220" w:firstLine="648"/>
        <w:spacing w:after="0" w:line="329" w:lineRule="auto"/>
        <w:rPr>
          <w:sz w:val="20"/>
          <w:szCs w:val="20"/>
          <w:color w:val="auto"/>
        </w:rPr>
      </w:pPr>
      <w:r>
        <w:rPr>
          <w:rFonts w:ascii="Arial" w:cs="Arial" w:eastAsia="Arial" w:hAnsi="Arial"/>
          <w:sz w:val="18"/>
          <w:szCs w:val="18"/>
          <w:b w:val="1"/>
          <w:bCs w:val="1"/>
          <w:color w:val="auto"/>
        </w:rPr>
        <w:t xml:space="preserve">3.3 </w:t>
      </w:r>
      <w:r>
        <w:rPr>
          <w:rFonts w:ascii="Arial" w:cs="Arial" w:eastAsia="Arial" w:hAnsi="Arial"/>
          <w:sz w:val="18"/>
          <w:szCs w:val="18"/>
          <w:color w:val="auto"/>
        </w:rPr>
        <w:t>The Borrower shall have satisfied any other conditions as specified by the Lender, including payment of all unpaid</w:t>
      </w:r>
      <w:r>
        <w:rPr>
          <w:rFonts w:ascii="Arial" w:cs="Arial" w:eastAsia="Arial" w:hAnsi="Arial"/>
          <w:sz w:val="18"/>
          <w:szCs w:val="18"/>
          <w:b w:val="1"/>
          <w:bCs w:val="1"/>
          <w:color w:val="auto"/>
        </w:rPr>
        <w:t xml:space="preserve"> </w:t>
      </w:r>
      <w:r>
        <w:rPr>
          <w:rFonts w:ascii="Arial" w:cs="Arial" w:eastAsia="Arial" w:hAnsi="Arial"/>
          <w:sz w:val="18"/>
          <w:szCs w:val="18"/>
          <w:color w:val="auto"/>
        </w:rPr>
        <w:t>legal fees and expenses incurred by the Lender through the date of this Amendment in connection with the Credit Agreement.</w:t>
      </w:r>
    </w:p>
    <w:p>
      <w:pPr>
        <w:sectPr>
          <w:pgSz w:w="11900" w:h="16838" w:orient="portrait"/>
          <w:cols w:equalWidth="0" w:num="1">
            <w:col w:w="11420"/>
          </w:cols>
          <w:pgMar w:left="240" w:top="580" w:right="239" w:bottom="1440" w:gutter="0" w:footer="0" w:header="0"/>
        </w:sectPr>
      </w:pPr>
    </w:p>
    <w:bookmarkStart w:id="40" w:name="page41"/>
    <w:bookmarkEnd w:id="40"/>
    <w:tbl>
      <w:tblPr>
        <w:tblLayout w:type="fixed"/>
        <w:tblInd w:w="640" w:type="dxa"/>
        <w:tblCellMar>
          <w:top w:w="0" w:type="dxa"/>
          <w:left w:w="0" w:type="dxa"/>
          <w:bottom w:w="0" w:type="dxa"/>
          <w:right w:w="0" w:type="dxa"/>
        </w:tblCellMar>
      </w:tblPr>
      <w:tr>
        <w:trPr>
          <w:trHeight w:val="207"/>
        </w:trPr>
        <w:tc>
          <w:tcPr>
            <w:tcW w:w="1520" w:type="dxa"/>
            <w:vAlign w:val="bottom"/>
          </w:tcPr>
          <w:p>
            <w:pPr>
              <w:jc w:val="right"/>
              <w:ind w:right="690"/>
              <w:spacing w:after="0"/>
              <w:rPr>
                <w:sz w:val="20"/>
                <w:szCs w:val="20"/>
                <w:color w:val="auto"/>
              </w:rPr>
            </w:pPr>
            <w:r>
              <w:rPr>
                <w:rFonts w:ascii="Arial" w:cs="Arial" w:eastAsia="Arial" w:hAnsi="Arial"/>
                <w:sz w:val="18"/>
                <w:szCs w:val="18"/>
                <w:b w:val="1"/>
                <w:bCs w:val="1"/>
                <w:color w:val="auto"/>
                <w:w w:val="84"/>
              </w:rPr>
              <w:t>Section 4.</w:t>
            </w:r>
          </w:p>
        </w:tc>
        <w:tc>
          <w:tcPr>
            <w:tcW w:w="520" w:type="dxa"/>
            <w:vAlign w:val="bottom"/>
          </w:tcPr>
          <w:p>
            <w:pPr>
              <w:spacing w:after="0"/>
              <w:rPr>
                <w:sz w:val="17"/>
                <w:szCs w:val="17"/>
                <w:color w:val="auto"/>
              </w:rPr>
            </w:pPr>
          </w:p>
        </w:tc>
        <w:tc>
          <w:tcPr>
            <w:tcW w:w="8080" w:type="dxa"/>
            <w:vAlign w:val="bottom"/>
            <w:gridSpan w:val="3"/>
          </w:tcPr>
          <w:p>
            <w:pPr>
              <w:spacing w:after="0"/>
              <w:rPr>
                <w:sz w:val="20"/>
                <w:szCs w:val="20"/>
                <w:color w:val="auto"/>
              </w:rPr>
            </w:pPr>
            <w:r>
              <w:rPr>
                <w:rFonts w:ascii="Arial" w:cs="Arial" w:eastAsia="Arial" w:hAnsi="Arial"/>
                <w:sz w:val="18"/>
                <w:szCs w:val="18"/>
                <w:b w:val="1"/>
                <w:bCs w:val="1"/>
                <w:color w:val="auto"/>
              </w:rPr>
              <w:t>Representations, Warranties, Authority, No Adverse Claim.</w:t>
            </w:r>
          </w:p>
        </w:tc>
      </w:tr>
      <w:tr>
        <w:trPr>
          <w:trHeight w:val="20"/>
        </w:trPr>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453"/>
        </w:trPr>
        <w:tc>
          <w:tcPr>
            <w:tcW w:w="1520" w:type="dxa"/>
            <w:vAlign w:val="bottom"/>
          </w:tcPr>
          <w:p>
            <w:pPr>
              <w:jc w:val="right"/>
              <w:ind w:right="650"/>
              <w:spacing w:after="0"/>
              <w:rPr>
                <w:sz w:val="20"/>
                <w:szCs w:val="20"/>
                <w:color w:val="auto"/>
              </w:rPr>
            </w:pPr>
            <w:r>
              <w:rPr>
                <w:rFonts w:ascii="Arial" w:cs="Arial" w:eastAsia="Arial" w:hAnsi="Arial"/>
                <w:sz w:val="18"/>
                <w:szCs w:val="18"/>
                <w:b w:val="1"/>
                <w:bCs w:val="1"/>
                <w:color w:val="auto"/>
              </w:rPr>
              <w:t>4.1</w:t>
            </w:r>
          </w:p>
        </w:tc>
        <w:tc>
          <w:tcPr>
            <w:tcW w:w="8600" w:type="dxa"/>
            <w:vAlign w:val="bottom"/>
            <w:gridSpan w:val="4"/>
          </w:tcPr>
          <w:p>
            <w:pPr>
              <w:spacing w:after="0"/>
              <w:rPr>
                <w:sz w:val="20"/>
                <w:szCs w:val="20"/>
                <w:color w:val="auto"/>
              </w:rPr>
            </w:pPr>
            <w:r>
              <w:rPr>
                <w:rFonts w:ascii="Arial" w:cs="Arial" w:eastAsia="Arial" w:hAnsi="Arial"/>
                <w:sz w:val="18"/>
                <w:szCs w:val="18"/>
                <w:b w:val="1"/>
                <w:bCs w:val="1"/>
                <w:color w:val="auto"/>
                <w:w w:val="90"/>
              </w:rPr>
              <w:t xml:space="preserve">Reassertion of Representations and Warranties, No Default. </w:t>
            </w:r>
            <w:r>
              <w:rPr>
                <w:rFonts w:ascii="Arial" w:cs="Arial" w:eastAsia="Arial" w:hAnsi="Arial"/>
                <w:sz w:val="18"/>
                <w:szCs w:val="18"/>
                <w:color w:val="auto"/>
                <w:w w:val="90"/>
              </w:rPr>
              <w:t>The Borrower hereby represents that on and as of the</w:t>
            </w:r>
          </w:p>
        </w:tc>
      </w:tr>
      <w:tr>
        <w:trPr>
          <w:trHeight w:val="20"/>
        </w:trPr>
        <w:tc>
          <w:tcPr>
            <w:tcW w:w="15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bl>
    <w:p>
      <w:pPr>
        <w:spacing w:after="0" w:line="53" w:lineRule="exact"/>
        <w:rPr>
          <w:sz w:val="20"/>
          <w:szCs w:val="20"/>
          <w:color w:val="auto"/>
        </w:rPr>
      </w:pPr>
    </w:p>
    <w:p>
      <w:pPr>
        <w:jc w:val="both"/>
        <w:ind w:left="560"/>
        <w:spacing w:after="0" w:line="306" w:lineRule="auto"/>
        <w:rPr>
          <w:sz w:val="20"/>
          <w:szCs w:val="20"/>
          <w:color w:val="auto"/>
        </w:rPr>
      </w:pPr>
      <w:r>
        <w:rPr>
          <w:rFonts w:ascii="Arial" w:cs="Arial" w:eastAsia="Arial" w:hAnsi="Arial"/>
          <w:sz w:val="18"/>
          <w:szCs w:val="18"/>
          <w:color w:val="auto"/>
        </w:rPr>
        <w:t>date hereof and after giving effect to this Amendment (a) all of the representations and warranties contained in the Credit Agreement are true, correct and complete in all respects as of the date hereof as though made on and as of such date, except for changes permitted by the terms of the Credit Agreement, and (b) there will exist no Event of Default under the Credit Agreement as amended by this Amendment on such date which has not been waived by the Lender.</w:t>
      </w:r>
    </w:p>
    <w:p>
      <w:pPr>
        <w:spacing w:after="0" w:line="183" w:lineRule="exact"/>
        <w:rPr>
          <w:sz w:val="20"/>
          <w:szCs w:val="20"/>
          <w:color w:val="auto"/>
        </w:rPr>
      </w:pPr>
    </w:p>
    <w:p>
      <w:pPr>
        <w:jc w:val="both"/>
        <w:ind w:left="560" w:firstLine="648"/>
        <w:spacing w:after="0" w:line="339" w:lineRule="auto"/>
        <w:rPr>
          <w:sz w:val="20"/>
          <w:szCs w:val="20"/>
          <w:color w:val="auto"/>
        </w:rPr>
      </w:pPr>
      <w:r>
        <w:rPr>
          <w:rFonts w:ascii="Arial" w:cs="Arial" w:eastAsia="Arial" w:hAnsi="Arial"/>
          <w:sz w:val="16"/>
          <w:szCs w:val="16"/>
          <w:b w:val="1"/>
          <w:bCs w:val="1"/>
          <w:color w:val="auto"/>
        </w:rPr>
        <w:t xml:space="preserve">4.2 </w:t>
      </w:r>
      <w:r>
        <w:rPr>
          <w:rFonts w:ascii="Arial" w:cs="Arial" w:eastAsia="Arial" w:hAnsi="Arial"/>
          <w:sz w:val="16"/>
          <w:szCs w:val="16"/>
          <w:b w:val="1"/>
          <w:bCs w:val="1"/>
          <w:u w:val="single" w:color="auto"/>
          <w:color w:val="auto"/>
        </w:rPr>
        <w:t>Authority, No Conflict, No Consent Required, Enforceability</w:t>
      </w:r>
      <w:r>
        <w:rPr>
          <w:rFonts w:ascii="Arial" w:cs="Arial" w:eastAsia="Arial" w:hAnsi="Arial"/>
          <w:sz w:val="16"/>
          <w:szCs w:val="16"/>
          <w:b w:val="1"/>
          <w:bCs w:val="1"/>
          <w:color w:val="auto"/>
        </w:rPr>
        <w:t xml:space="preserve">. </w:t>
      </w:r>
      <w:r>
        <w:rPr>
          <w:rFonts w:ascii="Arial" w:cs="Arial" w:eastAsia="Arial" w:hAnsi="Arial"/>
          <w:sz w:val="16"/>
          <w:szCs w:val="16"/>
          <w:color w:val="auto"/>
        </w:rPr>
        <w:t>The Borrower represents and warrants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 has the power and legal right and authority to enter into this Amendment and any other instrument or agreement executed by the Borrower in connection with this Amendment (collectively, the “</w:t>
      </w:r>
      <w:r>
        <w:rPr>
          <w:rFonts w:ascii="Arial" w:cs="Arial" w:eastAsia="Arial" w:hAnsi="Arial"/>
          <w:sz w:val="16"/>
          <w:szCs w:val="16"/>
          <w:u w:val="single" w:color="auto"/>
          <w:color w:val="auto"/>
        </w:rPr>
        <w:t>Amendment Documents</w:t>
      </w:r>
      <w:r>
        <w:rPr>
          <w:rFonts w:ascii="Arial" w:cs="Arial" w:eastAsia="Arial" w:hAnsi="Arial"/>
          <w:sz w:val="16"/>
          <w:szCs w:val="16"/>
          <w:color w:val="auto"/>
        </w:rPr>
        <w:t>”) and has duly authorized as appropriate the execution and delivery of the Amendment Documents and other agreements and documents executed and delivered by the Borrower in connection herewith or therewith by proper company action, and none of the Amendment Documents nor the agreements contained herein or therein contravenes or constitutes a default under any agreement, instrument or indenture to which the Borrower is a party or a signatory or a provision of the Borrower’s articles of organization, Bylaws or any other agreement or requirement of law, or result in the imposition of any lien on any of its property under any agreement binding on or applicable to the Borrower or any of its property except, if any, in favor of the Lender. The Borrower represents and warrants that no consent, approval or authorization of or registration or declaration with any entity, including but not limited to any governmental authority, is required in connection with the execution and delivery by the Borrower of the Amendment Documents or other agreements and documents executed and delivered by the Borrower in connection therewith or the performance of obligations of the Borrower therein described, except for those which the Borrower has obtained or provided and as to which the Borrower has delivered certified copies of documents evidencing each such action to the Lender. The Borrower represents and warrants that this Amendment constitutes the legal, valid and binding obligations of the Borrower, enforceable against the Borrower in accordance with its terms, subject to limitations as to enforceability which might result from bankruptcy, insolvency, moratorium and other similar laws affecting creditors’ rights generally and subject to limitations on the availability of equitable remedies.</w:t>
      </w:r>
    </w:p>
    <w:p>
      <w:pPr>
        <w:spacing w:after="0" w:line="164" w:lineRule="exact"/>
        <w:rPr>
          <w:sz w:val="20"/>
          <w:szCs w:val="20"/>
          <w:color w:val="auto"/>
        </w:rPr>
      </w:pPr>
    </w:p>
    <w:p>
      <w:pPr>
        <w:jc w:val="both"/>
        <w:ind w:left="560" w:firstLine="648"/>
        <w:spacing w:after="0" w:line="313" w:lineRule="auto"/>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b w:val="1"/>
          <w:bCs w:val="1"/>
          <w:u w:val="single" w:color="auto"/>
          <w:color w:val="auto"/>
        </w:rPr>
        <w:t>No Adverse Claim</w:t>
      </w:r>
      <w:r>
        <w:rPr>
          <w:rFonts w:ascii="Arial" w:cs="Arial" w:eastAsia="Arial" w:hAnsi="Arial"/>
          <w:sz w:val="18"/>
          <w:szCs w:val="18"/>
          <w:color w:val="auto"/>
        </w:rPr>
        <w:t>. The Borrower warrants, acknowledges and agrees that no events have taken place and no</w:t>
      </w:r>
      <w:r>
        <w:rPr>
          <w:rFonts w:ascii="Arial" w:cs="Arial" w:eastAsia="Arial" w:hAnsi="Arial"/>
          <w:sz w:val="18"/>
          <w:szCs w:val="18"/>
          <w:b w:val="1"/>
          <w:bCs w:val="1"/>
          <w:color w:val="auto"/>
        </w:rPr>
        <w:t xml:space="preserve"> </w:t>
      </w:r>
      <w:r>
        <w:rPr>
          <w:rFonts w:ascii="Arial" w:cs="Arial" w:eastAsia="Arial" w:hAnsi="Arial"/>
          <w:sz w:val="18"/>
          <w:szCs w:val="18"/>
          <w:color w:val="auto"/>
        </w:rPr>
        <w:t>circumstances exist at the date hereof which would give the Borrower a basis to assert a defense, offset or counterclaim to any claim of the Lender with respect to the Borrower’s obligations under the Credit Agreement as amended by this Amendment.</w:t>
      </w:r>
    </w:p>
    <w:p>
      <w:pPr>
        <w:spacing w:after="0" w:line="176"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7"/>
          <w:szCs w:val="17"/>
          <w:b w:val="1"/>
          <w:bCs w:val="1"/>
          <w:color w:val="auto"/>
        </w:rPr>
        <w:t xml:space="preserve">Section 5. </w:t>
      </w:r>
      <w:r>
        <w:rPr>
          <w:rFonts w:ascii="Arial" w:cs="Arial" w:eastAsia="Arial" w:hAnsi="Arial"/>
          <w:sz w:val="17"/>
          <w:szCs w:val="17"/>
          <w:b w:val="1"/>
          <w:bCs w:val="1"/>
          <w:u w:val="single" w:color="auto"/>
          <w:color w:val="auto"/>
        </w:rPr>
        <w:t>Affirmation of Credit Agreement, Further References, Affirmation of Security Interest</w:t>
      </w:r>
      <w:r>
        <w:rPr>
          <w:rFonts w:ascii="Arial" w:cs="Arial" w:eastAsia="Arial" w:hAnsi="Arial"/>
          <w:sz w:val="17"/>
          <w:szCs w:val="17"/>
          <w:color w:val="auto"/>
        </w:rPr>
        <w:t>. The Lender and</w:t>
      </w:r>
      <w:r>
        <w:rPr>
          <w:rFonts w:ascii="Arial" w:cs="Arial" w:eastAsia="Arial" w:hAnsi="Arial"/>
          <w:sz w:val="17"/>
          <w:szCs w:val="17"/>
          <w:b w:val="1"/>
          <w:bCs w:val="1"/>
          <w:color w:val="auto"/>
        </w:rPr>
        <w:t xml:space="preserve"> </w:t>
      </w:r>
      <w:r>
        <w:rPr>
          <w:rFonts w:ascii="Arial" w:cs="Arial" w:eastAsia="Arial" w:hAnsi="Arial"/>
          <w:sz w:val="17"/>
          <w:szCs w:val="17"/>
          <w:color w:val="auto"/>
        </w:rPr>
        <w:t>the Borrower each acknowledge and affirm that the Credit Agreement, as hereby amended, is hereby ratified and confirmed in all respects and all terms, conditions and provisions of the Credit Agreement, except as amended by this Amendment, shall remain unmodified and in full force and effect. All references in any document or instrument to the Credit Agreement are hereby amended and shall refer to the Credit Agreement as amended by this Amendment. The Borrower confirms to the Lender that the Borrower’s obligations under the Credit Agreement, as amended by this Amendment, are and continue to be secured by the security interest granted by the Borrower in favor of the Lender under that certain Borrower’s Security Agreement dated as of October 2, 2012 and made by the Borrower in favor of the Lender, and all of the terms, conditions, provisions, agreements, requirements, promises, obligations, duties, covenants and representations of the Borrower under such documents and any and all other documents and agreements entered into with respect to the obligations under the Credit Agreement are incorporated herein by reference and are hereby ratified and affirmed in all respects by the Borrower.</w:t>
      </w:r>
    </w:p>
    <w:p>
      <w:pPr>
        <w:spacing w:after="0" w:line="17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b w:val="1"/>
          <w:bCs w:val="1"/>
          <w:color w:val="auto"/>
        </w:rPr>
        <w:t xml:space="preserve">Section 6. </w:t>
      </w:r>
      <w:r>
        <w:rPr>
          <w:rFonts w:ascii="Arial" w:cs="Arial" w:eastAsia="Arial" w:hAnsi="Arial"/>
          <w:sz w:val="18"/>
          <w:szCs w:val="18"/>
          <w:b w:val="1"/>
          <w:bCs w:val="1"/>
          <w:u w:val="single" w:color="auto"/>
          <w:color w:val="auto"/>
        </w:rPr>
        <w:t>Merger and Integration, Superseding Effect</w:t>
      </w:r>
      <w:r>
        <w:rPr>
          <w:rFonts w:ascii="Arial" w:cs="Arial" w:eastAsia="Arial" w:hAnsi="Arial"/>
          <w:sz w:val="18"/>
          <w:szCs w:val="18"/>
          <w:color w:val="auto"/>
        </w:rPr>
        <w:t>. This Amendment, from and after the date hereof, embodies the</w:t>
      </w:r>
      <w:r>
        <w:rPr>
          <w:rFonts w:ascii="Arial" w:cs="Arial" w:eastAsia="Arial" w:hAnsi="Arial"/>
          <w:sz w:val="18"/>
          <w:szCs w:val="18"/>
          <w:b w:val="1"/>
          <w:bCs w:val="1"/>
          <w:color w:val="auto"/>
        </w:rPr>
        <w:t xml:space="preserve"> </w:t>
      </w:r>
      <w:r>
        <w:rPr>
          <w:rFonts w:ascii="Arial" w:cs="Arial" w:eastAsia="Arial" w:hAnsi="Arial"/>
          <w:sz w:val="18"/>
          <w:szCs w:val="18"/>
          <w:color w:val="auto"/>
        </w:rPr>
        <w:t>entire agreement and understanding between the parties hereto and supersedes and has merged into this Amendment all prior oral and written agreements on the same subjects by and between the parties hereto with the effect that this Amendment shall control with respect to the specific subjects hereof and thereof.</w:t>
      </w:r>
    </w:p>
    <w:p>
      <w:pPr>
        <w:spacing w:after="0" w:line="180" w:lineRule="exact"/>
        <w:rPr>
          <w:sz w:val="20"/>
          <w:szCs w:val="20"/>
          <w:color w:val="auto"/>
        </w:rPr>
      </w:pPr>
    </w:p>
    <w:p>
      <w:pPr>
        <w:jc w:val="both"/>
        <w:ind w:firstLine="648"/>
        <w:spacing w:after="0" w:line="326" w:lineRule="auto"/>
        <w:rPr>
          <w:sz w:val="20"/>
          <w:szCs w:val="20"/>
          <w:color w:val="auto"/>
        </w:rPr>
      </w:pPr>
      <w:r>
        <w:rPr>
          <w:rFonts w:ascii="Arial" w:cs="Arial" w:eastAsia="Arial" w:hAnsi="Arial"/>
          <w:sz w:val="17"/>
          <w:szCs w:val="17"/>
          <w:b w:val="1"/>
          <w:bCs w:val="1"/>
          <w:color w:val="auto"/>
        </w:rPr>
        <w:t xml:space="preserve">Section 7. </w:t>
      </w:r>
      <w:r>
        <w:rPr>
          <w:rFonts w:ascii="Arial" w:cs="Arial" w:eastAsia="Arial" w:hAnsi="Arial"/>
          <w:sz w:val="17"/>
          <w:szCs w:val="17"/>
          <w:u w:val="single" w:color="auto"/>
          <w:color w:val="auto"/>
        </w:rPr>
        <w:t>Severability</w:t>
      </w:r>
      <w:r>
        <w:rPr>
          <w:rFonts w:ascii="Arial" w:cs="Arial" w:eastAsia="Arial" w:hAnsi="Arial"/>
          <w:sz w:val="17"/>
          <w:szCs w:val="17"/>
          <w:color w:val="auto"/>
        </w:rPr>
        <w:t>. Whenever possible, each provision of this Amendment and any other statement, instrument or</w:t>
      </w:r>
      <w:r>
        <w:rPr>
          <w:rFonts w:ascii="Arial" w:cs="Arial" w:eastAsia="Arial" w:hAnsi="Arial"/>
          <w:sz w:val="17"/>
          <w:szCs w:val="17"/>
          <w:b w:val="1"/>
          <w:bCs w:val="1"/>
          <w:color w:val="auto"/>
        </w:rPr>
        <w:t xml:space="preserve"> </w:t>
      </w:r>
      <w:r>
        <w:rPr>
          <w:rFonts w:ascii="Arial" w:cs="Arial" w:eastAsia="Arial" w:hAnsi="Arial"/>
          <w:sz w:val="17"/>
          <w:szCs w:val="17"/>
          <w:color w:val="auto"/>
        </w:rPr>
        <w:t>transaction contemplated hereby or thereby or relating hereto or thereto shall be interpreted in such manner as to be effective, valid and enforceable under the applicable law of any jurisdiction, but, if any provision of this Amendment, or any other statement, instrument or transaction contemplated hereby or thereby or relating hereto or thereto shall be held to be prohibited, invalid or unenforceable under the applicable law, such provision shall be ineffective in such jurisdiction only to the extent of such prohibition, invalidity or unenforceability, without invalidating or rendering</w:t>
      </w:r>
    </w:p>
    <w:p>
      <w:pPr>
        <w:sectPr>
          <w:pgSz w:w="11900" w:h="16838" w:orient="portrait"/>
          <w:cols w:equalWidth="0" w:num="1">
            <w:col w:w="10760"/>
          </w:cols>
          <w:pgMar w:left="900" w:top="594" w:right="239" w:bottom="1440" w:gutter="0" w:footer="0" w:header="0"/>
        </w:sectPr>
      </w:pPr>
    </w:p>
    <w:bookmarkStart w:id="41" w:name="page42"/>
    <w:bookmarkEnd w:id="41"/>
    <w:p>
      <w:pPr>
        <w:jc w:val="both"/>
        <w:spacing w:after="0" w:line="311" w:lineRule="auto"/>
        <w:rPr>
          <w:sz w:val="20"/>
          <w:szCs w:val="20"/>
          <w:color w:val="auto"/>
        </w:rPr>
      </w:pPr>
      <w:r>
        <w:rPr>
          <w:rFonts w:ascii="Arial" w:cs="Arial" w:eastAsia="Arial" w:hAnsi="Arial"/>
          <w:sz w:val="18"/>
          <w:szCs w:val="18"/>
          <w:color w:val="auto"/>
        </w:rPr>
        <w:t>unenforceable the remainder of such provision or the remaining provisions of this Amendment, or any other statement, instrument or transaction contemplated hereby or thereby or relating hereto or thereto in such jurisdiction, or affecting the effectiveness, validity or enforceability of such provision in any other jurisdiction.</w:t>
      </w:r>
    </w:p>
    <w:p>
      <w:pPr>
        <w:spacing w:after="0" w:line="177" w:lineRule="exact"/>
        <w:rPr>
          <w:sz w:val="20"/>
          <w:szCs w:val="20"/>
          <w:color w:val="auto"/>
        </w:rPr>
      </w:pPr>
    </w:p>
    <w:p>
      <w:pPr>
        <w:jc w:val="both"/>
        <w:ind w:firstLine="648"/>
        <w:spacing w:after="0" w:line="329" w:lineRule="auto"/>
        <w:rPr>
          <w:sz w:val="20"/>
          <w:szCs w:val="20"/>
          <w:color w:val="auto"/>
        </w:rPr>
      </w:pPr>
      <w:r>
        <w:rPr>
          <w:rFonts w:ascii="Arial" w:cs="Arial" w:eastAsia="Arial" w:hAnsi="Arial"/>
          <w:sz w:val="18"/>
          <w:szCs w:val="18"/>
          <w:b w:val="1"/>
          <w:bCs w:val="1"/>
          <w:color w:val="auto"/>
        </w:rPr>
        <w:t xml:space="preserve">Section 8. </w:t>
      </w:r>
      <w:r>
        <w:rPr>
          <w:rFonts w:ascii="Arial" w:cs="Arial" w:eastAsia="Arial" w:hAnsi="Arial"/>
          <w:sz w:val="18"/>
          <w:szCs w:val="18"/>
          <w:b w:val="1"/>
          <w:bCs w:val="1"/>
          <w:u w:val="single" w:color="auto"/>
          <w:color w:val="auto"/>
        </w:rPr>
        <w:t>Successors</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shall be binding upon the Borrower and the Lender and their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successors and assigns, and shall inure to the benefit of the Borrower and the Lender and the successors and assigns of the Lender.</w:t>
      </w:r>
    </w:p>
    <w:p>
      <w:pPr>
        <w:spacing w:after="0" w:line="16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8"/>
          <w:szCs w:val="18"/>
          <w:b w:val="1"/>
          <w:bCs w:val="1"/>
          <w:color w:val="auto"/>
        </w:rPr>
        <w:t xml:space="preserve">Section 9. </w:t>
      </w:r>
      <w:r>
        <w:rPr>
          <w:rFonts w:ascii="Arial" w:cs="Arial" w:eastAsia="Arial" w:hAnsi="Arial"/>
          <w:sz w:val="18"/>
          <w:szCs w:val="18"/>
          <w:b w:val="1"/>
          <w:bCs w:val="1"/>
          <w:u w:val="single" w:color="auto"/>
          <w:color w:val="auto"/>
        </w:rPr>
        <w:t>Legal Expenses</w:t>
      </w:r>
      <w:r>
        <w:rPr>
          <w:rFonts w:ascii="Arial" w:cs="Arial" w:eastAsia="Arial" w:hAnsi="Arial"/>
          <w:sz w:val="18"/>
          <w:szCs w:val="18"/>
          <w:color w:val="auto"/>
        </w:rPr>
        <w:t>. As provided in Section 8.2 of the Credit Agreement, the Borrower agrees to pay or reimburse</w:t>
      </w:r>
      <w:r>
        <w:rPr>
          <w:rFonts w:ascii="Arial" w:cs="Arial" w:eastAsia="Arial" w:hAnsi="Arial"/>
          <w:sz w:val="18"/>
          <w:szCs w:val="18"/>
          <w:b w:val="1"/>
          <w:bCs w:val="1"/>
          <w:color w:val="auto"/>
        </w:rPr>
        <w:t xml:space="preserve"> </w:t>
      </w:r>
      <w:r>
        <w:rPr>
          <w:rFonts w:ascii="Arial" w:cs="Arial" w:eastAsia="Arial" w:hAnsi="Arial"/>
          <w:sz w:val="18"/>
          <w:szCs w:val="18"/>
          <w:color w:val="auto"/>
        </w:rPr>
        <w:t>the Lender, upon execution of this Amendment, for all reasonable out-of-pocket expenses paid or incurred by the Lender, including filing and recording costs and fees, charges and disbursements of outside counsel to the Lender and/or the allocated costs of in-house counsel incurred from time to time, in connection with the Credit Agreement, including in connection with the negotiation, preparation, execution, collection and enforcement of the Amendment Documents and all other documents negotiated, prepared and executed in connection with the Amendment Documents, and in enforcing the obligations of the Borrower under the Amendment Documents, and to pay and save the Lender harmless from all liability for, any stamp or other taxes which may be payable with respect to the execution or delivery of the Amendment Documents, which obligations of the Borrower shall survive any termination of the Credit Agreement.</w:t>
      </w:r>
    </w:p>
    <w:p>
      <w:pPr>
        <w:spacing w:after="0" w:line="185" w:lineRule="exact"/>
        <w:rPr>
          <w:sz w:val="20"/>
          <w:szCs w:val="20"/>
          <w:color w:val="auto"/>
        </w:rPr>
      </w:pPr>
    </w:p>
    <w:p>
      <w:pPr>
        <w:jc w:val="both"/>
        <w:ind w:right="20" w:firstLine="648"/>
        <w:spacing w:after="0" w:line="329" w:lineRule="auto"/>
        <w:rPr>
          <w:sz w:val="20"/>
          <w:szCs w:val="20"/>
          <w:color w:val="auto"/>
        </w:rPr>
      </w:pPr>
      <w:r>
        <w:rPr>
          <w:rFonts w:ascii="Arial" w:cs="Arial" w:eastAsia="Arial" w:hAnsi="Arial"/>
          <w:sz w:val="18"/>
          <w:szCs w:val="18"/>
          <w:b w:val="1"/>
          <w:bCs w:val="1"/>
          <w:color w:val="auto"/>
        </w:rPr>
        <w:t xml:space="preserve">Section 10. </w:t>
      </w: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The headings of various sections of this Amendment have been inserted for reference only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be deemed to be a part of this Amendment.</w:t>
      </w:r>
    </w:p>
    <w:p>
      <w:pPr>
        <w:spacing w:after="0" w:line="162"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may be executed in several counterparts as deemed necessary or convenient,</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which, when so executed, shall be deemed an original, provided that all such counterparts shall be regarded as one and the same document, and either party to the Amendment may execute any such agreement by executing a counterpart of such agreement.</w:t>
      </w:r>
    </w:p>
    <w:p>
      <w:pPr>
        <w:spacing w:after="0" w:line="17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b w:val="1"/>
          <w:bCs w:val="1"/>
          <w:color w:val="auto"/>
        </w:rPr>
        <w:t xml:space="preserve">Section 12.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THE AMENDMENT DOCUMENTS SHALL BE GOVERNED BY THE INTERNAL LAWS OF THE STATE OF CALIFORNIA, WITHOUT GIVING EFFECT TO CONFLICT OF LAW PRINCIPLES THEREOF, BUT GIVING EFFECT TO FEDERAL LAWS APPLICABLE TO NATIONAL BANKS, THEIR HOLDING COMPANIES AND THEIR AFFILIATES.</w:t>
      </w:r>
    </w:p>
    <w:p>
      <w:pPr>
        <w:spacing w:after="0" w:line="200" w:lineRule="exact"/>
        <w:rPr>
          <w:sz w:val="20"/>
          <w:szCs w:val="20"/>
          <w:color w:val="auto"/>
        </w:rPr>
      </w:pPr>
    </w:p>
    <w:p>
      <w:pPr>
        <w:spacing w:after="0" w:line="202"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[The remainder of this page is intentionally left blank.]</w:t>
      </w:r>
    </w:p>
    <w:p>
      <w:pPr>
        <w:sectPr>
          <w:pgSz w:w="11900" w:h="16838" w:orient="portrait"/>
          <w:cols w:equalWidth="0" w:num="1">
            <w:col w:w="10760"/>
          </w:cols>
          <w:pgMar w:left="900" w:top="611" w:right="239" w:bottom="1440" w:gutter="0" w:footer="0" w:header="0"/>
        </w:sectPr>
      </w:pPr>
    </w:p>
    <w:bookmarkStart w:id="42" w:name="page43"/>
    <w:bookmarkEnd w:id="42"/>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Amendment to be executed by their officers thereunto duly authorized as of the date first above written.</w:t>
      </w:r>
    </w:p>
    <w:p>
      <w:pPr>
        <w:spacing w:after="0" w:line="200" w:lineRule="exact"/>
        <w:rPr>
          <w:sz w:val="20"/>
          <w:szCs w:val="20"/>
          <w:color w:val="auto"/>
        </w:rPr>
      </w:pPr>
    </w:p>
    <w:p>
      <w:pPr>
        <w:spacing w:after="0" w:line="34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UNIVERSAL ELECTRONICS INC.</w:t>
      </w:r>
    </w:p>
    <w:p>
      <w:pPr>
        <w:spacing w:after="0" w:line="38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3053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Bryan M. Hackworth</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U.S. BANK NATIONAL ASSOCIATION</w:t>
      </w:r>
    </w:p>
    <w:p>
      <w:pPr>
        <w:spacing w:after="0" w:line="38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 Andrew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Andrew Williams</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Vice President</w:t>
      </w:r>
    </w:p>
    <w:p>
      <w:pPr>
        <w:sectPr>
          <w:pgSz w:w="11900" w:h="16838" w:orient="portrait"/>
          <w:cols w:equalWidth="0" w:num="1">
            <w:col w:w="11240"/>
          </w:cols>
          <w:pgMar w:left="240" w:top="800" w:right="41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10.2</w:t>
      </w:r>
    </w:p>
    <w:p>
      <w:pPr>
        <w:spacing w:after="0" w:line="135" w:lineRule="exact"/>
        <w:rPr>
          <w:sz w:val="20"/>
          <w:szCs w:val="20"/>
          <w:color w:val="auto"/>
        </w:rPr>
      </w:pPr>
    </w:p>
    <w:p>
      <w:pPr>
        <w:ind w:left="3160"/>
        <w:spacing w:after="0"/>
        <w:rPr>
          <w:sz w:val="20"/>
          <w:szCs w:val="20"/>
          <w:color w:val="auto"/>
        </w:rPr>
      </w:pPr>
      <w:r>
        <w:rPr>
          <w:rFonts w:ascii="Arial" w:cs="Arial" w:eastAsia="Arial" w:hAnsi="Arial"/>
          <w:sz w:val="22"/>
          <w:szCs w:val="22"/>
          <w:b w:val="1"/>
          <w:bCs w:val="1"/>
          <w:color w:val="auto"/>
        </w:rPr>
        <w:t>Contract Reference Number:2933-152-2016-0009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80"/>
        <w:spacing w:after="0"/>
        <w:rPr>
          <w:sz w:val="20"/>
          <w:szCs w:val="20"/>
          <w:color w:val="auto"/>
        </w:rPr>
      </w:pPr>
      <w:r>
        <w:rPr>
          <w:rFonts w:ascii="Arial" w:cs="Arial" w:eastAsia="Arial" w:hAnsi="Arial"/>
          <w:sz w:val="31"/>
          <w:szCs w:val="31"/>
          <w:b w:val="1"/>
          <w:bCs w:val="1"/>
          <w:color w:val="auto"/>
        </w:rPr>
        <w:t>Equity Transfer Agreement With Respect to Panyu Gemstar Project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120"/>
        <w:spacing w:after="0"/>
        <w:rPr>
          <w:sz w:val="20"/>
          <w:szCs w:val="20"/>
          <w:color w:val="auto"/>
        </w:rPr>
      </w:pPr>
      <w:r>
        <w:rPr>
          <w:rFonts w:ascii="Arial" w:cs="Arial" w:eastAsia="Arial" w:hAnsi="Arial"/>
          <w:sz w:val="22"/>
          <w:szCs w:val="22"/>
          <w:b w:val="1"/>
          <w:bCs w:val="1"/>
          <w:color w:val="auto"/>
        </w:rPr>
        <w:t>Execution Date: September 26,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20"/>
          </w:cols>
          <w:pgMar w:left="1440" w:top="661" w:right="239" w:bottom="1440" w:gutter="0" w:footer="0" w:header="0"/>
        </w:sectPr>
      </w:pPr>
    </w:p>
    <w:bookmarkStart w:id="44" w:name="page45"/>
    <w:bookmarkEnd w:id="44"/>
    <w:p>
      <w:pPr>
        <w:spacing w:after="0" w:line="68" w:lineRule="exact"/>
        <w:rPr>
          <w:sz w:val="20"/>
          <w:szCs w:val="20"/>
          <w:color w:val="auto"/>
        </w:rPr>
      </w:pPr>
    </w:p>
    <w:p>
      <w:pPr>
        <w:ind w:left="4520"/>
        <w:spacing w:after="0"/>
        <w:rPr>
          <w:sz w:val="20"/>
          <w:szCs w:val="20"/>
          <w:color w:val="auto"/>
        </w:rPr>
      </w:pPr>
      <w:r>
        <w:rPr>
          <w:rFonts w:ascii="Arial" w:cs="Arial" w:eastAsia="Arial" w:hAnsi="Arial"/>
          <w:sz w:val="25"/>
          <w:szCs w:val="25"/>
          <w:b w:val="1"/>
          <w:bCs w:val="1"/>
          <w:color w:val="auto"/>
        </w:rPr>
        <w:t>Equity Transfer Agreement</w:t>
      </w:r>
    </w:p>
    <w:p>
      <w:pPr>
        <w:spacing w:after="0" w:line="200" w:lineRule="exact"/>
        <w:rPr>
          <w:sz w:val="20"/>
          <w:szCs w:val="20"/>
          <w:color w:val="auto"/>
        </w:rPr>
      </w:pPr>
    </w:p>
    <w:p>
      <w:pPr>
        <w:spacing w:after="0" w:line="305"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b w:val="1"/>
          <w:bCs w:val="1"/>
          <w:color w:val="auto"/>
        </w:rPr>
        <w:t>Party A:</w:t>
      </w:r>
      <w:r>
        <w:rPr>
          <w:sz w:val="20"/>
          <w:szCs w:val="20"/>
          <w:color w:val="auto"/>
        </w:rPr>
        <w:tab/>
      </w:r>
      <w:r>
        <w:rPr>
          <w:rFonts w:ascii="Arial" w:cs="Arial" w:eastAsia="Arial" w:hAnsi="Arial"/>
          <w:sz w:val="19"/>
          <w:szCs w:val="19"/>
          <w:b w:val="1"/>
          <w:bCs w:val="1"/>
          <w:color w:val="auto"/>
        </w:rPr>
        <w:t>CG Development Limited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Authorized Representative: David Chong Cheung Hyen</w:t>
      </w:r>
    </w:p>
    <w:p>
      <w:pPr>
        <w:spacing w:after="0" w:line="112"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9"/>
          <w:szCs w:val="19"/>
          <w:b w:val="1"/>
          <w:bCs w:val="1"/>
          <w:color w:val="auto"/>
        </w:rPr>
        <w:t>Address:</w:t>
        <w:tab/>
        <w:t>902-908, 9/F, One Harbourfront, 18 Tak Fung Street, Hung Hom, Kowloon, Hong Kong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22"/>
          <w:szCs w:val="22"/>
          <w:b w:val="1"/>
          <w:bCs w:val="1"/>
          <w:color w:val="auto"/>
        </w:rPr>
        <w:t>Party B:</w:t>
      </w:r>
      <w:r>
        <w:rPr>
          <w:sz w:val="20"/>
          <w:szCs w:val="20"/>
          <w:color w:val="auto"/>
        </w:rPr>
        <w:tab/>
      </w:r>
      <w:r>
        <w:rPr>
          <w:rFonts w:ascii="Arial" w:cs="Arial" w:eastAsia="Arial" w:hAnsi="Arial"/>
          <w:sz w:val="19"/>
          <w:szCs w:val="19"/>
          <w:b w:val="1"/>
          <w:bCs w:val="1"/>
          <w:color w:val="auto"/>
        </w:rPr>
        <w:t>Guangzhou Junhao Investment Co., Ltd.</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Legal Representative: Cen Zhaoxiong</w:t>
      </w:r>
    </w:p>
    <w:p>
      <w:pPr>
        <w:spacing w:after="0" w:line="112"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22"/>
          <w:szCs w:val="22"/>
          <w:b w:val="1"/>
          <w:bCs w:val="1"/>
          <w:color w:val="auto"/>
        </w:rPr>
        <w:t>Address:</w:t>
        <w:tab/>
        <w:t>Room S, 36/F, No. 410-412, Dongfeng Road, Yuexiu District, Guangzhou</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b w:val="1"/>
          <w:bCs w:val="1"/>
          <w:color w:val="auto"/>
        </w:rPr>
        <w:t>Party C:</w:t>
      </w:r>
      <w:r>
        <w:rPr>
          <w:sz w:val="20"/>
          <w:szCs w:val="20"/>
          <w:color w:val="auto"/>
        </w:rPr>
        <w:tab/>
      </w:r>
      <w:r>
        <w:rPr>
          <w:rFonts w:ascii="Arial" w:cs="Arial" w:eastAsia="Arial" w:hAnsi="Arial"/>
          <w:sz w:val="19"/>
          <w:szCs w:val="19"/>
          <w:b w:val="1"/>
          <w:bCs w:val="1"/>
          <w:color w:val="auto"/>
        </w:rPr>
        <w:t>Universal Electronics Inc.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Authorized Representative: Bryan M. Hackworth</w:t>
      </w:r>
    </w:p>
    <w:p>
      <w:pPr>
        <w:spacing w:after="0" w:line="49"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b w:val="1"/>
          <w:bCs w:val="1"/>
          <w:color w:val="auto"/>
        </w:rPr>
        <w:t>Address:</w:t>
      </w:r>
      <w:r>
        <w:rPr>
          <w:sz w:val="20"/>
          <w:szCs w:val="20"/>
          <w:color w:val="auto"/>
        </w:rPr>
        <w:tab/>
      </w:r>
      <w:r>
        <w:rPr>
          <w:rFonts w:ascii="Arial" w:cs="Arial" w:eastAsia="Arial" w:hAnsi="Arial"/>
          <w:sz w:val="19"/>
          <w:szCs w:val="19"/>
          <w:b w:val="1"/>
          <w:bCs w:val="1"/>
          <w:color w:val="auto"/>
        </w:rPr>
        <w:t>201E, Sandpoint Avenue, 8</w:t>
      </w:r>
      <w:r>
        <w:rPr>
          <w:rFonts w:ascii="Arial" w:cs="Arial" w:eastAsia="Arial" w:hAnsi="Arial"/>
          <w:sz w:val="25"/>
          <w:szCs w:val="25"/>
          <w:b w:val="1"/>
          <w:bCs w:val="1"/>
          <w:color w:val="auto"/>
          <w:vertAlign w:val="superscript"/>
        </w:rPr>
        <w:t>th</w:t>
      </w:r>
      <w:r>
        <w:rPr>
          <w:rFonts w:ascii="Arial" w:cs="Arial" w:eastAsia="Arial" w:hAnsi="Arial"/>
          <w:sz w:val="19"/>
          <w:szCs w:val="19"/>
          <w:b w:val="1"/>
          <w:bCs w:val="1"/>
          <w:color w:val="auto"/>
        </w:rPr>
        <w:t xml:space="preserve"> Floor, Santa Ana, CA 92707, 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b w:val="1"/>
          <w:bCs w:val="1"/>
          <w:color w:val="auto"/>
        </w:rPr>
        <w:t>Party D:</w:t>
      </w:r>
      <w:r>
        <w:rPr>
          <w:sz w:val="20"/>
          <w:szCs w:val="20"/>
          <w:color w:val="auto"/>
        </w:rPr>
        <w:tab/>
      </w:r>
      <w:r>
        <w:rPr>
          <w:rFonts w:ascii="Arial" w:cs="Arial" w:eastAsia="Arial" w:hAnsi="Arial"/>
          <w:sz w:val="19"/>
          <w:szCs w:val="19"/>
          <w:b w:val="1"/>
          <w:bCs w:val="1"/>
          <w:color w:val="auto"/>
        </w:rPr>
        <w:t>Gemstar Technology (China) Co., Ltd.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Legal Representative: Chen Dezhong</w:t>
      </w:r>
    </w:p>
    <w:p>
      <w:pPr>
        <w:spacing w:after="0" w:line="112"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22"/>
          <w:szCs w:val="22"/>
          <w:b w:val="1"/>
          <w:bCs w:val="1"/>
          <w:color w:val="auto"/>
        </w:rPr>
        <w:t>Address:</w:t>
        <w:tab/>
        <w:t>45 Section II Shiguang Road, Zhongcun Town, Panyu District, Guangzhou</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b w:val="1"/>
          <w:bCs w:val="1"/>
          <w:color w:val="auto"/>
        </w:rPr>
        <w:t>Party E:</w:t>
      </w:r>
      <w:r>
        <w:rPr>
          <w:sz w:val="20"/>
          <w:szCs w:val="20"/>
          <w:color w:val="auto"/>
        </w:rPr>
        <w:tab/>
      </w:r>
      <w:r>
        <w:rPr>
          <w:rFonts w:ascii="Arial" w:cs="Arial" w:eastAsia="Arial" w:hAnsi="Arial"/>
          <w:sz w:val="19"/>
          <w:szCs w:val="19"/>
          <w:b w:val="1"/>
          <w:bCs w:val="1"/>
          <w:color w:val="auto"/>
        </w:rPr>
        <w:t>Times Property Holdings Limited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Legal Representative: Cen Zhaoxiong</w:t>
      </w:r>
    </w:p>
    <w:p>
      <w:pPr>
        <w:spacing w:after="0" w:line="112"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b w:val="1"/>
          <w:bCs w:val="1"/>
          <w:color w:val="auto"/>
        </w:rPr>
        <w:t>Address:</w:t>
      </w:r>
      <w:r>
        <w:rPr>
          <w:sz w:val="20"/>
          <w:szCs w:val="20"/>
          <w:color w:val="auto"/>
        </w:rPr>
        <w:tab/>
      </w:r>
      <w:r>
        <w:rPr>
          <w:rFonts w:ascii="Arial" w:cs="Arial" w:eastAsia="Arial" w:hAnsi="Arial"/>
          <w:sz w:val="19"/>
          <w:szCs w:val="19"/>
          <w:b w:val="1"/>
          <w:bCs w:val="1"/>
          <w:color w:val="auto"/>
        </w:rPr>
        <w:t>Suites 4706-07, 47/F, Two Exchange Square, 8 Connaught Place, Central, Hong Kong</w:t>
      </w:r>
    </w:p>
    <w:p>
      <w:pPr>
        <w:spacing w:after="0" w:line="31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19"/>
          </w:cols>
          <w:pgMar w:left="240" w:top="1440" w:right="1440" w:bottom="1440" w:gutter="0" w:footer="0" w:header="0"/>
        </w:sectPr>
      </w:pPr>
    </w:p>
    <w:bookmarkStart w:id="45" w:name="page46"/>
    <w:bookmarkEnd w:id="45"/>
    <w:p>
      <w:pPr>
        <w:spacing w:after="0"/>
        <w:rPr>
          <w:sz w:val="20"/>
          <w:szCs w:val="20"/>
          <w:color w:val="auto"/>
        </w:rPr>
      </w:pPr>
      <w:r>
        <w:rPr>
          <w:rFonts w:ascii="Arial" w:cs="Arial" w:eastAsia="Arial" w:hAnsi="Arial"/>
          <w:sz w:val="22"/>
          <w:szCs w:val="22"/>
          <w:b w:val="1"/>
          <w:bCs w:val="1"/>
          <w:color w:val="auto"/>
        </w:rPr>
        <w:t>Whereas:</w:t>
      </w:r>
    </w:p>
    <w:p>
      <w:pPr>
        <w:spacing w:after="0" w:line="200" w:lineRule="exact"/>
        <w:rPr>
          <w:sz w:val="20"/>
          <w:szCs w:val="20"/>
          <w:color w:val="auto"/>
        </w:rPr>
      </w:pPr>
    </w:p>
    <w:p>
      <w:pPr>
        <w:spacing w:after="0" w:line="228" w:lineRule="exact"/>
        <w:rPr>
          <w:sz w:val="20"/>
          <w:szCs w:val="20"/>
          <w:color w:val="auto"/>
        </w:rPr>
      </w:pPr>
    </w:p>
    <w:p>
      <w:pPr>
        <w:jc w:val="both"/>
        <w:ind w:left="380" w:hanging="372"/>
        <w:spacing w:after="0" w:line="370" w:lineRule="auto"/>
        <w:tabs>
          <w:tab w:leader="none" w:pos="380" w:val="left"/>
        </w:tabs>
        <w:numPr>
          <w:ilvl w:val="0"/>
          <w:numId w:val="17"/>
        </w:numPr>
        <w:rPr>
          <w:rFonts w:ascii="Arial" w:cs="Arial" w:eastAsia="Arial" w:hAnsi="Arial"/>
          <w:sz w:val="21"/>
          <w:szCs w:val="21"/>
          <w:color w:val="auto"/>
        </w:rPr>
      </w:pPr>
      <w:r>
        <w:rPr>
          <w:rFonts w:ascii="Arial" w:cs="Arial" w:eastAsia="Arial" w:hAnsi="Arial"/>
          <w:sz w:val="21"/>
          <w:szCs w:val="21"/>
          <w:color w:val="auto"/>
        </w:rPr>
        <w:t>Party D is a limited liability company established and validly existing in accordance with the laws of People’s Republic of China (wholly-owned by a Taiwan, Hong Kong or Macau company) with registration number 440126400000167 located at 45 Section II Shiguang Road, Zhongcun Town, Panyu District, Guangzhou. Its legal representative is Chen Dezhong, its total investment is US$13.35 million, and its registered capital is US$8 million which has been fully paid up. Party D is a wholly owned subsidiary of Party A, and Party A holds 100% of the equity of Party D.</w:t>
      </w:r>
    </w:p>
    <w:p>
      <w:pPr>
        <w:spacing w:after="0" w:line="326" w:lineRule="exact"/>
        <w:rPr>
          <w:rFonts w:ascii="Arial" w:cs="Arial" w:eastAsia="Arial" w:hAnsi="Arial"/>
          <w:sz w:val="21"/>
          <w:szCs w:val="21"/>
          <w:color w:val="auto"/>
        </w:rPr>
      </w:pPr>
    </w:p>
    <w:p>
      <w:pPr>
        <w:jc w:val="both"/>
        <w:ind w:left="380" w:hanging="372"/>
        <w:spacing w:after="0" w:line="351" w:lineRule="auto"/>
        <w:tabs>
          <w:tab w:leader="none" w:pos="380" w:val="left"/>
        </w:tabs>
        <w:numPr>
          <w:ilvl w:val="0"/>
          <w:numId w:val="17"/>
        </w:numPr>
        <w:rPr>
          <w:rFonts w:ascii="Arial" w:cs="Arial" w:eastAsia="Arial" w:hAnsi="Arial"/>
          <w:sz w:val="22"/>
          <w:szCs w:val="22"/>
          <w:color w:val="auto"/>
        </w:rPr>
      </w:pPr>
      <w:r>
        <w:rPr>
          <w:rFonts w:ascii="Arial" w:cs="Arial" w:eastAsia="Arial" w:hAnsi="Arial"/>
          <w:sz w:val="22"/>
          <w:szCs w:val="22"/>
          <w:color w:val="auto"/>
        </w:rPr>
        <w:t>Party D acquired the land use right of multiple parcels of land through several transactions, which together constitute the piece of land located at 45 Section II Shiguang Road, Zhongcun Town, Panyu District, Guangzhou with a total area of 65,980.80 square meters (“Land”). Both the land grant premium and deed tax have been fully paid. Party D has obtained the Land Use Right Title Certificates for the Land (Numbers: Yue Fang Di Zheng Zi Di C6542932 and G03-000628, see Annex 1). The usage of the Land is Class II industrial land.</w:t>
      </w:r>
    </w:p>
    <w:p>
      <w:pPr>
        <w:spacing w:after="0" w:line="284" w:lineRule="exact"/>
        <w:rPr>
          <w:rFonts w:ascii="Arial" w:cs="Arial" w:eastAsia="Arial" w:hAnsi="Arial"/>
          <w:sz w:val="22"/>
          <w:szCs w:val="22"/>
          <w:color w:val="auto"/>
        </w:rPr>
      </w:pPr>
    </w:p>
    <w:p>
      <w:pPr>
        <w:ind w:left="380" w:hanging="372"/>
        <w:spacing w:after="0" w:line="366" w:lineRule="auto"/>
        <w:tabs>
          <w:tab w:leader="none" w:pos="380" w:val="left"/>
        </w:tabs>
        <w:numPr>
          <w:ilvl w:val="0"/>
          <w:numId w:val="17"/>
        </w:numPr>
        <w:rPr>
          <w:rFonts w:ascii="Arial" w:cs="Arial" w:eastAsia="Arial" w:hAnsi="Arial"/>
          <w:sz w:val="22"/>
          <w:szCs w:val="22"/>
          <w:color w:val="auto"/>
        </w:rPr>
      </w:pPr>
      <w:r>
        <w:rPr>
          <w:rFonts w:ascii="Arial" w:cs="Arial" w:eastAsia="Arial" w:hAnsi="Arial"/>
          <w:sz w:val="22"/>
          <w:szCs w:val="22"/>
          <w:color w:val="auto"/>
        </w:rPr>
        <w:t>As of June 30, 2016, based on the unaudited management accounts, the total assets value of Party D is RMB520,687,018, net fixed assets value is RMB115,365,006.</w:t>
      </w:r>
    </w:p>
    <w:p>
      <w:pPr>
        <w:spacing w:after="0" w:line="268" w:lineRule="exact"/>
        <w:rPr>
          <w:rFonts w:ascii="Arial" w:cs="Arial" w:eastAsia="Arial" w:hAnsi="Arial"/>
          <w:sz w:val="22"/>
          <w:szCs w:val="22"/>
          <w:color w:val="auto"/>
        </w:rPr>
      </w:pPr>
    </w:p>
    <w:p>
      <w:pPr>
        <w:ind w:left="380" w:hanging="372"/>
        <w:spacing w:after="0" w:line="366" w:lineRule="auto"/>
        <w:tabs>
          <w:tab w:leader="none" w:pos="380" w:val="left"/>
        </w:tabs>
        <w:numPr>
          <w:ilvl w:val="0"/>
          <w:numId w:val="17"/>
        </w:numPr>
        <w:rPr>
          <w:rFonts w:ascii="Arial" w:cs="Arial" w:eastAsia="Arial" w:hAnsi="Arial"/>
          <w:sz w:val="22"/>
          <w:szCs w:val="22"/>
          <w:color w:val="auto"/>
        </w:rPr>
      </w:pPr>
      <w:r>
        <w:rPr>
          <w:rFonts w:ascii="Arial" w:cs="Arial" w:eastAsia="Arial" w:hAnsi="Arial"/>
          <w:sz w:val="22"/>
          <w:szCs w:val="22"/>
          <w:color w:val="auto"/>
        </w:rPr>
        <w:t>Based on the unaudited management accounts, the net book value of the Land, Buildings and Leasehold Improvements thereon is RMB35,190,825 (see Annex 2).</w:t>
      </w:r>
    </w:p>
    <w:p>
      <w:pPr>
        <w:spacing w:after="0" w:line="268" w:lineRule="exact"/>
        <w:rPr>
          <w:rFonts w:ascii="Arial" w:cs="Arial" w:eastAsia="Arial" w:hAnsi="Arial"/>
          <w:sz w:val="22"/>
          <w:szCs w:val="22"/>
          <w:color w:val="auto"/>
        </w:rPr>
      </w:pPr>
    </w:p>
    <w:p>
      <w:pPr>
        <w:jc w:val="both"/>
        <w:ind w:left="380" w:hanging="372"/>
        <w:spacing w:after="0" w:line="367" w:lineRule="auto"/>
        <w:tabs>
          <w:tab w:leader="none" w:pos="380" w:val="left"/>
        </w:tabs>
        <w:numPr>
          <w:ilvl w:val="0"/>
          <w:numId w:val="17"/>
        </w:numPr>
        <w:rPr>
          <w:rFonts w:ascii="Arial" w:cs="Arial" w:eastAsia="Arial" w:hAnsi="Arial"/>
          <w:sz w:val="21"/>
          <w:szCs w:val="21"/>
          <w:color w:val="auto"/>
        </w:rPr>
      </w:pPr>
      <w:r>
        <w:rPr>
          <w:rFonts w:ascii="Arial" w:cs="Arial" w:eastAsia="Arial" w:hAnsi="Arial"/>
          <w:sz w:val="21"/>
          <w:szCs w:val="21"/>
          <w:color w:val="auto"/>
        </w:rPr>
        <w:t>Current status of the Land: There are properties on the Land, which include dormitory #3 with an area of 6,482.10 square meters under Real Estate Title Certificate #C6542926, factory building (i.e., Phrase I factory building including canteen) with an area of 28,345.70 square meters under Real Estate Title Certificate #C6542932, dormitory #2 with an area of 2,861.60 square meters under Real Estate Title Certificate #C6542927, dormitory #1 with an area of 6,400.50 square meters under Real Estate Title Certificate #C6542928, and office building and Phrase II factory building with an area of 18,955.70 square meters under Real Estate Title Certificate #C6542929 (“</w:t>
      </w:r>
      <w:r>
        <w:rPr>
          <w:rFonts w:ascii="Arial" w:cs="Arial" w:eastAsia="Arial" w:hAnsi="Arial"/>
          <w:sz w:val="21"/>
          <w:szCs w:val="21"/>
          <w:b w:val="1"/>
          <w:bCs w:val="1"/>
          <w:color w:val="auto"/>
        </w:rPr>
        <w:t>Buildings</w:t>
      </w:r>
      <w:r>
        <w:rPr>
          <w:rFonts w:ascii="Arial" w:cs="Arial" w:eastAsia="Arial" w:hAnsi="Arial"/>
          <w:sz w:val="21"/>
          <w:szCs w:val="21"/>
          <w:color w:val="auto"/>
        </w:rPr>
        <w:t>”). The aggregate area of the Buildings covered by the Real Estate Title Certificates is 63,045.60 square meters (see Annex 3).</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003" w:right="239" w:bottom="1440" w:gutter="0" w:footer="0" w:header="0"/>
        </w:sectPr>
      </w:pPr>
    </w:p>
    <w:bookmarkStart w:id="46" w:name="page47"/>
    <w:bookmarkEnd w:id="46"/>
    <w:p>
      <w:pPr>
        <w:jc w:val="both"/>
        <w:spacing w:after="0" w:line="462" w:lineRule="auto"/>
        <w:rPr>
          <w:sz w:val="20"/>
          <w:szCs w:val="20"/>
          <w:color w:val="auto"/>
        </w:rPr>
      </w:pPr>
      <w:r>
        <w:rPr>
          <w:rFonts w:ascii="Arial" w:cs="Arial" w:eastAsia="Arial" w:hAnsi="Arial"/>
          <w:sz w:val="19"/>
          <w:szCs w:val="19"/>
          <w:color w:val="auto"/>
        </w:rPr>
        <w:t>Based on the above and after full consultation with each other, the Parties have decided that Party A shall transfer to Party B 100% of the equity interest it holds in Party D. To facilitate the transaction, the Parties agree to enter into this Agreement.</w:t>
      </w:r>
    </w:p>
    <w:p>
      <w:pPr>
        <w:spacing w:after="0" w:line="193"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1.</w:t>
      </w:r>
      <w:r>
        <w:rPr>
          <w:sz w:val="20"/>
          <w:szCs w:val="20"/>
          <w:color w:val="auto"/>
        </w:rPr>
        <w:tab/>
      </w:r>
      <w:r>
        <w:rPr>
          <w:rFonts w:ascii="Arial" w:cs="Arial" w:eastAsia="Arial" w:hAnsi="Arial"/>
          <w:sz w:val="19"/>
          <w:szCs w:val="19"/>
          <w:b w:val="1"/>
          <w:bCs w:val="1"/>
          <w:color w:val="auto"/>
        </w:rPr>
        <w:t>Definitions and Paraphrases</w:t>
      </w:r>
    </w:p>
    <w:p>
      <w:pPr>
        <w:spacing w:after="0" w:line="200" w:lineRule="exact"/>
        <w:rPr>
          <w:sz w:val="20"/>
          <w:szCs w:val="20"/>
          <w:color w:val="auto"/>
        </w:rPr>
      </w:pPr>
    </w:p>
    <w:p>
      <w:pPr>
        <w:spacing w:after="0" w:line="276"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b w:val="1"/>
          <w:bCs w:val="1"/>
          <w:color w:val="auto"/>
        </w:rPr>
        <w:t>1.1</w:t>
      </w:r>
      <w:r>
        <w:rPr>
          <w:sz w:val="20"/>
          <w:szCs w:val="20"/>
          <w:color w:val="auto"/>
        </w:rPr>
        <w:tab/>
      </w:r>
      <w:r>
        <w:rPr>
          <w:rFonts w:ascii="Arial" w:cs="Arial" w:eastAsia="Arial" w:hAnsi="Arial"/>
          <w:sz w:val="19"/>
          <w:szCs w:val="19"/>
          <w:b w:val="1"/>
          <w:bCs w:val="1"/>
          <w:color w:val="auto"/>
        </w:rPr>
        <w:t>Definitions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color w:val="auto"/>
        </w:rPr>
        <w:t>Unless otherwise indicated in this Agreement, the following terms shall have the meanings as set forth below:</w:t>
      </w:r>
    </w:p>
    <w:p>
      <w:pPr>
        <w:spacing w:after="0" w:line="200" w:lineRule="exact"/>
        <w:rPr>
          <w:sz w:val="20"/>
          <w:szCs w:val="20"/>
          <w:color w:val="auto"/>
        </w:rPr>
      </w:pPr>
    </w:p>
    <w:p>
      <w:pPr>
        <w:spacing w:after="0" w:line="270" w:lineRule="exact"/>
        <w:rPr>
          <w:sz w:val="20"/>
          <w:szCs w:val="20"/>
          <w:color w:val="auto"/>
        </w:rPr>
      </w:pPr>
    </w:p>
    <w:p>
      <w:pPr>
        <w:jc w:val="both"/>
        <w:spacing w:after="0" w:line="37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Land</w:t>
      </w:r>
      <w:r>
        <w:rPr>
          <w:rFonts w:ascii="Arial" w:cs="Arial" w:eastAsia="Arial" w:hAnsi="Arial"/>
          <w:sz w:val="22"/>
          <w:szCs w:val="22"/>
          <w:color w:val="auto"/>
        </w:rPr>
        <w:t>” shall refer to the multiple parcels of land which together constitute the piece of land located at 45 Section II Shiguang Road, Zhongcun Town, Panyu District, Guangzhou with a total area of 65,980.80 square meters.</w:t>
      </w:r>
    </w:p>
    <w:p>
      <w:pPr>
        <w:spacing w:after="0" w:line="256" w:lineRule="exact"/>
        <w:rPr>
          <w:sz w:val="20"/>
          <w:szCs w:val="20"/>
          <w:color w:val="auto"/>
        </w:rPr>
      </w:pPr>
    </w:p>
    <w:p>
      <w:pPr>
        <w:jc w:val="both"/>
        <w:spacing w:after="0" w:line="3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Buildings</w:t>
      </w:r>
      <w:r>
        <w:rPr>
          <w:rFonts w:ascii="Arial" w:cs="Arial" w:eastAsia="Arial" w:hAnsi="Arial"/>
          <w:sz w:val="22"/>
          <w:szCs w:val="22"/>
          <w:color w:val="auto"/>
        </w:rPr>
        <w:t>” shall refer to the buildings built by Party D on the Land including dormitory #3 with an area of 6,482.10 square meters under Real Estate Title Certificate #C6542926, factory building (i.e., Phrase I factory building including canteen) with an area of 28,345.70 square meters under Real Estate Title Certificate #C6542932, dormitory #2 with an area of 2,861.60 square meters under Real Estate Title Certificate #C6542927, dormitory #1 with an area of 6,400.50 square meters under Real Estate Title Certificate #C6542928, and office building and Phrase II factory building with an area of 18,955.70 square meters under Real Estate Title Certificate #C6542929.</w:t>
      </w:r>
    </w:p>
    <w:p>
      <w:pPr>
        <w:spacing w:after="0" w:line="333" w:lineRule="exact"/>
        <w:rPr>
          <w:sz w:val="20"/>
          <w:szCs w:val="20"/>
          <w:color w:val="auto"/>
        </w:rPr>
      </w:pPr>
    </w:p>
    <w:p>
      <w:pPr>
        <w:jc w:val="both"/>
        <w:spacing w:after="0" w:line="37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Closing Date</w:t>
      </w:r>
      <w:r>
        <w:rPr>
          <w:rFonts w:ascii="Arial" w:cs="Arial" w:eastAsia="Arial" w:hAnsi="Arial"/>
          <w:sz w:val="22"/>
          <w:szCs w:val="22"/>
          <w:color w:val="auto"/>
        </w:rPr>
        <w:t>” shall refer to the date on which Party B has been recorded as the shareholder of Party D and all corporate documents of Party D and the Land have been delivered to Party B for Party B’s safe keeping.</w:t>
      </w:r>
    </w:p>
    <w:p>
      <w:pPr>
        <w:spacing w:after="0" w:line="31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Third Party</w:t>
      </w:r>
      <w:r>
        <w:rPr>
          <w:rFonts w:ascii="Arial" w:cs="Arial" w:eastAsia="Arial" w:hAnsi="Arial"/>
          <w:sz w:val="22"/>
          <w:szCs w:val="22"/>
          <w:color w:val="auto"/>
        </w:rPr>
        <w:t>” shall refer to any entity or individual which is not Party A, Party B, Party C, Party D or Party E.</w:t>
      </w:r>
    </w:p>
    <w:p>
      <w:pPr>
        <w:spacing w:after="0" w:line="200" w:lineRule="exact"/>
        <w:rPr>
          <w:sz w:val="20"/>
          <w:szCs w:val="20"/>
          <w:color w:val="auto"/>
        </w:rPr>
      </w:pPr>
    </w:p>
    <w:p>
      <w:pPr>
        <w:spacing w:after="0" w:line="276" w:lineRule="exact"/>
        <w:rPr>
          <w:sz w:val="20"/>
          <w:szCs w:val="20"/>
          <w:color w:val="auto"/>
        </w:rPr>
      </w:pPr>
    </w:p>
    <w:p>
      <w:pPr>
        <w:jc w:val="both"/>
        <w:spacing w:after="0" w:line="37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Authority in Charge of Commerce</w:t>
      </w:r>
      <w:r>
        <w:rPr>
          <w:rFonts w:ascii="Arial" w:cs="Arial" w:eastAsia="Arial" w:hAnsi="Arial"/>
          <w:sz w:val="22"/>
          <w:szCs w:val="22"/>
          <w:color w:val="auto"/>
        </w:rPr>
        <w:t>” shall refer to the authority in charge of commerce which originally approved the establishment of Party D.</w:t>
      </w:r>
    </w:p>
    <w:p>
      <w:pPr>
        <w:spacing w:after="0" w:line="310" w:lineRule="exact"/>
        <w:rPr>
          <w:sz w:val="20"/>
          <w:szCs w:val="20"/>
          <w:color w:val="auto"/>
        </w:rPr>
      </w:pPr>
    </w:p>
    <w:p>
      <w:pPr>
        <w:jc w:val="both"/>
        <w:spacing w:after="0" w:line="37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Approval</w:t>
      </w:r>
      <w:r>
        <w:rPr>
          <w:rFonts w:ascii="Arial" w:cs="Arial" w:eastAsia="Arial" w:hAnsi="Arial"/>
          <w:sz w:val="22"/>
          <w:szCs w:val="22"/>
          <w:color w:val="auto"/>
        </w:rPr>
        <w:t>” shall refer to any license, permit, approval, waiver, consent, authorization, registration or filing issued by or recorded with any government agency.</w:t>
      </w:r>
    </w:p>
    <w:p>
      <w:pPr>
        <w:spacing w:after="0" w:line="31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Applicable law</w:t>
      </w:r>
      <w:r>
        <w:rPr>
          <w:rFonts w:ascii="Arial" w:cs="Arial" w:eastAsia="Arial" w:hAnsi="Arial"/>
          <w:sz w:val="22"/>
          <w:szCs w:val="22"/>
          <w:color w:val="auto"/>
        </w:rPr>
        <w:t>" shall refer to any binding, effective and applicable treaties, laws, administrative regulations,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645" w:right="239" w:bottom="1440" w:gutter="0" w:footer="0" w:header="0"/>
        </w:sectPr>
      </w:pPr>
    </w:p>
    <w:bookmarkStart w:id="47" w:name="page48"/>
    <w:bookmarkEnd w:id="47"/>
    <w:p>
      <w:pPr>
        <w:jc w:val="both"/>
        <w:spacing w:after="0" w:line="366" w:lineRule="auto"/>
        <w:rPr>
          <w:sz w:val="20"/>
          <w:szCs w:val="20"/>
          <w:color w:val="auto"/>
        </w:rPr>
      </w:pPr>
      <w:r>
        <w:rPr>
          <w:rFonts w:ascii="Arial" w:cs="Arial" w:eastAsia="Arial" w:hAnsi="Arial"/>
          <w:sz w:val="22"/>
          <w:szCs w:val="22"/>
          <w:color w:val="auto"/>
        </w:rPr>
        <w:t>local laws, regulations, decisions, orders, judicial interpretations, judgments, decisions, arbitration awards or other normative documents to which a specified person or property is subject.</w:t>
      </w:r>
    </w:p>
    <w:p>
      <w:pPr>
        <w:spacing w:after="0" w:line="31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shall mean a calendar day except Saturday, Sunday and all Chinese statutory holidays.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RMB</w:t>
      </w:r>
      <w:r>
        <w:rPr>
          <w:rFonts w:ascii="Arial" w:cs="Arial" w:eastAsia="Arial" w:hAnsi="Arial"/>
          <w:sz w:val="22"/>
          <w:szCs w:val="22"/>
          <w:color w:val="auto"/>
        </w:rPr>
        <w:t>” shall refer to Renminbi Yuan.</w:t>
      </w:r>
    </w:p>
    <w:p>
      <w:pPr>
        <w:spacing w:after="0" w:line="200" w:lineRule="exact"/>
        <w:rPr>
          <w:sz w:val="20"/>
          <w:szCs w:val="20"/>
          <w:color w:val="auto"/>
        </w:rPr>
      </w:pPr>
    </w:p>
    <w:p>
      <w:pPr>
        <w:spacing w:after="0" w:line="228" w:lineRule="exact"/>
        <w:rPr>
          <w:sz w:val="20"/>
          <w:szCs w:val="20"/>
          <w:color w:val="auto"/>
        </w:rPr>
      </w:pPr>
    </w:p>
    <w:p>
      <w:pPr>
        <w:jc w:val="both"/>
        <w:spacing w:after="0" w:line="356" w:lineRule="auto"/>
        <w:rPr>
          <w:sz w:val="20"/>
          <w:szCs w:val="20"/>
          <w:color w:val="auto"/>
        </w:rPr>
      </w:pPr>
      <w:r>
        <w:rPr>
          <w:rFonts w:ascii="Arial" w:cs="Arial" w:eastAsia="Arial" w:hAnsi="Arial"/>
          <w:sz w:val="22"/>
          <w:szCs w:val="22"/>
          <w:color w:val="auto"/>
        </w:rPr>
        <w:t>1.2 In this Agreement, reference to a contract or an agreement includes its annexures and amendments; reference to provisions and annexures shall only refer to the provisions and annexures of this Agreement; and references to titles are only references to titles of this Agreement which shall not be used to construe this Agreement.</w:t>
      </w:r>
    </w:p>
    <w:p>
      <w:pPr>
        <w:spacing w:after="0" w:line="333" w:lineRule="exact"/>
        <w:rPr>
          <w:sz w:val="20"/>
          <w:szCs w:val="20"/>
          <w:color w:val="auto"/>
        </w:rPr>
      </w:pPr>
    </w:p>
    <w:p>
      <w:pPr>
        <w:jc w:val="both"/>
        <w:spacing w:after="0" w:line="356" w:lineRule="auto"/>
        <w:rPr>
          <w:sz w:val="20"/>
          <w:szCs w:val="20"/>
          <w:color w:val="auto"/>
        </w:rPr>
      </w:pPr>
      <w:r>
        <w:rPr>
          <w:rFonts w:ascii="Arial" w:cs="Arial" w:eastAsia="Arial" w:hAnsi="Arial"/>
          <w:sz w:val="22"/>
          <w:szCs w:val="22"/>
          <w:color w:val="auto"/>
        </w:rPr>
        <w:t>1.3 In this Agreement, unless otherwise indicated in this Agreement, "above", "below", "within" and "outside" or similar words are included in this number, "greater than," "less than," "more than," " insufficient "or similar words exclude this number, unless they are expressly stated in this Agreement.</w:t>
      </w:r>
    </w:p>
    <w:p>
      <w:pPr>
        <w:spacing w:after="0" w:line="273" w:lineRule="exact"/>
        <w:rPr>
          <w:sz w:val="20"/>
          <w:szCs w:val="20"/>
          <w:color w:val="auto"/>
        </w:rPr>
      </w:pPr>
    </w:p>
    <w:p>
      <w:pPr>
        <w:ind w:left="380" w:hanging="372"/>
        <w:spacing w:after="0"/>
        <w:tabs>
          <w:tab w:leader="none" w:pos="380" w:val="left"/>
        </w:tabs>
        <w:numPr>
          <w:ilvl w:val="0"/>
          <w:numId w:val="18"/>
        </w:numPr>
        <w:rPr>
          <w:rFonts w:ascii="Arial" w:cs="Arial" w:eastAsia="Arial" w:hAnsi="Arial"/>
          <w:sz w:val="22"/>
          <w:szCs w:val="22"/>
          <w:color w:val="auto"/>
        </w:rPr>
      </w:pPr>
      <w:r>
        <w:rPr>
          <w:rFonts w:ascii="Arial" w:cs="Arial" w:eastAsia="Arial" w:hAnsi="Arial"/>
          <w:sz w:val="22"/>
          <w:szCs w:val="22"/>
          <w:b w:val="1"/>
          <w:bCs w:val="1"/>
          <w:color w:val="auto"/>
        </w:rPr>
        <w:t>Conditions Precedent</w:t>
      </w:r>
    </w:p>
    <w:p>
      <w:pPr>
        <w:spacing w:after="0" w:line="200" w:lineRule="exact"/>
        <w:rPr>
          <w:sz w:val="20"/>
          <w:szCs w:val="20"/>
          <w:color w:val="auto"/>
        </w:rPr>
      </w:pPr>
    </w:p>
    <w:p>
      <w:pPr>
        <w:spacing w:after="0" w:line="228" w:lineRule="exact"/>
        <w:rPr>
          <w:sz w:val="20"/>
          <w:szCs w:val="20"/>
          <w:color w:val="auto"/>
        </w:rPr>
      </w:pPr>
    </w:p>
    <w:p>
      <w:pPr>
        <w:ind w:left="380" w:hanging="377"/>
        <w:spacing w:after="0" w:line="366" w:lineRule="auto"/>
        <w:rPr>
          <w:sz w:val="20"/>
          <w:szCs w:val="20"/>
          <w:color w:val="auto"/>
        </w:rPr>
      </w:pPr>
      <w:r>
        <w:rPr>
          <w:rFonts w:ascii="Arial" w:cs="Arial" w:eastAsia="Arial" w:hAnsi="Arial"/>
          <w:sz w:val="22"/>
          <w:szCs w:val="22"/>
          <w:color w:val="auto"/>
        </w:rPr>
        <w:t>2.1 Within 24 months of the date on which this Agreement is executed, Party A shall be responsible for the completion of the following matters:</w:t>
      </w:r>
    </w:p>
    <w:p>
      <w:pPr>
        <w:spacing w:after="0" w:line="376" w:lineRule="exact"/>
        <w:rPr>
          <w:sz w:val="20"/>
          <w:szCs w:val="20"/>
          <w:color w:val="auto"/>
        </w:rPr>
      </w:pPr>
    </w:p>
    <w:p>
      <w:pPr>
        <w:jc w:val="both"/>
        <w:ind w:left="1300"/>
        <w:spacing w:after="0" w:line="356" w:lineRule="auto"/>
        <w:rPr>
          <w:sz w:val="20"/>
          <w:szCs w:val="20"/>
          <w:color w:val="auto"/>
        </w:rPr>
      </w:pPr>
      <w:r>
        <w:rPr>
          <w:rFonts w:ascii="Arial" w:cs="Arial" w:eastAsia="Arial" w:hAnsi="Arial"/>
          <w:sz w:val="22"/>
          <w:szCs w:val="22"/>
          <w:color w:val="auto"/>
        </w:rPr>
        <w:t>2.1.1 By the end of the 24 months period, Party D shall stop all day-to-day business activities except those which have been agreed upon by Party A and Party B and those which are necessary for the valid exsistence of Party D;</w:t>
      </w:r>
    </w:p>
    <w:p>
      <w:pPr>
        <w:spacing w:after="0" w:line="22" w:lineRule="exact"/>
        <w:rPr>
          <w:sz w:val="20"/>
          <w:szCs w:val="20"/>
          <w:color w:val="auto"/>
        </w:rPr>
      </w:pPr>
    </w:p>
    <w:p>
      <w:pPr>
        <w:jc w:val="both"/>
        <w:ind w:left="1300"/>
        <w:spacing w:after="0" w:line="373" w:lineRule="auto"/>
        <w:rPr>
          <w:sz w:val="20"/>
          <w:szCs w:val="20"/>
          <w:color w:val="auto"/>
        </w:rPr>
      </w:pPr>
      <w:r>
        <w:rPr>
          <w:rFonts w:ascii="Arial" w:cs="Arial" w:eastAsia="Arial" w:hAnsi="Arial"/>
          <w:sz w:val="21"/>
          <w:szCs w:val="21"/>
          <w:color w:val="auto"/>
        </w:rPr>
        <w:t>2.1.2 Except the Land, the Buildings thereon, the cash reserve in Party D’s bank account(s), any regularly incurring tax liabilities and payment thereof, and any other items which have been specifically disclosed to Party B in writing, all other assets and debts have been separated and peeled off. If the separation and peeling off incur any costs and expenses, such costs and expenses shall be borne by Party A;</w:t>
      </w:r>
    </w:p>
    <w:p>
      <w:pPr>
        <w:spacing w:after="0" w:line="11" w:lineRule="exact"/>
        <w:rPr>
          <w:sz w:val="20"/>
          <w:szCs w:val="20"/>
          <w:color w:val="auto"/>
        </w:rPr>
      </w:pPr>
    </w:p>
    <w:p>
      <w:pPr>
        <w:ind w:left="1300"/>
        <w:spacing w:after="0"/>
        <w:tabs>
          <w:tab w:leader="none" w:pos="2360" w:val="left"/>
        </w:tabs>
        <w:rPr>
          <w:sz w:val="20"/>
          <w:szCs w:val="20"/>
          <w:color w:val="auto"/>
        </w:rPr>
      </w:pPr>
      <w:r>
        <w:rPr>
          <w:rFonts w:ascii="Arial" w:cs="Arial" w:eastAsia="Arial" w:hAnsi="Arial"/>
          <w:sz w:val="22"/>
          <w:szCs w:val="22"/>
          <w:color w:val="auto"/>
        </w:rPr>
        <w:t>2.1.3</w:t>
      </w:r>
      <w:r>
        <w:rPr>
          <w:sz w:val="20"/>
          <w:szCs w:val="20"/>
          <w:color w:val="auto"/>
        </w:rPr>
        <w:tab/>
      </w:r>
      <w:r>
        <w:rPr>
          <w:rFonts w:ascii="Arial" w:cs="Arial" w:eastAsia="Arial" w:hAnsi="Arial"/>
          <w:sz w:val="19"/>
          <w:szCs w:val="19"/>
          <w:color w:val="auto"/>
        </w:rPr>
        <w:t>Release Party D from all guarantees it issued;</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45" w:right="239" w:bottom="1440" w:gutter="0" w:footer="0" w:header="0"/>
        </w:sectPr>
      </w:pPr>
    </w:p>
    <w:bookmarkStart w:id="48" w:name="page49"/>
    <w:bookmarkEnd w:id="48"/>
    <w:p>
      <w:pPr>
        <w:ind w:left="1300"/>
        <w:spacing w:after="0"/>
        <w:tabs>
          <w:tab w:leader="none" w:pos="2360" w:val="left"/>
        </w:tabs>
        <w:rPr>
          <w:sz w:val="20"/>
          <w:szCs w:val="20"/>
          <w:color w:val="auto"/>
        </w:rPr>
      </w:pPr>
      <w:r>
        <w:rPr>
          <w:rFonts w:ascii="Arial" w:cs="Arial" w:eastAsia="Arial" w:hAnsi="Arial"/>
          <w:sz w:val="22"/>
          <w:szCs w:val="22"/>
          <w:color w:val="auto"/>
        </w:rPr>
        <w:t>2.1.4</w:t>
      </w:r>
      <w:r>
        <w:rPr>
          <w:sz w:val="20"/>
          <w:szCs w:val="20"/>
          <w:color w:val="auto"/>
        </w:rPr>
        <w:tab/>
      </w:r>
      <w:r>
        <w:rPr>
          <w:rFonts w:ascii="Arial" w:cs="Arial" w:eastAsia="Arial" w:hAnsi="Arial"/>
          <w:sz w:val="19"/>
          <w:szCs w:val="19"/>
          <w:color w:val="auto"/>
        </w:rPr>
        <w:t>There are no mortgages on the Land and the Buildings thereon;</w:t>
      </w:r>
    </w:p>
    <w:p>
      <w:pPr>
        <w:spacing w:after="0" w:line="112" w:lineRule="exact"/>
        <w:rPr>
          <w:sz w:val="20"/>
          <w:szCs w:val="20"/>
          <w:color w:val="auto"/>
        </w:rPr>
      </w:pPr>
    </w:p>
    <w:p>
      <w:pPr>
        <w:jc w:val="both"/>
        <w:ind w:left="1960"/>
        <w:spacing w:after="0" w:line="352" w:lineRule="auto"/>
        <w:rPr>
          <w:sz w:val="20"/>
          <w:szCs w:val="20"/>
          <w:color w:val="auto"/>
        </w:rPr>
      </w:pPr>
      <w:r>
        <w:rPr>
          <w:rFonts w:ascii="Arial" w:cs="Arial" w:eastAsia="Arial" w:hAnsi="Arial"/>
          <w:sz w:val="22"/>
          <w:szCs w:val="22"/>
          <w:color w:val="auto"/>
        </w:rPr>
        <w:t>All debts in the name of Party D have been cleared up (exclusive of the items which have been specifically disclosed to Party B in writing by Party A. In addition, with respect to the tax liabilities which are payable by Party D but not yet due, such tax liabilities shall be paid when due by the cash reserve in Party D’s bank account);</w:t>
      </w:r>
    </w:p>
    <w:p>
      <w:pPr>
        <w:spacing w:after="0" w:line="29"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22"/>
          <w:szCs w:val="22"/>
          <w:color w:val="auto"/>
        </w:rPr>
        <w:t>2.1.5</w:t>
      </w:r>
      <w:r>
        <w:rPr>
          <w:sz w:val="20"/>
          <w:szCs w:val="20"/>
          <w:color w:val="auto"/>
        </w:rPr>
        <w:tab/>
      </w:r>
      <w:r>
        <w:rPr>
          <w:rFonts w:ascii="Arial" w:cs="Arial" w:eastAsia="Arial" w:hAnsi="Arial"/>
          <w:sz w:val="19"/>
          <w:szCs w:val="19"/>
          <w:color w:val="auto"/>
        </w:rPr>
        <w:t>There are no judicial compulsory measures imposed on the Land and the Buildings thereon;</w:t>
      </w:r>
    </w:p>
    <w:p>
      <w:pPr>
        <w:spacing w:after="0" w:line="166"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22"/>
          <w:szCs w:val="22"/>
          <w:color w:val="auto"/>
        </w:rPr>
        <w:t>2.1.6</w:t>
      </w:r>
      <w:r>
        <w:rPr>
          <w:sz w:val="20"/>
          <w:szCs w:val="20"/>
          <w:color w:val="auto"/>
        </w:rPr>
        <w:tab/>
      </w:r>
      <w:r>
        <w:rPr>
          <w:rFonts w:ascii="Arial" w:cs="Arial" w:eastAsia="Arial" w:hAnsi="Arial"/>
          <w:sz w:val="19"/>
          <w:szCs w:val="19"/>
          <w:color w:val="auto"/>
        </w:rPr>
        <w:t>All lease agreements with respect to the Land and the Buildings thereon have been terminated;</w:t>
      </w:r>
    </w:p>
    <w:p>
      <w:pPr>
        <w:spacing w:after="0" w:line="166"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22"/>
          <w:szCs w:val="22"/>
          <w:color w:val="auto"/>
        </w:rPr>
        <w:t>2.1.7</w:t>
      </w:r>
      <w:r>
        <w:rPr>
          <w:sz w:val="20"/>
          <w:szCs w:val="20"/>
          <w:color w:val="auto"/>
        </w:rPr>
        <w:tab/>
      </w:r>
      <w:r>
        <w:rPr>
          <w:rFonts w:ascii="Arial" w:cs="Arial" w:eastAsia="Arial" w:hAnsi="Arial"/>
          <w:sz w:val="19"/>
          <w:szCs w:val="19"/>
          <w:color w:val="auto"/>
        </w:rPr>
        <w:t>The Land and the Buildings thereon remain “as is”;</w:t>
      </w:r>
    </w:p>
    <w:p>
      <w:pPr>
        <w:spacing w:after="0" w:line="166"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22"/>
          <w:szCs w:val="22"/>
          <w:color w:val="auto"/>
        </w:rPr>
        <w:t>2.1.8</w:t>
      </w:r>
      <w:r>
        <w:rPr>
          <w:sz w:val="20"/>
          <w:szCs w:val="20"/>
          <w:color w:val="auto"/>
        </w:rPr>
        <w:tab/>
      </w:r>
      <w:r>
        <w:rPr>
          <w:rFonts w:ascii="Arial" w:cs="Arial" w:eastAsia="Arial" w:hAnsi="Arial"/>
          <w:sz w:val="19"/>
          <w:szCs w:val="19"/>
          <w:color w:val="auto"/>
        </w:rPr>
        <w:t>All the water bills, electric bills and gas bills have been settled. Water and electricity supplies remain as-is.</w:t>
      </w:r>
    </w:p>
    <w:p>
      <w:pPr>
        <w:spacing w:after="0" w:line="200" w:lineRule="exact"/>
        <w:rPr>
          <w:sz w:val="20"/>
          <w:szCs w:val="20"/>
          <w:color w:val="auto"/>
        </w:rPr>
      </w:pPr>
    </w:p>
    <w:p>
      <w:pPr>
        <w:spacing w:after="0" w:line="276" w:lineRule="exact"/>
        <w:rPr>
          <w:sz w:val="20"/>
          <w:szCs w:val="20"/>
          <w:color w:val="auto"/>
        </w:rPr>
      </w:pPr>
    </w:p>
    <w:p>
      <w:pPr>
        <w:jc w:val="both"/>
        <w:spacing w:after="0" w:line="356" w:lineRule="auto"/>
        <w:rPr>
          <w:sz w:val="20"/>
          <w:szCs w:val="20"/>
          <w:color w:val="auto"/>
        </w:rPr>
      </w:pPr>
      <w:r>
        <w:rPr>
          <w:rFonts w:ascii="Arial" w:cs="Arial" w:eastAsia="Arial" w:hAnsi="Arial"/>
          <w:sz w:val="22"/>
          <w:szCs w:val="22"/>
          <w:color w:val="auto"/>
        </w:rPr>
        <w:t>If Party A completes all of the aforementioned matters ahead of time (within 24 months after the signing of this Agreement), Party A shall notify Party B in writing at least two (2) months in advance in order for Party B to complete its due diligence review accordingly.</w:t>
      </w:r>
    </w:p>
    <w:p>
      <w:pPr>
        <w:spacing w:after="0" w:line="333" w:lineRule="exact"/>
        <w:rPr>
          <w:sz w:val="20"/>
          <w:szCs w:val="20"/>
          <w:color w:val="auto"/>
        </w:rPr>
      </w:pPr>
    </w:p>
    <w:p>
      <w:pPr>
        <w:jc w:val="both"/>
        <w:ind w:left="380" w:hanging="364"/>
        <w:spacing w:after="0" w:line="410" w:lineRule="auto"/>
        <w:rPr>
          <w:sz w:val="20"/>
          <w:szCs w:val="20"/>
          <w:color w:val="auto"/>
        </w:rPr>
      </w:pPr>
      <w:r>
        <w:rPr>
          <w:rFonts w:ascii="Arial" w:cs="Arial" w:eastAsia="Arial" w:hAnsi="Arial"/>
          <w:sz w:val="19"/>
          <w:szCs w:val="19"/>
          <w:color w:val="auto"/>
        </w:rPr>
        <w:t>2.2 Within thirty (30) days of Party A’s completion of the matters as set forth in Clause 2.1, Party B shall be responsible for appointing professional agencies, at Party B’s sole cost to conduct full due diligence review on Party D and promptly revert to Party A the result of the due diligence review. With respect to the written materials and data provided by Party A at the request of Party B according to the document list provided by Party B, Party A warrants that, to its actual knowledge, all such written materials and data are all relevant information possessed and known by Party A, are truthful, accurate, complete, and valid with no materially missing information, misleading statements, or intentional omissions.</w:t>
      </w:r>
    </w:p>
    <w:p>
      <w:pPr>
        <w:spacing w:after="0" w:line="2" w:lineRule="exact"/>
        <w:rPr>
          <w:sz w:val="20"/>
          <w:szCs w:val="20"/>
          <w:color w:val="auto"/>
        </w:rPr>
      </w:pPr>
    </w:p>
    <w:p>
      <w:pPr>
        <w:jc w:val="both"/>
        <w:ind w:left="380" w:hanging="364"/>
        <w:spacing w:after="0" w:line="356" w:lineRule="auto"/>
        <w:rPr>
          <w:sz w:val="20"/>
          <w:szCs w:val="20"/>
          <w:color w:val="auto"/>
        </w:rPr>
      </w:pPr>
      <w:r>
        <w:rPr>
          <w:rFonts w:ascii="Arial" w:cs="Arial" w:eastAsia="Arial" w:hAnsi="Arial"/>
          <w:sz w:val="22"/>
          <w:szCs w:val="22"/>
          <w:color w:val="auto"/>
        </w:rPr>
        <w:t>2.3 Upon completion of due diligence review on Party D by the professional agencies appointed by Party B, the results are in substantial and material conformance (namely without prejudice to Party B’s rights and interests in the Land and the Buildings) to the following:</w:t>
      </w:r>
    </w:p>
    <w:p>
      <w:pPr>
        <w:spacing w:after="0" w:line="333" w:lineRule="exact"/>
        <w:rPr>
          <w:sz w:val="20"/>
          <w:szCs w:val="20"/>
          <w:color w:val="auto"/>
        </w:rPr>
      </w:pPr>
    </w:p>
    <w:p>
      <w:pPr>
        <w:ind w:left="1280" w:right="60" w:hanging="647"/>
        <w:spacing w:after="0" w:line="366" w:lineRule="auto"/>
        <w:tabs>
          <w:tab w:leader="none" w:pos="1260" w:val="left"/>
        </w:tabs>
        <w:rPr>
          <w:sz w:val="20"/>
          <w:szCs w:val="20"/>
          <w:color w:val="auto"/>
        </w:rPr>
      </w:pPr>
      <w:r>
        <w:rPr>
          <w:rFonts w:ascii="Arial" w:cs="Arial" w:eastAsia="Arial" w:hAnsi="Arial"/>
          <w:sz w:val="22"/>
          <w:szCs w:val="22"/>
          <w:color w:val="auto"/>
        </w:rPr>
        <w:t>2.3.1</w:t>
        <w:tab/>
        <w:t>Party A shall warrant, to Party A’s actual knowledge, that all the statements, representations, and warranties set forth in Clause 5 concerning Party A itself and Party D are true, accurate and complete;</w:t>
      </w:r>
    </w:p>
    <w:p>
      <w:pPr>
        <w:spacing w:after="0" w:line="12" w:lineRule="exact"/>
        <w:rPr>
          <w:sz w:val="20"/>
          <w:szCs w:val="20"/>
          <w:color w:val="auto"/>
        </w:rPr>
      </w:pPr>
    </w:p>
    <w:p>
      <w:pPr>
        <w:ind w:left="1280" w:right="20" w:hanging="647"/>
        <w:spacing w:after="0" w:line="366" w:lineRule="auto"/>
        <w:tabs>
          <w:tab w:leader="none" w:pos="1260" w:val="left"/>
        </w:tabs>
        <w:rPr>
          <w:sz w:val="20"/>
          <w:szCs w:val="20"/>
          <w:color w:val="auto"/>
        </w:rPr>
      </w:pPr>
      <w:r>
        <w:rPr>
          <w:rFonts w:ascii="Arial" w:cs="Arial" w:eastAsia="Arial" w:hAnsi="Arial"/>
          <w:sz w:val="22"/>
          <w:szCs w:val="22"/>
          <w:color w:val="auto"/>
        </w:rPr>
        <w:t>2.3.2</w:t>
        <w:tab/>
        <w:t>Party A has resolved as requested by Party B the incoherencies and incompletions found between the results of the due diligence review and the statements, representations, and</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99" w:right="239" w:bottom="1440" w:gutter="0" w:footer="0" w:header="0"/>
        </w:sectPr>
      </w:pPr>
    </w:p>
    <w:bookmarkStart w:id="49" w:name="page50"/>
    <w:bookmarkEnd w:id="49"/>
    <w:p>
      <w:pPr>
        <w:jc w:val="both"/>
        <w:ind w:left="1280" w:right="20"/>
        <w:spacing w:after="0" w:line="356" w:lineRule="auto"/>
        <w:rPr>
          <w:sz w:val="20"/>
          <w:szCs w:val="20"/>
          <w:color w:val="auto"/>
        </w:rPr>
      </w:pPr>
      <w:r>
        <w:rPr>
          <w:rFonts w:ascii="Arial" w:cs="Arial" w:eastAsia="Arial" w:hAnsi="Arial"/>
          <w:sz w:val="22"/>
          <w:szCs w:val="22"/>
          <w:color w:val="auto"/>
        </w:rPr>
        <w:t>warranties made by Party A and Party D in Clause 5 of this Agreement. If there are disputes as to the satisfactoriness of the resolution above, Party A and Party B shall have friendly negotiation or apply to arbitration pursuant to Clause 8.2 of this Agreement ;</w:t>
      </w:r>
    </w:p>
    <w:p>
      <w:pPr>
        <w:spacing w:after="0" w:line="22" w:lineRule="exact"/>
        <w:rPr>
          <w:sz w:val="20"/>
          <w:szCs w:val="20"/>
          <w:color w:val="auto"/>
        </w:rPr>
      </w:pPr>
    </w:p>
    <w:p>
      <w:pPr>
        <w:jc w:val="both"/>
        <w:ind w:left="1280" w:hanging="647"/>
        <w:spacing w:after="0" w:line="430" w:lineRule="auto"/>
        <w:tabs>
          <w:tab w:leader="none" w:pos="1260" w:val="left"/>
        </w:tabs>
        <w:rPr>
          <w:sz w:val="20"/>
          <w:szCs w:val="20"/>
          <w:color w:val="auto"/>
        </w:rPr>
      </w:pPr>
      <w:r>
        <w:rPr>
          <w:rFonts w:ascii="Arial" w:cs="Arial" w:eastAsia="Arial" w:hAnsi="Arial"/>
          <w:sz w:val="22"/>
          <w:szCs w:val="22"/>
          <w:color w:val="auto"/>
        </w:rPr>
        <w:t>2.3.3</w:t>
      </w:r>
      <w:r>
        <w:rPr>
          <w:sz w:val="20"/>
          <w:szCs w:val="20"/>
          <w:color w:val="auto"/>
        </w:rPr>
        <w:tab/>
      </w:r>
      <w:r>
        <w:rPr>
          <w:rFonts w:ascii="Arial" w:cs="Arial" w:eastAsia="Arial" w:hAnsi="Arial"/>
          <w:sz w:val="19"/>
          <w:szCs w:val="19"/>
          <w:color w:val="auto"/>
        </w:rPr>
        <w:t>Party A shall ensure that, to Party A’s actual knowledge, there is no defect in the legitimacy and transferability with respect to the equity of Party D held by Party A, which may lead to a failure of transferring the equity of Party D.</w:t>
      </w:r>
    </w:p>
    <w:p>
      <w:pPr>
        <w:jc w:val="both"/>
        <w:ind w:left="1280" w:hanging="647"/>
        <w:spacing w:after="0" w:line="366" w:lineRule="auto"/>
        <w:tabs>
          <w:tab w:leader="none" w:pos="1260" w:val="left"/>
        </w:tabs>
        <w:rPr>
          <w:sz w:val="20"/>
          <w:szCs w:val="20"/>
          <w:color w:val="auto"/>
        </w:rPr>
      </w:pPr>
      <w:r>
        <w:rPr>
          <w:rFonts w:ascii="Arial" w:cs="Arial" w:eastAsia="Arial" w:hAnsi="Arial"/>
          <w:sz w:val="22"/>
          <w:szCs w:val="22"/>
          <w:color w:val="auto"/>
        </w:rPr>
        <w:t>2.3.4</w:t>
        <w:tab/>
        <w:t>Party A shall ensure that there is no defect in the land use right of the Land owned by Party D which may lead to failure of the equity transfer purpose under this Agreement.</w:t>
      </w:r>
    </w:p>
    <w:p>
      <w:pPr>
        <w:spacing w:after="0" w:line="12" w:lineRule="exact"/>
        <w:rPr>
          <w:sz w:val="20"/>
          <w:szCs w:val="20"/>
          <w:color w:val="auto"/>
        </w:rPr>
      </w:pPr>
    </w:p>
    <w:p>
      <w:pPr>
        <w:jc w:val="both"/>
        <w:ind w:left="1280" w:hanging="647"/>
        <w:spacing w:after="0" w:line="356" w:lineRule="auto"/>
        <w:tabs>
          <w:tab w:leader="none" w:pos="126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22"/>
          <w:szCs w:val="22"/>
          <w:color w:val="auto"/>
        </w:rPr>
        <w:t>Party A and Party B agree and confirm once this Agreement is duly executed by the Parties, the equity transfer contemplated under this Agreement is a deal of must-buy-must-sell. Both Party A and Party B must perform this Agreement in due course.</w:t>
      </w:r>
    </w:p>
    <w:p>
      <w:pPr>
        <w:spacing w:after="0" w:line="273" w:lineRule="exact"/>
        <w:rPr>
          <w:sz w:val="20"/>
          <w:szCs w:val="20"/>
          <w:color w:val="auto"/>
        </w:rPr>
      </w:pPr>
    </w:p>
    <w:p>
      <w:pPr>
        <w:ind w:left="380" w:hanging="372"/>
        <w:spacing w:after="0"/>
        <w:tabs>
          <w:tab w:leader="none" w:pos="380" w:val="left"/>
        </w:tabs>
        <w:numPr>
          <w:ilvl w:val="0"/>
          <w:numId w:val="19"/>
        </w:numPr>
        <w:rPr>
          <w:rFonts w:ascii="Arial" w:cs="Arial" w:eastAsia="Arial" w:hAnsi="Arial"/>
          <w:sz w:val="22"/>
          <w:szCs w:val="22"/>
          <w:color w:val="auto"/>
        </w:rPr>
      </w:pPr>
      <w:r>
        <w:rPr>
          <w:rFonts w:ascii="Arial" w:cs="Arial" w:eastAsia="Arial" w:hAnsi="Arial"/>
          <w:sz w:val="22"/>
          <w:szCs w:val="22"/>
          <w:b w:val="1"/>
          <w:bCs w:val="1"/>
          <w:color w:val="auto"/>
        </w:rPr>
        <w:t>Purpose, Subject, Closing Date and Transfer Price</w:t>
      </w:r>
    </w:p>
    <w:p>
      <w:pPr>
        <w:spacing w:after="0" w:line="200" w:lineRule="exact"/>
        <w:rPr>
          <w:sz w:val="20"/>
          <w:szCs w:val="20"/>
          <w:color w:val="auto"/>
        </w:rPr>
      </w:pPr>
    </w:p>
    <w:p>
      <w:pPr>
        <w:spacing w:after="0" w:line="282" w:lineRule="exact"/>
        <w:rPr>
          <w:sz w:val="20"/>
          <w:szCs w:val="20"/>
          <w:color w:val="auto"/>
        </w:rPr>
      </w:pPr>
    </w:p>
    <w:p>
      <w:pPr>
        <w:jc w:val="both"/>
        <w:ind w:left="380" w:hanging="364"/>
        <w:spacing w:after="0" w:line="356" w:lineRule="auto"/>
        <w:rPr>
          <w:sz w:val="20"/>
          <w:szCs w:val="20"/>
          <w:color w:val="auto"/>
        </w:rPr>
      </w:pPr>
      <w:r>
        <w:rPr>
          <w:rFonts w:ascii="Arial" w:cs="Arial" w:eastAsia="Arial" w:hAnsi="Arial"/>
          <w:sz w:val="22"/>
          <w:szCs w:val="22"/>
          <w:color w:val="auto"/>
        </w:rPr>
        <w:t>3.1 Party B agrees to buy and Party A agrees to sell 100% of the equity of Party D in accordance with the terms of this Agreement upon the results of due diligence review indicating that all conditions precedent set forth in Clause 2.1 have been met and that the results of due diligence review conform to Clause 2.3 as well.</w:t>
      </w:r>
    </w:p>
    <w:p>
      <w:pPr>
        <w:spacing w:after="0" w:line="22" w:lineRule="exact"/>
        <w:rPr>
          <w:sz w:val="20"/>
          <w:szCs w:val="20"/>
          <w:color w:val="auto"/>
        </w:rPr>
      </w:pPr>
    </w:p>
    <w:p>
      <w:pPr>
        <w:jc w:val="both"/>
        <w:ind w:left="380" w:right="20" w:hanging="364"/>
        <w:spacing w:after="0" w:line="366" w:lineRule="auto"/>
        <w:rPr>
          <w:sz w:val="20"/>
          <w:szCs w:val="20"/>
          <w:color w:val="auto"/>
        </w:rPr>
      </w:pPr>
      <w:r>
        <w:rPr>
          <w:rFonts w:ascii="Arial" w:cs="Arial" w:eastAsia="Arial" w:hAnsi="Arial"/>
          <w:sz w:val="22"/>
          <w:szCs w:val="22"/>
          <w:color w:val="auto"/>
        </w:rPr>
        <w:t>3.2 Purpose of transaction: Facilitate Party B to obtain the corresponding Land and the Buildings thereon through acquiring from Party A 100% equity that Party A holds in Party D.</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color w:val="auto"/>
        </w:rPr>
        <w:t>3.3 Subject of transaction: 100% of the equity of Party D held by Party A.</w:t>
      </w:r>
    </w:p>
    <w:p>
      <w:pPr>
        <w:spacing w:after="0" w:line="166" w:lineRule="exact"/>
        <w:rPr>
          <w:sz w:val="20"/>
          <w:szCs w:val="20"/>
          <w:color w:val="auto"/>
        </w:rPr>
      </w:pPr>
    </w:p>
    <w:p>
      <w:pPr>
        <w:jc w:val="both"/>
        <w:ind w:left="380" w:hanging="364"/>
        <w:spacing w:after="0" w:line="415" w:lineRule="auto"/>
        <w:rPr>
          <w:sz w:val="20"/>
          <w:szCs w:val="20"/>
          <w:color w:val="auto"/>
        </w:rPr>
      </w:pPr>
      <w:r>
        <w:rPr>
          <w:rFonts w:ascii="Arial" w:cs="Arial" w:eastAsia="Arial" w:hAnsi="Arial"/>
          <w:sz w:val="19"/>
          <w:szCs w:val="19"/>
          <w:color w:val="auto"/>
        </w:rPr>
        <w:t>3.4 Closing Date and debts: The Closing Date is a point of time where Party A and Party B divide their rights and obligations in Party D respectively. Prior to the Closing Date, unless otherwise indicated in this Agreement, Party D’s rights and interests derived from the Land shall be enjoyed and debts incurred by Party D shall be borne by Party A. After the Closing Date, all rights, interests and assets of Party D shall belong to Party B and all debts incurred by Party D shall be borne by Party B.</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3.5 Transfer Price: The transfer price for 100% of the equity of Party D is RMB320 million.</w:t>
      </w:r>
    </w:p>
    <w:p>
      <w:pPr>
        <w:spacing w:after="0" w:line="166" w:lineRule="exact"/>
        <w:rPr>
          <w:sz w:val="20"/>
          <w:szCs w:val="20"/>
          <w:color w:val="auto"/>
        </w:rPr>
      </w:pPr>
    </w:p>
    <w:p>
      <w:pPr>
        <w:jc w:val="both"/>
        <w:ind w:left="380" w:hanging="364"/>
        <w:spacing w:after="0" w:line="395" w:lineRule="auto"/>
        <w:rPr>
          <w:sz w:val="20"/>
          <w:szCs w:val="20"/>
          <w:color w:val="auto"/>
        </w:rPr>
      </w:pPr>
      <w:r>
        <w:rPr>
          <w:rFonts w:ascii="Arial" w:cs="Arial" w:eastAsia="Arial" w:hAnsi="Arial"/>
          <w:sz w:val="21"/>
          <w:szCs w:val="21"/>
          <w:color w:val="auto"/>
        </w:rPr>
        <w:t>3.6 Payment schedule for the transfer price of RMB320 million is set forth in Clause 4. Party A undertakes that it shall provide Party B a receipt of payment upon receipt of RMB320 million paid by Party B in accordance with Clause 4.6.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699" w:right="239" w:bottom="1440" w:gutter="0" w:footer="0" w:header="0"/>
        </w:sectPr>
      </w:pPr>
    </w:p>
    <w:bookmarkStart w:id="50" w:name="page51"/>
    <w:bookmarkEnd w:id="50"/>
    <w:p>
      <w:pPr>
        <w:ind w:left="380" w:hanging="372"/>
        <w:spacing w:after="0"/>
        <w:tabs>
          <w:tab w:leader="none" w:pos="380" w:val="left"/>
        </w:tabs>
        <w:numPr>
          <w:ilvl w:val="0"/>
          <w:numId w:val="20"/>
        </w:numPr>
        <w:rPr>
          <w:rFonts w:ascii="Arial" w:cs="Arial" w:eastAsia="Arial" w:hAnsi="Arial"/>
          <w:sz w:val="22"/>
          <w:szCs w:val="22"/>
          <w:color w:val="auto"/>
        </w:rPr>
      </w:pPr>
      <w:r>
        <w:rPr>
          <w:rFonts w:ascii="Arial" w:cs="Arial" w:eastAsia="Arial" w:hAnsi="Arial"/>
          <w:sz w:val="22"/>
          <w:szCs w:val="22"/>
          <w:b w:val="1"/>
          <w:bCs w:val="1"/>
          <w:color w:val="auto"/>
        </w:rPr>
        <w:t>Transaction Arrangement and Transfer Price Payment Schedule</w:t>
      </w:r>
    </w:p>
    <w:p>
      <w:pPr>
        <w:spacing w:after="0" w:line="200" w:lineRule="exact"/>
        <w:rPr>
          <w:sz w:val="20"/>
          <w:szCs w:val="20"/>
          <w:color w:val="auto"/>
        </w:rPr>
      </w:pPr>
    </w:p>
    <w:p>
      <w:pPr>
        <w:spacing w:after="0" w:line="336" w:lineRule="exact"/>
        <w:rPr>
          <w:sz w:val="20"/>
          <w:szCs w:val="20"/>
          <w:color w:val="auto"/>
        </w:rPr>
      </w:pPr>
    </w:p>
    <w:p>
      <w:pPr>
        <w:jc w:val="both"/>
        <w:ind w:left="340" w:hanging="323"/>
        <w:spacing w:after="0" w:line="350" w:lineRule="auto"/>
        <w:rPr>
          <w:sz w:val="20"/>
          <w:szCs w:val="20"/>
          <w:color w:val="auto"/>
        </w:rPr>
      </w:pPr>
      <w:r>
        <w:rPr>
          <w:rFonts w:ascii="Arial" w:cs="Arial" w:eastAsia="Arial" w:hAnsi="Arial"/>
          <w:sz w:val="22"/>
          <w:szCs w:val="22"/>
          <w:color w:val="auto"/>
        </w:rPr>
        <w:t>4.1 Within ten (10) Business Days after the signing of this Agreement, Party A and Party B shall open an interest-bearing escrow account (“Escrow Account”) in the name of Party B with the bank designated by Party B (“Bank”), and shall each appoint one signatory of the Escrow Account. Party B shall deposit into the Escrow Account RMB32 million (RMB32,000,000) (equivalent to 10% of the transfer price) (“</w:t>
      </w:r>
      <w:r>
        <w:rPr>
          <w:rFonts w:ascii="Arial" w:cs="Arial" w:eastAsia="Arial" w:hAnsi="Arial"/>
          <w:sz w:val="22"/>
          <w:szCs w:val="22"/>
          <w:b w:val="1"/>
          <w:bCs w:val="1"/>
          <w:color w:val="auto"/>
        </w:rPr>
        <w:t>Deposit</w:t>
      </w:r>
      <w:r>
        <w:rPr>
          <w:rFonts w:ascii="Arial" w:cs="Arial" w:eastAsia="Arial" w:hAnsi="Arial"/>
          <w:sz w:val="22"/>
          <w:szCs w:val="22"/>
          <w:color w:val="auto"/>
        </w:rPr>
        <w:t>”). The Deposit shall be monitored by the Bank and be converted automatically into a part of the transfer price according to Clause 4.6 of this Agreement. All interests earned from the Escrow Account will belong to Party A.</w:t>
      </w:r>
    </w:p>
    <w:p>
      <w:pPr>
        <w:spacing w:after="0" w:line="28" w:lineRule="exact"/>
        <w:rPr>
          <w:sz w:val="20"/>
          <w:szCs w:val="20"/>
          <w:color w:val="auto"/>
        </w:rPr>
      </w:pPr>
    </w:p>
    <w:p>
      <w:pPr>
        <w:jc w:val="both"/>
        <w:ind w:left="340" w:hanging="323"/>
        <w:spacing w:after="0" w:line="415" w:lineRule="auto"/>
        <w:rPr>
          <w:sz w:val="20"/>
          <w:szCs w:val="20"/>
          <w:color w:val="auto"/>
        </w:rPr>
      </w:pPr>
      <w:r>
        <w:rPr>
          <w:rFonts w:ascii="Arial" w:cs="Arial" w:eastAsia="Arial" w:hAnsi="Arial"/>
          <w:sz w:val="19"/>
          <w:szCs w:val="19"/>
          <w:color w:val="auto"/>
        </w:rPr>
        <w:t>4.2 As described in Clause 2.2 of this Agreement, on the date on which the due diligence review is completed, the results of which indicate that all the conditions precedent set forth in Clause 2.1 have been fulfilled and the due diligence review results conform to Clause 2.3, Party A shall, with a list of Party D’s materials delivered, deliver the following materials to a person jointly appointed by both Parties (a safe will be opened with the Bank with Party A keeping the pin code and Party B keeping the key).</w:t>
      </w:r>
    </w:p>
    <w:p>
      <w:pPr>
        <w:spacing w:after="0" w:line="1" w:lineRule="exact"/>
        <w:rPr>
          <w:sz w:val="20"/>
          <w:szCs w:val="20"/>
          <w:color w:val="auto"/>
        </w:rPr>
      </w:pPr>
    </w:p>
    <w:p>
      <w:pPr>
        <w:jc w:val="both"/>
        <w:ind w:left="660" w:right="20" w:hanging="647"/>
        <w:spacing w:after="0" w:line="366" w:lineRule="auto"/>
        <w:tabs>
          <w:tab w:leader="none" w:pos="640" w:val="left"/>
        </w:tabs>
        <w:rPr>
          <w:sz w:val="20"/>
          <w:szCs w:val="20"/>
          <w:color w:val="auto"/>
        </w:rPr>
      </w:pPr>
      <w:r>
        <w:rPr>
          <w:rFonts w:ascii="Arial" w:cs="Arial" w:eastAsia="Arial" w:hAnsi="Arial"/>
          <w:sz w:val="22"/>
          <w:szCs w:val="22"/>
          <w:color w:val="auto"/>
        </w:rPr>
        <w:t>4.2.1</w:t>
      </w:r>
      <w:r>
        <w:rPr>
          <w:rFonts w:ascii="Arial" w:cs="Arial" w:eastAsia="Arial" w:hAnsi="Arial"/>
          <w:sz w:val="22"/>
          <w:szCs w:val="22"/>
          <w:color w:val="222222"/>
        </w:rPr>
        <w:tab/>
        <w:t>Official seal, financial seal, contract seal and other seals, legal representative seal, seal impression of bank account opening, loan cards, unused checks and seal engraving permits of Party D, etc.;</w:t>
      </w:r>
    </w:p>
    <w:p>
      <w:pPr>
        <w:spacing w:after="0" w:line="12" w:lineRule="exact"/>
        <w:rPr>
          <w:sz w:val="20"/>
          <w:szCs w:val="20"/>
          <w:color w:val="auto"/>
        </w:rPr>
      </w:pPr>
    </w:p>
    <w:p>
      <w:pPr>
        <w:jc w:val="both"/>
        <w:ind w:left="660" w:hanging="647"/>
        <w:spacing w:after="0" w:line="356" w:lineRule="auto"/>
        <w:tabs>
          <w:tab w:leader="none" w:pos="640" w:val="left"/>
        </w:tabs>
        <w:rPr>
          <w:sz w:val="20"/>
          <w:szCs w:val="20"/>
          <w:color w:val="auto"/>
        </w:rPr>
      </w:pPr>
      <w:r>
        <w:rPr>
          <w:rFonts w:ascii="Arial" w:cs="Arial" w:eastAsia="Arial" w:hAnsi="Arial"/>
          <w:sz w:val="22"/>
          <w:szCs w:val="22"/>
          <w:color w:val="222222"/>
        </w:rPr>
        <w:t>4.2.2</w:t>
      </w:r>
      <w:r>
        <w:rPr>
          <w:rFonts w:ascii="Arial" w:cs="Arial" w:eastAsia="Arial" w:hAnsi="Arial"/>
          <w:sz w:val="22"/>
          <w:szCs w:val="22"/>
          <w:color w:val="auto"/>
        </w:rPr>
        <w:tab/>
        <w:t>Business license of Party D (on the date of the completion of the transfer of the equity of Party D and the obtaining of the new business license, both parties agree to place the new business license in the bank’s safe for co-management), tax license, and other licenses issued by the government to Party D;</w:t>
      </w:r>
    </w:p>
    <w:p>
      <w:pPr>
        <w:spacing w:after="0" w:line="22" w:lineRule="exact"/>
        <w:rPr>
          <w:sz w:val="20"/>
          <w:szCs w:val="20"/>
          <w:color w:val="auto"/>
        </w:rPr>
      </w:pPr>
    </w:p>
    <w:p>
      <w:pPr>
        <w:jc w:val="both"/>
        <w:ind w:left="660" w:hanging="647"/>
        <w:spacing w:after="0" w:line="366" w:lineRule="auto"/>
        <w:tabs>
          <w:tab w:leader="none" w:pos="640" w:val="left"/>
        </w:tabs>
        <w:rPr>
          <w:sz w:val="20"/>
          <w:szCs w:val="20"/>
          <w:color w:val="auto"/>
        </w:rPr>
      </w:pPr>
      <w:r>
        <w:rPr>
          <w:rFonts w:ascii="Arial" w:cs="Arial" w:eastAsia="Arial" w:hAnsi="Arial"/>
          <w:sz w:val="22"/>
          <w:szCs w:val="22"/>
          <w:color w:val="auto"/>
        </w:rPr>
        <w:t>4.2.3</w:t>
      </w:r>
      <w:r>
        <w:rPr>
          <w:rFonts w:ascii="Arial" w:cs="Arial" w:eastAsia="Arial" w:hAnsi="Arial"/>
          <w:sz w:val="22"/>
          <w:szCs w:val="22"/>
          <w:color w:val="222222"/>
        </w:rPr>
        <w:tab/>
        <w:t>State-owned land use right certificates of the Land, and all other materials and legal documents produced in the process of governmental approval procedures.</w:t>
      </w:r>
    </w:p>
    <w:p>
      <w:pPr>
        <w:spacing w:after="0" w:line="1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222222"/>
        </w:rPr>
        <w:t>4.2.4</w:t>
      </w:r>
      <w:r>
        <w:rPr>
          <w:sz w:val="20"/>
          <w:szCs w:val="20"/>
          <w:color w:val="auto"/>
        </w:rPr>
        <w:tab/>
      </w:r>
      <w:r>
        <w:rPr>
          <w:rFonts w:ascii="Arial" w:cs="Arial" w:eastAsia="Arial" w:hAnsi="Arial"/>
          <w:sz w:val="19"/>
          <w:szCs w:val="19"/>
          <w:color w:val="auto"/>
        </w:rPr>
        <w:t>Contractual documents that are performed by Party D after the transfer of the equity.</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4.2.5</w:t>
      </w:r>
      <w:r>
        <w:rPr>
          <w:sz w:val="20"/>
          <w:szCs w:val="20"/>
          <w:color w:val="auto"/>
        </w:rPr>
        <w:tab/>
      </w:r>
      <w:r>
        <w:rPr>
          <w:rFonts w:ascii="Arial" w:cs="Arial" w:eastAsia="Arial" w:hAnsi="Arial"/>
          <w:sz w:val="19"/>
          <w:szCs w:val="19"/>
          <w:color w:val="auto"/>
        </w:rPr>
        <w:t>Any other items that belong to Party D such as documents, certificates, financial books and tax invoices, etc.</w:t>
      </w:r>
    </w:p>
    <w:p>
      <w:pPr>
        <w:spacing w:after="0" w:line="166" w:lineRule="exact"/>
        <w:rPr>
          <w:sz w:val="20"/>
          <w:szCs w:val="20"/>
          <w:color w:val="auto"/>
        </w:rPr>
      </w:pPr>
    </w:p>
    <w:p>
      <w:pPr>
        <w:jc w:val="both"/>
        <w:ind w:left="340" w:hanging="323"/>
        <w:spacing w:after="0" w:line="367" w:lineRule="auto"/>
        <w:rPr>
          <w:sz w:val="20"/>
          <w:szCs w:val="20"/>
          <w:color w:val="auto"/>
        </w:rPr>
      </w:pPr>
      <w:r>
        <w:rPr>
          <w:rFonts w:ascii="Arial" w:cs="Arial" w:eastAsia="Arial" w:hAnsi="Arial"/>
          <w:sz w:val="21"/>
          <w:szCs w:val="21"/>
          <w:color w:val="auto"/>
        </w:rPr>
        <w:t>4.3 Within three (3) Business Days of the date on which the due diligence review as specified in Clause 2.2 is completed, the results of the due diligence review indicate that the conditions precedent as stipulated in Clause 2.1 are satisfied and conform to the results as stated in Clause 2.3, Party B shall deposit RMB128 million (RMB128,000,000) into the Escrow Account (equivalent to 40% of the transfer price). In the meantime, both Parties shall prepare and execute all the documents and forms which are necessary for the completion of equity transfer formalities required by the Authority in Charge of Commerce (including, inter alia, a standard Equity Transfer Contract provided by the Authority in Charge of Commerce signed by the Parties for the purpose of obtaining approval from the Authority in Charge of Commerce)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949" w:right="239" w:bottom="1440" w:gutter="0" w:footer="0" w:header="0"/>
        </w:sectPr>
      </w:pPr>
    </w:p>
    <w:bookmarkStart w:id="51" w:name="page52"/>
    <w:bookmarkEnd w:id="51"/>
    <w:p>
      <w:pPr>
        <w:jc w:val="both"/>
        <w:ind w:left="340"/>
        <w:spacing w:after="0" w:line="40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Standard Equity Transfer Contract</w:t>
      </w:r>
      <w:r>
        <w:rPr>
          <w:rFonts w:ascii="Arial" w:cs="Arial" w:eastAsia="Arial" w:hAnsi="Arial"/>
          <w:sz w:val="19"/>
          <w:szCs w:val="19"/>
          <w:color w:val="auto"/>
        </w:rPr>
        <w:t>”), and documents and forms which are necessary for the completion of registration of equity transfer with company registration authority (including, inter alia, documents transferring 100% equity of Party D from Party A to Party B, appointing letters for legal representative, directors and supervisor appointed by Party B, and etc.). The above documents and forms shall be kept by Party B and Party B shall be responsible for the completion of formalities with Authority in Charge of Commerce and with company registration authority. Party B shall complete the approval process with Authority in Charge of Commerce and company registration process with company registration authority within 3 months from the completion its due diligence review. If Party B needs Party A to sign and submit additional documents, Party A shall sign and submit such documents within three (3) days of the receipt of Party B’s written request. If there is any seizure or pledge, or other restriction on the equity of Party D, leading to not being able to complete the equity transfer registration, Party A shall resolve the problem within five (5) days of the receipt of Party B’s written request or such reasonable amount of time needed (exclusive of the event that the delay is caused by government authority).</w:t>
      </w:r>
    </w:p>
    <w:p>
      <w:pPr>
        <w:spacing w:after="0" w:line="5" w:lineRule="exact"/>
        <w:rPr>
          <w:sz w:val="20"/>
          <w:szCs w:val="20"/>
          <w:color w:val="auto"/>
        </w:rPr>
      </w:pPr>
    </w:p>
    <w:p>
      <w:pPr>
        <w:jc w:val="both"/>
        <w:ind w:left="380" w:hanging="364"/>
        <w:spacing w:after="0" w:line="356" w:lineRule="auto"/>
        <w:rPr>
          <w:sz w:val="20"/>
          <w:szCs w:val="20"/>
          <w:color w:val="auto"/>
        </w:rPr>
      </w:pPr>
      <w:r>
        <w:rPr>
          <w:rFonts w:ascii="Arial" w:cs="Arial" w:eastAsia="Arial" w:hAnsi="Arial"/>
          <w:sz w:val="22"/>
          <w:szCs w:val="22"/>
          <w:color w:val="auto"/>
        </w:rPr>
        <w:t>4.4 On the date on which Party B has completed the company registration formalities and obtained a Notice on Change of Company Registration (if impossible on the same day, then the next day), Party B shall deposit RMB160 million (RMB160,000,000) into the Escrow Account (equivalent to 50% of the transfer price).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4.5 On the date on which Party B has performed its obligations as stipulated in Clause 4.4,</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22"/>
          <w:szCs w:val="22"/>
          <w:color w:val="auto"/>
        </w:rPr>
        <w:t>Party A shall:</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4.5.1 Release the co-management of the materials as stated in Clause 4.2 and deliver the materials to Party B;</w:t>
      </w:r>
    </w:p>
    <w:p>
      <w:pPr>
        <w:spacing w:after="0" w:line="166"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22"/>
          <w:szCs w:val="22"/>
          <w:color w:val="auto"/>
        </w:rPr>
        <w:t>4.5.2</w:t>
      </w:r>
      <w:r>
        <w:rPr>
          <w:sz w:val="20"/>
          <w:szCs w:val="20"/>
          <w:color w:val="auto"/>
        </w:rPr>
        <w:tab/>
      </w:r>
      <w:r>
        <w:rPr>
          <w:rFonts w:ascii="Arial" w:cs="Arial" w:eastAsia="Arial" w:hAnsi="Arial"/>
          <w:sz w:val="19"/>
          <w:szCs w:val="19"/>
          <w:color w:val="auto"/>
        </w:rPr>
        <w:t>Deliver the Land and the Buildings thereon to Party B as follows:</w:t>
      </w:r>
    </w:p>
    <w:p>
      <w:pPr>
        <w:spacing w:after="0" w:line="112" w:lineRule="exact"/>
        <w:rPr>
          <w:sz w:val="20"/>
          <w:szCs w:val="20"/>
          <w:color w:val="auto"/>
        </w:rPr>
      </w:pPr>
    </w:p>
    <w:p>
      <w:pPr>
        <w:jc w:val="both"/>
        <w:ind w:left="660"/>
        <w:spacing w:after="0" w:line="345" w:lineRule="auto"/>
        <w:rPr>
          <w:sz w:val="20"/>
          <w:szCs w:val="20"/>
          <w:color w:val="auto"/>
        </w:rPr>
      </w:pPr>
      <w:r>
        <w:rPr>
          <w:rFonts w:ascii="Arial" w:cs="Arial" w:eastAsia="Arial" w:hAnsi="Arial"/>
          <w:sz w:val="22"/>
          <w:szCs w:val="22"/>
          <w:color w:val="auto"/>
        </w:rPr>
        <w:t>Conditions for delivery of the Land and the Buildings thereon: The Buildings (including factory buildings, dormitories and office buildings) shall be delivered “as is”. Except for the attachments which are identified by both Parties to be kept on the spot, all the other attachments shall be removed, and there should be no mortgages imposed on the Land, no judicial compulsory measures, no unsettled land issues or other disputes. A fence shall be built along the red line of the Land. The Buildings on the Land shall remain unchanged.</w:t>
      </w:r>
    </w:p>
    <w:p>
      <w:pPr>
        <w:spacing w:after="0" w:line="5" w:lineRule="exact"/>
        <w:rPr>
          <w:sz w:val="20"/>
          <w:szCs w:val="20"/>
          <w:color w:val="auto"/>
        </w:rPr>
      </w:pPr>
    </w:p>
    <w:p>
      <w:pPr>
        <w:jc w:val="both"/>
        <w:ind w:left="660" w:firstLine="648"/>
        <w:spacing w:after="0" w:line="356" w:lineRule="auto"/>
        <w:rPr>
          <w:sz w:val="20"/>
          <w:szCs w:val="20"/>
          <w:color w:val="auto"/>
        </w:rPr>
      </w:pPr>
      <w:r>
        <w:rPr>
          <w:rFonts w:ascii="Arial" w:cs="Arial" w:eastAsia="Arial" w:hAnsi="Arial"/>
          <w:sz w:val="22"/>
          <w:szCs w:val="22"/>
          <w:color w:val="auto"/>
        </w:rPr>
        <w:t>Upon completion of the above by Party A, Party B shall issue to Party A a formal written certificate acknowledging and confirming the completion of handing over of the Land and the Buildings from Party A to Party B and the Closing Date.</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93" w:right="239" w:bottom="1440" w:gutter="0" w:footer="0" w:header="0"/>
        </w:sectPr>
      </w:pPr>
    </w:p>
    <w:bookmarkStart w:id="52" w:name="page53"/>
    <w:bookmarkEnd w:id="52"/>
    <w:p>
      <w:pPr>
        <w:ind w:left="1280"/>
        <w:spacing w:after="0"/>
        <w:rPr>
          <w:sz w:val="20"/>
          <w:szCs w:val="20"/>
          <w:color w:val="auto"/>
        </w:rPr>
      </w:pPr>
      <w:r>
        <w:rPr>
          <w:rFonts w:ascii="Arial" w:cs="Arial" w:eastAsia="Arial" w:hAnsi="Arial"/>
          <w:sz w:val="22"/>
          <w:szCs w:val="22"/>
          <w:color w:val="auto"/>
        </w:rPr>
        <w:t>Party A and Party B shall:</w:t>
      </w:r>
    </w:p>
    <w:p>
      <w:pPr>
        <w:spacing w:after="0" w:line="166" w:lineRule="exact"/>
        <w:rPr>
          <w:sz w:val="20"/>
          <w:szCs w:val="20"/>
          <w:color w:val="auto"/>
        </w:rPr>
      </w:pPr>
    </w:p>
    <w:p>
      <w:pPr>
        <w:jc w:val="both"/>
        <w:ind w:left="620" w:hanging="607"/>
        <w:spacing w:after="0" w:line="366" w:lineRule="auto"/>
        <w:tabs>
          <w:tab w:leader="none" w:pos="600" w:val="left"/>
        </w:tabs>
        <w:rPr>
          <w:sz w:val="20"/>
          <w:szCs w:val="20"/>
          <w:color w:val="auto"/>
        </w:rPr>
      </w:pPr>
      <w:r>
        <w:rPr>
          <w:rFonts w:ascii="Arial" w:cs="Arial" w:eastAsia="Arial" w:hAnsi="Arial"/>
          <w:sz w:val="22"/>
          <w:szCs w:val="22"/>
          <w:color w:val="auto"/>
        </w:rPr>
        <w:t>4.5.3</w:t>
      </w:r>
      <w:r>
        <w:rPr>
          <w:sz w:val="20"/>
          <w:szCs w:val="20"/>
          <w:color w:val="auto"/>
        </w:rPr>
        <w:tab/>
      </w:r>
      <w:r>
        <w:rPr>
          <w:rFonts w:ascii="Arial" w:cs="Arial" w:eastAsia="Arial" w:hAnsi="Arial"/>
          <w:sz w:val="21"/>
          <w:szCs w:val="21"/>
          <w:color w:val="auto"/>
        </w:rPr>
        <w:t>Verify and confirm, as of the Closing Date, the amount of cash reserve in all Party D’s bank accounts (including the statutory surplus accumulation fund and reserve fund which are legally required to maintain Party D’s legal status, fund for any regularly incurring Tax Liabilities and payment thereof), the amount which shall be paid to Party A in accordance with this Agreement (e.g., the interest accrued in the Escrow Account which should be accrued to the date of remittance of the equity transfer price as stipulated in Clause 4.6) (“</w:t>
      </w:r>
      <w:r>
        <w:rPr>
          <w:rFonts w:ascii="Arial" w:cs="Arial" w:eastAsia="Arial" w:hAnsi="Arial"/>
          <w:sz w:val="21"/>
          <w:szCs w:val="21"/>
          <w:b w:val="1"/>
          <w:bCs w:val="1"/>
          <w:color w:val="auto"/>
        </w:rPr>
        <w:t>Party A Receivable</w:t>
      </w:r>
      <w:r>
        <w:rPr>
          <w:rFonts w:ascii="Arial" w:cs="Arial" w:eastAsia="Arial" w:hAnsi="Arial"/>
          <w:sz w:val="21"/>
          <w:szCs w:val="21"/>
          <w:color w:val="auto"/>
        </w:rPr>
        <w:t>”), and the amount of Party D’s regularly incurring Tax Liabilities incurred or accrued prior to the Closing Date which shall be borne and paid by Party A in accordance with this Agreement and other amount which shall be paid by Party A in accordance with this Agreement (“</w:t>
      </w:r>
      <w:r>
        <w:rPr>
          <w:rFonts w:ascii="Arial" w:cs="Arial" w:eastAsia="Arial" w:hAnsi="Arial"/>
          <w:sz w:val="21"/>
          <w:szCs w:val="21"/>
          <w:b w:val="1"/>
          <w:bCs w:val="1"/>
          <w:color w:val="auto"/>
        </w:rPr>
        <w:t>Party A Payable</w:t>
      </w:r>
      <w:r>
        <w:rPr>
          <w:rFonts w:ascii="Arial" w:cs="Arial" w:eastAsia="Arial" w:hAnsi="Arial"/>
          <w:sz w:val="21"/>
          <w:szCs w:val="21"/>
          <w:color w:val="auto"/>
        </w:rPr>
        <w:t>”). The income tax generated from the payment of Party A Receivable shall be borne and paid by Party A and Party B shall be responsible for the withholding of such income tax.</w:t>
      </w:r>
    </w:p>
    <w:p>
      <w:pPr>
        <w:spacing w:after="0" w:line="21" w:lineRule="exact"/>
        <w:rPr>
          <w:sz w:val="20"/>
          <w:szCs w:val="20"/>
          <w:color w:val="auto"/>
        </w:rPr>
      </w:pPr>
    </w:p>
    <w:p>
      <w:pPr>
        <w:ind w:left="2200"/>
        <w:spacing w:after="0"/>
        <w:rPr>
          <w:sz w:val="20"/>
          <w:szCs w:val="20"/>
          <w:color w:val="auto"/>
        </w:rPr>
      </w:pPr>
      <w:r>
        <w:rPr>
          <w:rFonts w:ascii="Arial" w:cs="Arial" w:eastAsia="Arial" w:hAnsi="Arial"/>
          <w:sz w:val="22"/>
          <w:szCs w:val="22"/>
          <w:color w:val="auto"/>
        </w:rPr>
        <w:t>“Tax Liabilities” shall mean all forms of taxes, fees, and related charges.</w:t>
      </w:r>
    </w:p>
    <w:p>
      <w:pPr>
        <w:spacing w:after="0" w:line="166" w:lineRule="exact"/>
        <w:rPr>
          <w:sz w:val="20"/>
          <w:szCs w:val="20"/>
          <w:color w:val="auto"/>
        </w:rPr>
      </w:pPr>
    </w:p>
    <w:p>
      <w:pPr>
        <w:jc w:val="both"/>
        <w:ind w:left="380" w:hanging="364"/>
        <w:spacing w:after="0" w:line="406" w:lineRule="auto"/>
        <w:rPr>
          <w:sz w:val="20"/>
          <w:szCs w:val="20"/>
          <w:color w:val="auto"/>
        </w:rPr>
      </w:pPr>
      <w:r>
        <w:rPr>
          <w:rFonts w:ascii="Arial" w:cs="Arial" w:eastAsia="Arial" w:hAnsi="Arial"/>
          <w:sz w:val="19"/>
          <w:szCs w:val="19"/>
          <w:color w:val="auto"/>
        </w:rPr>
        <w:t>4.6 Within ten (10) Business Days of the issuance of the new business license of Party D, Party B and Party D shall immediately apply respectively to the foreign exchange administration authorities in their locality (“</w:t>
      </w:r>
      <w:r>
        <w:rPr>
          <w:rFonts w:ascii="Arial" w:cs="Arial" w:eastAsia="Arial" w:hAnsi="Arial"/>
          <w:sz w:val="19"/>
          <w:szCs w:val="19"/>
          <w:b w:val="1"/>
          <w:bCs w:val="1"/>
          <w:color w:val="auto"/>
        </w:rPr>
        <w:t>Local SAFEs</w:t>
      </w:r>
      <w:r>
        <w:rPr>
          <w:rFonts w:ascii="Arial" w:cs="Arial" w:eastAsia="Arial" w:hAnsi="Arial"/>
          <w:sz w:val="19"/>
          <w:szCs w:val="19"/>
          <w:color w:val="auto"/>
        </w:rPr>
        <w:t>”) to obtain the required approvals for the remittance of the equity transfer price abroad. Upon completion of the approvals from the Local SAFEs, Party A and Party B shall instruct the Bank to immediately pay the transfer price of RMB320 million (RMB320,000,000) (including the Deposit, equivalent to 100% of the transfer price) in the Escrow Account to a bank account designated by Party A after adding Party A Receivable and less Party A Payable, and deducting enterprise income tax withheld and paid by Party B on behalf of Party A and obtaining tax payment certificate. Party A and Party B shall closely communicate and cooperate with the Bank in coordinating and handling the examination and approval formalities for the legitimate remittance of the transfer price to overseas to ensure that all the installments of the transfer price be remitted in full to an overseas bank account designated by Party A in accordance with the schedule stipulated under this Agreement.</w:t>
      </w:r>
    </w:p>
    <w:p>
      <w:pPr>
        <w:spacing w:after="0" w:line="4" w:lineRule="exact"/>
        <w:rPr>
          <w:sz w:val="20"/>
          <w:szCs w:val="20"/>
          <w:color w:val="auto"/>
        </w:rPr>
      </w:pPr>
    </w:p>
    <w:p>
      <w:pPr>
        <w:jc w:val="both"/>
        <w:ind w:left="380" w:hanging="364"/>
        <w:spacing w:after="0" w:line="415" w:lineRule="auto"/>
        <w:rPr>
          <w:sz w:val="20"/>
          <w:szCs w:val="20"/>
          <w:color w:val="auto"/>
        </w:rPr>
      </w:pPr>
      <w:r>
        <w:rPr>
          <w:rFonts w:ascii="Arial" w:cs="Arial" w:eastAsia="Arial" w:hAnsi="Arial"/>
          <w:sz w:val="19"/>
          <w:szCs w:val="19"/>
          <w:color w:val="auto"/>
        </w:rPr>
        <w:t>4.7 Upon the execution of this Agreement, Party A and Party B agree that Party B shall be responsible for, at Party B’s sole cost, applying to governmental authorities for the transformation of the Land in accordance with relevant laws and regulations, and Party B shall bear all the costs incurred in the application for the transformation. Party A shall cooperate with Party B and provide Party B with reasonable assistance, including but not limited to, the provision of all the necessary documents in the transformation application, affixing of chops, and signing of documents by the legal representative, etc.</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009" w:right="239" w:bottom="1440" w:gutter="0" w:footer="0" w:header="0"/>
        </w:sectPr>
      </w:pPr>
    </w:p>
    <w:bookmarkStart w:id="53" w:name="page54"/>
    <w:bookmarkEnd w:id="53"/>
    <w:p>
      <w:pPr>
        <w:spacing w:after="0"/>
        <w:tabs>
          <w:tab w:leader="none" w:pos="360" w:val="left"/>
        </w:tabs>
        <w:rPr>
          <w:sz w:val="20"/>
          <w:szCs w:val="20"/>
          <w:color w:val="auto"/>
        </w:rPr>
      </w:pPr>
      <w:r>
        <w:rPr>
          <w:rFonts w:ascii="Arial" w:cs="Arial" w:eastAsia="Arial" w:hAnsi="Arial"/>
          <w:sz w:val="22"/>
          <w:szCs w:val="22"/>
          <w:b w:val="1"/>
          <w:bCs w:val="1"/>
          <w:color w:val="auto"/>
        </w:rPr>
        <w:t>5.</w:t>
      </w:r>
      <w:r>
        <w:rPr>
          <w:sz w:val="20"/>
          <w:szCs w:val="20"/>
          <w:color w:val="auto"/>
        </w:rPr>
        <w:tab/>
      </w:r>
      <w:r>
        <w:rPr>
          <w:rFonts w:ascii="Arial" w:cs="Arial" w:eastAsia="Arial" w:hAnsi="Arial"/>
          <w:sz w:val="19"/>
          <w:szCs w:val="19"/>
          <w:b w:val="1"/>
          <w:bCs w:val="1"/>
          <w:color w:val="auto"/>
        </w:rPr>
        <w:t>Representations and Warranties</w:t>
      </w:r>
    </w:p>
    <w:p>
      <w:pPr>
        <w:spacing w:after="0" w:line="172" w:lineRule="exact"/>
        <w:rPr>
          <w:sz w:val="20"/>
          <w:szCs w:val="20"/>
          <w:color w:val="auto"/>
        </w:rPr>
      </w:pPr>
    </w:p>
    <w:p>
      <w:pPr>
        <w:ind w:left="380" w:hanging="364"/>
        <w:spacing w:after="0" w:line="366" w:lineRule="auto"/>
        <w:rPr>
          <w:sz w:val="20"/>
          <w:szCs w:val="20"/>
          <w:color w:val="auto"/>
        </w:rPr>
      </w:pPr>
      <w:r>
        <w:rPr>
          <w:rFonts w:ascii="Arial" w:cs="Arial" w:eastAsia="Arial" w:hAnsi="Arial"/>
          <w:sz w:val="22"/>
          <w:szCs w:val="22"/>
          <w:color w:val="auto"/>
        </w:rPr>
        <w:t>5.1 For the purposes of this Agreement, Party A represents and warrants to Party B that to Party A’s actual knowledge and except otherwise disclosed by Party A in writing:</w:t>
      </w:r>
    </w:p>
    <w:p>
      <w:pPr>
        <w:spacing w:after="0" w:line="12" w:lineRule="exact"/>
        <w:rPr>
          <w:sz w:val="20"/>
          <w:szCs w:val="20"/>
          <w:color w:val="auto"/>
        </w:rPr>
      </w:pPr>
    </w:p>
    <w:p>
      <w:pPr>
        <w:jc w:val="both"/>
        <w:ind w:left="1300" w:hanging="674"/>
        <w:spacing w:after="0" w:line="356" w:lineRule="auto"/>
        <w:tabs>
          <w:tab w:leader="none" w:pos="1280" w:val="left"/>
        </w:tabs>
        <w:rPr>
          <w:sz w:val="20"/>
          <w:szCs w:val="20"/>
          <w:color w:val="auto"/>
        </w:rPr>
      </w:pPr>
      <w:r>
        <w:rPr>
          <w:rFonts w:ascii="Arial" w:cs="Arial" w:eastAsia="Arial" w:hAnsi="Arial"/>
          <w:sz w:val="22"/>
          <w:szCs w:val="22"/>
          <w:color w:val="auto"/>
        </w:rPr>
        <w:t>5.1.1</w:t>
        <w:tab/>
        <w:t>All the documents, materials and information in connection with this Agreement provided by Party A to Party B are true, and there are no false records, misleading statements or significant omissions, and they are materially accurate, complete, and effective.</w:t>
      </w:r>
    </w:p>
    <w:p>
      <w:pPr>
        <w:spacing w:after="0" w:line="22" w:lineRule="exact"/>
        <w:rPr>
          <w:sz w:val="20"/>
          <w:szCs w:val="20"/>
          <w:color w:val="auto"/>
        </w:rPr>
      </w:pPr>
    </w:p>
    <w:p>
      <w:pPr>
        <w:jc w:val="both"/>
        <w:ind w:left="1300" w:hanging="674"/>
        <w:spacing w:after="0" w:line="367" w:lineRule="auto"/>
        <w:tabs>
          <w:tab w:leader="none" w:pos="1280" w:val="left"/>
        </w:tabs>
        <w:rPr>
          <w:sz w:val="20"/>
          <w:szCs w:val="20"/>
          <w:color w:val="auto"/>
        </w:rPr>
      </w:pPr>
      <w:r>
        <w:rPr>
          <w:rFonts w:ascii="Arial" w:cs="Arial" w:eastAsia="Arial" w:hAnsi="Arial"/>
          <w:sz w:val="22"/>
          <w:szCs w:val="22"/>
          <w:color w:val="auto"/>
        </w:rPr>
        <w:t>5.1.2</w:t>
      </w:r>
      <w:r>
        <w:rPr>
          <w:sz w:val="20"/>
          <w:szCs w:val="20"/>
          <w:color w:val="auto"/>
        </w:rPr>
        <w:tab/>
      </w:r>
      <w:r>
        <w:rPr>
          <w:rFonts w:ascii="Arial" w:cs="Arial" w:eastAsia="Arial" w:hAnsi="Arial"/>
          <w:sz w:val="21"/>
          <w:szCs w:val="21"/>
          <w:color w:val="auto"/>
        </w:rPr>
        <w:t>Party A has, to its actual knowledge, truly and completely disclosed to Party B any information which may have substantially adverse effect on Party D and its relevant assets and business before the execution of this Agreement; Party A warrants that after the execution of this Agreement it will not take any action which may have substantially adverse effect on Party D and its relevant assets and business. If any situation or information which may have substantially adverse effect on Party D and its relevant assets and business due to a reason prior to the Closing Date is found after the execution of this Agreement and before this transaction is complete, Party A shall remove the adverse effect promptly . If Party B suffers any actual damages so caused, Party A shall be responsible for the actual damages.</w:t>
      </w:r>
    </w:p>
    <w:p>
      <w:pPr>
        <w:spacing w:after="0" w:line="17" w:lineRule="exact"/>
        <w:rPr>
          <w:sz w:val="20"/>
          <w:szCs w:val="20"/>
          <w:color w:val="auto"/>
        </w:rPr>
      </w:pPr>
    </w:p>
    <w:p>
      <w:pPr>
        <w:jc w:val="both"/>
        <w:ind w:left="1540"/>
        <w:spacing w:after="0" w:line="356" w:lineRule="auto"/>
        <w:rPr>
          <w:sz w:val="20"/>
          <w:szCs w:val="20"/>
          <w:color w:val="auto"/>
        </w:rPr>
      </w:pPr>
      <w:r>
        <w:rPr>
          <w:rFonts w:ascii="Arial" w:cs="Arial" w:eastAsia="Arial" w:hAnsi="Arial"/>
          <w:sz w:val="22"/>
          <w:szCs w:val="22"/>
          <w:color w:val="auto"/>
        </w:rPr>
        <w:t>“Substantially adverse effect” means (i) the substantially adverse effect on the validity, effectiveness, and enforceability of this Agreement. or (ii) the substantially adverse effect on Party D’s operation, assets, business or financial condition.</w:t>
      </w:r>
    </w:p>
    <w:p>
      <w:pPr>
        <w:spacing w:after="0" w:line="22" w:lineRule="exact"/>
        <w:rPr>
          <w:sz w:val="20"/>
          <w:szCs w:val="20"/>
          <w:color w:val="auto"/>
        </w:rPr>
      </w:pPr>
    </w:p>
    <w:p>
      <w:pPr>
        <w:jc w:val="both"/>
        <w:ind w:left="1540" w:hanging="904"/>
        <w:spacing w:after="0" w:line="366" w:lineRule="auto"/>
        <w:tabs>
          <w:tab w:leader="none" w:pos="1520" w:val="left"/>
        </w:tabs>
        <w:rPr>
          <w:sz w:val="20"/>
          <w:szCs w:val="20"/>
          <w:color w:val="auto"/>
        </w:rPr>
      </w:pPr>
      <w:r>
        <w:rPr>
          <w:rFonts w:ascii="Arial" w:cs="Arial" w:eastAsia="Arial" w:hAnsi="Arial"/>
          <w:sz w:val="22"/>
          <w:szCs w:val="22"/>
          <w:color w:val="auto"/>
        </w:rPr>
        <w:t>5.1.3</w:t>
      </w:r>
      <w:r>
        <w:rPr>
          <w:sz w:val="20"/>
          <w:szCs w:val="20"/>
          <w:color w:val="auto"/>
        </w:rPr>
        <w:tab/>
      </w:r>
      <w:r>
        <w:rPr>
          <w:rFonts w:ascii="Arial" w:cs="Arial" w:eastAsia="Arial" w:hAnsi="Arial"/>
          <w:sz w:val="22"/>
          <w:szCs w:val="22"/>
          <w:color w:val="auto"/>
        </w:rPr>
        <w:t>All the contents in the “whereas” clauses and Party A’s representations and warranties are true, otherwise, Party A shall be fully responsible for all the losses so caused to Party B.</w:t>
      </w:r>
    </w:p>
    <w:p>
      <w:pPr>
        <w:spacing w:after="0" w:line="12" w:lineRule="exact"/>
        <w:rPr>
          <w:sz w:val="20"/>
          <w:szCs w:val="20"/>
          <w:color w:val="auto"/>
        </w:rPr>
      </w:pPr>
    </w:p>
    <w:p>
      <w:pPr>
        <w:jc w:val="both"/>
        <w:ind w:left="1540" w:hanging="904"/>
        <w:spacing w:after="0" w:line="368" w:lineRule="auto"/>
        <w:tabs>
          <w:tab w:leader="none" w:pos="1520" w:val="left"/>
        </w:tabs>
        <w:rPr>
          <w:sz w:val="20"/>
          <w:szCs w:val="20"/>
          <w:color w:val="auto"/>
        </w:rPr>
      </w:pPr>
      <w:r>
        <w:rPr>
          <w:rFonts w:ascii="Arial" w:cs="Arial" w:eastAsia="Arial" w:hAnsi="Arial"/>
          <w:sz w:val="22"/>
          <w:szCs w:val="22"/>
          <w:color w:val="auto"/>
        </w:rPr>
        <w:t>5.1.4</w:t>
      </w:r>
      <w:r>
        <w:rPr>
          <w:sz w:val="20"/>
          <w:szCs w:val="20"/>
          <w:color w:val="auto"/>
        </w:rPr>
        <w:tab/>
      </w:r>
      <w:r>
        <w:rPr>
          <w:rFonts w:ascii="Arial" w:cs="Arial" w:eastAsia="Arial" w:hAnsi="Arial"/>
          <w:sz w:val="21"/>
          <w:szCs w:val="21"/>
          <w:color w:val="auto"/>
        </w:rPr>
        <w:t>Besides those disclosed by Party A under this Agreement, there are no pledges or any third party right on the equity of Party D held by Party A, nor there are any seal-ups, freezing, or preservation of the equity of Party D by any third party; Party D has not signed any guarantee agreements, contracts or commitments. All the interest, assets of Party D and the Land are free from any mortgages, pledges, guarantees or any other security interest and there are no such restrictions which have not been disclosed to Party B. There are not any matters which may cause any third party to claim on Party D’s interest and assets.</w:t>
      </w:r>
    </w:p>
    <w:p>
      <w:pPr>
        <w:spacing w:after="0" w:line="20" w:lineRule="exact"/>
        <w:rPr>
          <w:sz w:val="20"/>
          <w:szCs w:val="20"/>
          <w:color w:val="auto"/>
        </w:rPr>
      </w:pPr>
    </w:p>
    <w:p>
      <w:pPr>
        <w:jc w:val="both"/>
        <w:ind w:left="1540" w:hanging="904"/>
        <w:spacing w:after="0" w:line="351" w:lineRule="auto"/>
        <w:tabs>
          <w:tab w:leader="none" w:pos="1520" w:val="left"/>
        </w:tabs>
        <w:rPr>
          <w:sz w:val="20"/>
          <w:szCs w:val="20"/>
          <w:color w:val="auto"/>
        </w:rPr>
      </w:pPr>
      <w:r>
        <w:rPr>
          <w:rFonts w:ascii="Arial" w:cs="Arial" w:eastAsia="Arial" w:hAnsi="Arial"/>
          <w:sz w:val="22"/>
          <w:szCs w:val="22"/>
          <w:color w:val="auto"/>
        </w:rPr>
        <w:t>5.1.5</w:t>
      </w:r>
      <w:r>
        <w:rPr>
          <w:sz w:val="20"/>
          <w:szCs w:val="20"/>
          <w:color w:val="auto"/>
        </w:rPr>
        <w:tab/>
      </w:r>
      <w:r>
        <w:rPr>
          <w:rFonts w:ascii="Arial" w:cs="Arial" w:eastAsia="Arial" w:hAnsi="Arial"/>
          <w:sz w:val="22"/>
          <w:szCs w:val="22"/>
          <w:color w:val="auto"/>
        </w:rPr>
        <w:t>Litigation and/or Arbitration: There are not any lawsuits, judgments or other proceedings against Party D before any courts, arbitral tribunals or administrative organizations which may affect the effectiveness and enforceability of this Agreement and which have not been disclosed to Party B; Party A and Party D warrant that to their knowledge there are not any disputes or illegal acts which may cause or lead to the above lawsuits, arbitrations or administrative proceedings.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93" w:right="239" w:bottom="1440" w:gutter="0" w:footer="0" w:header="0"/>
        </w:sectPr>
      </w:pPr>
    </w:p>
    <w:bookmarkStart w:id="54" w:name="page55"/>
    <w:bookmarkEnd w:id="54"/>
    <w:p>
      <w:pPr>
        <w:jc w:val="both"/>
        <w:ind w:left="340" w:hanging="904"/>
        <w:spacing w:after="0" w:line="368" w:lineRule="auto"/>
        <w:tabs>
          <w:tab w:leader="none" w:pos="320" w:val="left"/>
        </w:tabs>
        <w:rPr>
          <w:sz w:val="20"/>
          <w:szCs w:val="20"/>
          <w:color w:val="auto"/>
        </w:rPr>
      </w:pPr>
      <w:r>
        <w:rPr>
          <w:rFonts w:ascii="Arial" w:cs="Arial" w:eastAsia="Arial" w:hAnsi="Arial"/>
          <w:sz w:val="22"/>
          <w:szCs w:val="22"/>
          <w:color w:val="auto"/>
        </w:rPr>
        <w:t>5.1.6</w:t>
      </w:r>
      <w:r>
        <w:rPr>
          <w:sz w:val="20"/>
          <w:szCs w:val="20"/>
          <w:color w:val="auto"/>
        </w:rPr>
        <w:tab/>
      </w:r>
      <w:r>
        <w:rPr>
          <w:rFonts w:ascii="Arial" w:cs="Arial" w:eastAsia="Arial" w:hAnsi="Arial"/>
          <w:sz w:val="21"/>
          <w:szCs w:val="21"/>
          <w:color w:val="auto"/>
        </w:rPr>
        <w:t>Besides those debts disclosed under this Agreement, all the relevant costs and taxes payable in relation to the Land prior to the Closing Date including land grant premium, deed tax, land use tax, land requisition and demolition compensation, etc, have been paid or will have been paid by fund from Party A Receivable, and their ownership and scope are clear, and there are not any ownership disputes. If there are any debt or due but unpaid tax liabilities which arise from matters of Party D prior to the Closing Date, Party A shall be responsible for the payment of such debt or due but unpaid tax liabilities.</w:t>
      </w:r>
    </w:p>
    <w:p>
      <w:pPr>
        <w:spacing w:after="0" w:line="20" w:lineRule="exact"/>
        <w:rPr>
          <w:sz w:val="20"/>
          <w:szCs w:val="20"/>
          <w:color w:val="auto"/>
        </w:rPr>
      </w:pPr>
    </w:p>
    <w:p>
      <w:pPr>
        <w:jc w:val="both"/>
        <w:ind w:left="340" w:hanging="904"/>
        <w:spacing w:after="0" w:line="352" w:lineRule="auto"/>
        <w:tabs>
          <w:tab w:leader="none" w:pos="320" w:val="left"/>
        </w:tabs>
        <w:rPr>
          <w:sz w:val="20"/>
          <w:szCs w:val="20"/>
          <w:color w:val="auto"/>
        </w:rPr>
      </w:pPr>
      <w:r>
        <w:rPr>
          <w:rFonts w:ascii="Arial" w:cs="Arial" w:eastAsia="Arial" w:hAnsi="Arial"/>
          <w:sz w:val="22"/>
          <w:szCs w:val="22"/>
          <w:color w:val="auto"/>
        </w:rPr>
        <w:t>5.1.7</w:t>
      </w:r>
      <w:r>
        <w:rPr>
          <w:sz w:val="20"/>
          <w:szCs w:val="20"/>
          <w:color w:val="auto"/>
        </w:rPr>
        <w:tab/>
      </w:r>
      <w:r>
        <w:rPr>
          <w:rFonts w:ascii="Arial" w:cs="Arial" w:eastAsia="Arial" w:hAnsi="Arial"/>
          <w:sz w:val="22"/>
          <w:szCs w:val="22"/>
          <w:color w:val="auto"/>
        </w:rPr>
        <w:t>Except for those matters expressly agreed otherwise by Party A and Party B, Party A shall compensate Party B in full for any losses or liabilities incurred by Party D due to reasons which happened before the Closing Date including but not limited to taxes, all employees’ severance payments, environmental violations, and accounting, etc.</w:t>
      </w:r>
    </w:p>
    <w:p>
      <w:pPr>
        <w:spacing w:after="0" w:line="29" w:lineRule="exact"/>
        <w:rPr>
          <w:sz w:val="20"/>
          <w:szCs w:val="20"/>
          <w:color w:val="auto"/>
        </w:rPr>
      </w:pPr>
    </w:p>
    <w:p>
      <w:pPr>
        <w:jc w:val="both"/>
        <w:ind w:left="340" w:hanging="904"/>
        <w:spacing w:after="0" w:line="356" w:lineRule="auto"/>
        <w:tabs>
          <w:tab w:leader="none" w:pos="320" w:val="left"/>
        </w:tabs>
        <w:rPr>
          <w:sz w:val="20"/>
          <w:szCs w:val="20"/>
          <w:color w:val="auto"/>
        </w:rPr>
      </w:pPr>
      <w:r>
        <w:rPr>
          <w:rFonts w:ascii="Arial" w:cs="Arial" w:eastAsia="Arial" w:hAnsi="Arial"/>
          <w:sz w:val="22"/>
          <w:szCs w:val="22"/>
          <w:color w:val="auto"/>
        </w:rPr>
        <w:t>5.1.8</w:t>
      </w:r>
      <w:r>
        <w:rPr>
          <w:sz w:val="20"/>
          <w:szCs w:val="20"/>
          <w:color w:val="auto"/>
        </w:rPr>
        <w:tab/>
      </w:r>
      <w:r>
        <w:rPr>
          <w:rFonts w:ascii="Arial" w:cs="Arial" w:eastAsia="Arial" w:hAnsi="Arial"/>
          <w:sz w:val="22"/>
          <w:szCs w:val="22"/>
          <w:color w:val="auto"/>
        </w:rPr>
        <w:t>Party A has timely, fully, and legally completed its capital contribution to Party D in accordance with Party D’s Articles of Association, and there have not been any withdrawal of capital or misappropriation of assets of Party D since the date of completion of capital contribution.</w:t>
      </w:r>
    </w:p>
    <w:p>
      <w:pPr>
        <w:spacing w:after="0" w:line="22" w:lineRule="exact"/>
        <w:rPr>
          <w:sz w:val="20"/>
          <w:szCs w:val="20"/>
          <w:color w:val="auto"/>
        </w:rPr>
      </w:pPr>
    </w:p>
    <w:p>
      <w:pPr>
        <w:jc w:val="both"/>
        <w:ind w:left="340" w:hanging="904"/>
        <w:spacing w:after="0" w:line="350" w:lineRule="auto"/>
        <w:tabs>
          <w:tab w:leader="none" w:pos="320" w:val="left"/>
        </w:tabs>
        <w:rPr>
          <w:sz w:val="20"/>
          <w:szCs w:val="20"/>
          <w:color w:val="auto"/>
        </w:rPr>
      </w:pPr>
      <w:r>
        <w:rPr>
          <w:rFonts w:ascii="Arial" w:cs="Arial" w:eastAsia="Arial" w:hAnsi="Arial"/>
          <w:sz w:val="22"/>
          <w:szCs w:val="22"/>
          <w:color w:val="auto"/>
        </w:rPr>
        <w:t>5.1.9</w:t>
      </w:r>
      <w:r>
        <w:rPr>
          <w:sz w:val="20"/>
          <w:szCs w:val="20"/>
          <w:color w:val="auto"/>
        </w:rPr>
        <w:tab/>
      </w:r>
      <w:r>
        <w:rPr>
          <w:rFonts w:ascii="Arial" w:cs="Arial" w:eastAsia="Arial" w:hAnsi="Arial"/>
          <w:sz w:val="22"/>
          <w:szCs w:val="22"/>
          <w:color w:val="auto"/>
        </w:rPr>
        <w:t>Besides those disclosed under this Agreement, until the date of execution of this Agreement Party A has not entered into any contracts, agreements, commitments or arrangements with any third party which may have conflict with this Agreement or may cause this Agreement partially or wholly unenforceable; From the date of execution of this Agreement, Party A shall not enter into any contracts, agreements, commitments or arrangements with any third party which may have conflict with this Agreement or may cause this Agreement partially or wholly unenforceable.</w:t>
      </w:r>
    </w:p>
    <w:p>
      <w:pPr>
        <w:spacing w:after="0" w:line="28" w:lineRule="exact"/>
        <w:rPr>
          <w:sz w:val="20"/>
          <w:szCs w:val="20"/>
          <w:color w:val="auto"/>
        </w:rPr>
      </w:pPr>
    </w:p>
    <w:p>
      <w:pPr>
        <w:jc w:val="both"/>
        <w:ind w:left="340" w:hanging="904"/>
        <w:spacing w:after="0" w:line="368" w:lineRule="auto"/>
        <w:tabs>
          <w:tab w:leader="none" w:pos="320" w:val="left"/>
        </w:tabs>
        <w:rPr>
          <w:sz w:val="20"/>
          <w:szCs w:val="20"/>
          <w:color w:val="auto"/>
        </w:rPr>
      </w:pPr>
      <w:r>
        <w:rPr>
          <w:rFonts w:ascii="Arial" w:cs="Arial" w:eastAsia="Arial" w:hAnsi="Arial"/>
          <w:sz w:val="22"/>
          <w:szCs w:val="22"/>
          <w:color w:val="auto"/>
        </w:rPr>
        <w:t>5.1.10</w:t>
      </w:r>
      <w:r>
        <w:rPr>
          <w:sz w:val="20"/>
          <w:szCs w:val="20"/>
          <w:color w:val="auto"/>
        </w:rPr>
        <w:tab/>
      </w:r>
      <w:r>
        <w:rPr>
          <w:rFonts w:ascii="Arial" w:cs="Arial" w:eastAsia="Arial" w:hAnsi="Arial"/>
          <w:sz w:val="21"/>
          <w:szCs w:val="21"/>
          <w:color w:val="auto"/>
        </w:rPr>
        <w:t>Party A has full civil right capacity and disposing capacity to sign this Agreement, and is entitled to all the rights, powers and authorizations to enjoy any rights under this Agreement and perform any obligations under this Agreement. Party A’s performance of this Agreement is not in violation of any applicable laws, regulations, rules or orders, nor is it in violation of Party A’s current effective Articles of Association, or any contracts, agreements or other documents in which Party D is an object or a party and which are binding on Party D’s assets, and all the necessary third party’s written consents have been obtained.</w:t>
      </w:r>
    </w:p>
    <w:p>
      <w:pPr>
        <w:spacing w:after="0" w:line="20" w:lineRule="exact"/>
        <w:rPr>
          <w:sz w:val="20"/>
          <w:szCs w:val="20"/>
          <w:color w:val="auto"/>
        </w:rPr>
      </w:pPr>
    </w:p>
    <w:p>
      <w:pPr>
        <w:jc w:val="both"/>
        <w:ind w:left="340" w:right="20" w:hanging="904"/>
        <w:spacing w:after="0" w:line="395" w:lineRule="auto"/>
        <w:tabs>
          <w:tab w:leader="none" w:pos="320" w:val="left"/>
        </w:tabs>
        <w:rPr>
          <w:sz w:val="20"/>
          <w:szCs w:val="20"/>
          <w:color w:val="auto"/>
        </w:rPr>
      </w:pPr>
      <w:r>
        <w:rPr>
          <w:rFonts w:ascii="Arial" w:cs="Arial" w:eastAsia="Arial" w:hAnsi="Arial"/>
          <w:sz w:val="22"/>
          <w:szCs w:val="22"/>
          <w:color w:val="auto"/>
        </w:rPr>
        <w:t>5.1.11</w:t>
      </w:r>
      <w:r>
        <w:rPr>
          <w:sz w:val="20"/>
          <w:szCs w:val="20"/>
          <w:color w:val="auto"/>
        </w:rPr>
        <w:tab/>
      </w:r>
      <w:r>
        <w:rPr>
          <w:rFonts w:ascii="Arial" w:cs="Arial" w:eastAsia="Arial" w:hAnsi="Arial"/>
          <w:sz w:val="21"/>
          <w:szCs w:val="21"/>
          <w:color w:val="auto"/>
        </w:rPr>
        <w:t>Party A shall actively sign and prepare all the necessary documents in relation to this transaction, and at the same time assist Party B in completing the change of registration formalities in this transaction.</w:t>
      </w:r>
    </w:p>
    <w:p>
      <w:pPr>
        <w:spacing w:after="0" w:line="11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220"/>
          </w:cols>
          <w:pgMar w:left="1440" w:top="699" w:right="239" w:bottom="1440" w:gutter="0" w:footer="0" w:header="0"/>
        </w:sectPr>
      </w:pPr>
    </w:p>
    <w:bookmarkStart w:id="55" w:name="page56"/>
    <w:bookmarkEnd w:id="55"/>
    <w:p>
      <w:pPr>
        <w:jc w:val="both"/>
        <w:ind w:left="1540" w:hanging="904"/>
        <w:spacing w:after="0" w:line="352" w:lineRule="auto"/>
        <w:tabs>
          <w:tab w:leader="none" w:pos="1520" w:val="left"/>
        </w:tabs>
        <w:rPr>
          <w:sz w:val="20"/>
          <w:szCs w:val="20"/>
          <w:color w:val="auto"/>
        </w:rPr>
      </w:pPr>
      <w:r>
        <w:rPr>
          <w:rFonts w:ascii="Arial" w:cs="Arial" w:eastAsia="Arial" w:hAnsi="Arial"/>
          <w:sz w:val="22"/>
          <w:szCs w:val="22"/>
          <w:color w:val="auto"/>
        </w:rPr>
        <w:t>5.1.12</w:t>
      </w:r>
      <w:r>
        <w:rPr>
          <w:sz w:val="20"/>
          <w:szCs w:val="20"/>
          <w:color w:val="auto"/>
        </w:rPr>
        <w:tab/>
      </w:r>
      <w:r>
        <w:rPr>
          <w:rFonts w:ascii="Arial" w:cs="Arial" w:eastAsia="Arial" w:hAnsi="Arial"/>
          <w:sz w:val="22"/>
          <w:szCs w:val="22"/>
          <w:color w:val="auto"/>
        </w:rPr>
        <w:t>On the date of execution of this Agreement, Party A shall provide to Party B an un-audited financial statement as of June 30, 2016 affixed with the chop of Party A, a balanced sheet and tax payment certificate as of December 30, 2015, and an audited report, land value added tax settlement certificate (if any), and enterprise income tax final settlement statement of 2015.</w:t>
      </w:r>
    </w:p>
    <w:p>
      <w:pPr>
        <w:spacing w:after="0" w:line="29" w:lineRule="exact"/>
        <w:rPr>
          <w:sz w:val="20"/>
          <w:szCs w:val="20"/>
          <w:color w:val="auto"/>
        </w:rPr>
      </w:pPr>
    </w:p>
    <w:p>
      <w:pPr>
        <w:ind w:left="620"/>
        <w:spacing w:after="0"/>
        <w:tabs>
          <w:tab w:leader="none" w:pos="152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color w:val="auto"/>
        </w:rPr>
        <w:t>For the purposes of this Agreement, Party B represents and warrants to Party A:</w:t>
      </w:r>
    </w:p>
    <w:p>
      <w:pPr>
        <w:spacing w:after="0" w:line="166" w:lineRule="exact"/>
        <w:rPr>
          <w:sz w:val="20"/>
          <w:szCs w:val="20"/>
          <w:color w:val="auto"/>
        </w:rPr>
      </w:pPr>
    </w:p>
    <w:p>
      <w:pPr>
        <w:jc w:val="both"/>
        <w:ind w:left="1540" w:hanging="904"/>
        <w:spacing w:after="0" w:line="352" w:lineRule="auto"/>
        <w:tabs>
          <w:tab w:leader="none" w:pos="1520" w:val="left"/>
        </w:tabs>
        <w:rPr>
          <w:sz w:val="20"/>
          <w:szCs w:val="20"/>
          <w:color w:val="auto"/>
        </w:rPr>
      </w:pPr>
      <w:r>
        <w:rPr>
          <w:rFonts w:ascii="Arial" w:cs="Arial" w:eastAsia="Arial" w:hAnsi="Arial"/>
          <w:sz w:val="22"/>
          <w:szCs w:val="22"/>
          <w:color w:val="auto"/>
        </w:rPr>
        <w:t>5.2.1</w:t>
      </w:r>
      <w:r>
        <w:rPr>
          <w:sz w:val="20"/>
          <w:szCs w:val="20"/>
          <w:color w:val="auto"/>
        </w:rPr>
        <w:tab/>
      </w:r>
      <w:r>
        <w:rPr>
          <w:rFonts w:ascii="Arial" w:cs="Arial" w:eastAsia="Arial" w:hAnsi="Arial"/>
          <w:sz w:val="22"/>
          <w:szCs w:val="22"/>
          <w:color w:val="auto"/>
        </w:rPr>
        <w:t>Party B has sufficient and disposable fund at any time to conduct the transaction under this Agreement. As long as all the matters under Clause 2.1 of this Agreement have been complied with, Party B shall pay the transfer price in full according to the schedule under this Agreement, and make sure that the transfer price be legally remitted to overseas.</w:t>
      </w:r>
    </w:p>
    <w:p>
      <w:pPr>
        <w:spacing w:after="0" w:line="29" w:lineRule="exact"/>
        <w:rPr>
          <w:sz w:val="20"/>
          <w:szCs w:val="20"/>
          <w:color w:val="auto"/>
        </w:rPr>
      </w:pPr>
    </w:p>
    <w:p>
      <w:pPr>
        <w:jc w:val="both"/>
        <w:ind w:left="1540" w:hanging="904"/>
        <w:spacing w:after="0" w:line="373" w:lineRule="auto"/>
        <w:tabs>
          <w:tab w:leader="none" w:pos="1520" w:val="left"/>
        </w:tabs>
        <w:rPr>
          <w:sz w:val="20"/>
          <w:szCs w:val="20"/>
          <w:color w:val="auto"/>
        </w:rPr>
      </w:pPr>
      <w:r>
        <w:rPr>
          <w:rFonts w:ascii="Arial" w:cs="Arial" w:eastAsia="Arial" w:hAnsi="Arial"/>
          <w:sz w:val="22"/>
          <w:szCs w:val="22"/>
          <w:color w:val="auto"/>
        </w:rPr>
        <w:t>5.2.2</w:t>
      </w:r>
      <w:r>
        <w:rPr>
          <w:sz w:val="20"/>
          <w:szCs w:val="20"/>
          <w:color w:val="auto"/>
        </w:rPr>
        <w:tab/>
      </w:r>
      <w:r>
        <w:rPr>
          <w:rFonts w:ascii="Arial" w:cs="Arial" w:eastAsia="Arial" w:hAnsi="Arial"/>
          <w:sz w:val="21"/>
          <w:szCs w:val="21"/>
          <w:color w:val="auto"/>
        </w:rPr>
        <w:t>Party B has full civil right capacity and disposing capacity to sign this Agreement, and is entitled to all the rights, powers and authorizations to enjoy any rights under this Agreement and perform any obligations under this Agreement. Party B’s performance of this Agreement is not in violation of any applicable laws, regulations, rules or orders, nor is it in violation of Party B’s current effective Articles of Association.</w:t>
      </w:r>
    </w:p>
    <w:p>
      <w:pPr>
        <w:spacing w:after="0" w:line="11" w:lineRule="exact"/>
        <w:rPr>
          <w:sz w:val="20"/>
          <w:szCs w:val="20"/>
          <w:color w:val="auto"/>
        </w:rPr>
      </w:pPr>
    </w:p>
    <w:p>
      <w:pPr>
        <w:jc w:val="both"/>
        <w:ind w:left="1540" w:hanging="904"/>
        <w:spacing w:after="0" w:line="356" w:lineRule="auto"/>
        <w:tabs>
          <w:tab w:leader="none" w:pos="1520" w:val="left"/>
        </w:tabs>
        <w:rPr>
          <w:sz w:val="20"/>
          <w:szCs w:val="20"/>
          <w:color w:val="auto"/>
        </w:rPr>
      </w:pPr>
      <w:r>
        <w:rPr>
          <w:rFonts w:ascii="Arial" w:cs="Arial" w:eastAsia="Arial" w:hAnsi="Arial"/>
          <w:sz w:val="22"/>
          <w:szCs w:val="22"/>
          <w:color w:val="auto"/>
        </w:rPr>
        <w:t>5.2.3</w:t>
      </w:r>
      <w:r>
        <w:rPr>
          <w:sz w:val="20"/>
          <w:szCs w:val="20"/>
          <w:color w:val="auto"/>
        </w:rPr>
        <w:tab/>
      </w:r>
      <w:r>
        <w:rPr>
          <w:rFonts w:ascii="Arial" w:cs="Arial" w:eastAsia="Arial" w:hAnsi="Arial"/>
          <w:sz w:val="22"/>
          <w:szCs w:val="22"/>
          <w:color w:val="auto"/>
        </w:rPr>
        <w:t>Party B shall actively sign and prepare all the necessary documents in relation to this transaction, and at the same time shall be responsible for completing the change of registration formalities in this transaction before the relevant registration authority.</w:t>
      </w:r>
    </w:p>
    <w:p>
      <w:pPr>
        <w:spacing w:after="0" w:line="22" w:lineRule="exact"/>
        <w:rPr>
          <w:sz w:val="20"/>
          <w:szCs w:val="20"/>
          <w:color w:val="auto"/>
        </w:rPr>
      </w:pPr>
    </w:p>
    <w:p>
      <w:pPr>
        <w:jc w:val="both"/>
        <w:ind w:left="660" w:hanging="647"/>
        <w:spacing w:after="0" w:line="366" w:lineRule="auto"/>
        <w:tabs>
          <w:tab w:leader="none" w:pos="64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22"/>
          <w:szCs w:val="22"/>
          <w:color w:val="auto"/>
        </w:rPr>
        <w:t>Party A’s representations and warranties and Party B’s representations and warranties under this Clause shall become effective from the date of this Agreement until the end of two years from the Closing Date.</w:t>
      </w:r>
    </w:p>
    <w:p>
      <w:pPr>
        <w:spacing w:after="0" w:line="6"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6.</w:t>
      </w:r>
      <w:r>
        <w:rPr>
          <w:sz w:val="20"/>
          <w:szCs w:val="20"/>
          <w:color w:val="auto"/>
        </w:rPr>
        <w:tab/>
      </w:r>
      <w:r>
        <w:rPr>
          <w:rFonts w:ascii="Arial" w:cs="Arial" w:eastAsia="Arial" w:hAnsi="Arial"/>
          <w:sz w:val="19"/>
          <w:szCs w:val="19"/>
          <w:b w:val="1"/>
          <w:bCs w:val="1"/>
          <w:color w:val="auto"/>
        </w:rPr>
        <w:t>Breach of Contract</w:t>
      </w:r>
    </w:p>
    <w:p>
      <w:pPr>
        <w:spacing w:after="0" w:line="172" w:lineRule="exact"/>
        <w:rPr>
          <w:sz w:val="20"/>
          <w:szCs w:val="20"/>
          <w:color w:val="auto"/>
        </w:rPr>
      </w:pPr>
    </w:p>
    <w:p>
      <w:pPr>
        <w:jc w:val="both"/>
        <w:ind w:left="380" w:hanging="364"/>
        <w:spacing w:after="0" w:line="356" w:lineRule="auto"/>
        <w:rPr>
          <w:sz w:val="20"/>
          <w:szCs w:val="20"/>
          <w:color w:val="auto"/>
        </w:rPr>
      </w:pPr>
      <w:r>
        <w:rPr>
          <w:rFonts w:ascii="Arial" w:cs="Arial" w:eastAsia="Arial" w:hAnsi="Arial"/>
          <w:sz w:val="22"/>
          <w:szCs w:val="22"/>
          <w:color w:val="auto"/>
        </w:rPr>
        <w:t>6.1 Except as otherwise agreed, if a Party fails to perform its duties and obligations under this Agreement or any of its representations and warranties is untrue or misleading, then such Party shall compensate the other Party in full for any actual losses suffered thereby.</w:t>
      </w:r>
    </w:p>
    <w:p>
      <w:pPr>
        <w:spacing w:after="0" w:line="22" w:lineRule="exact"/>
        <w:rPr>
          <w:sz w:val="20"/>
          <w:szCs w:val="20"/>
          <w:color w:val="auto"/>
        </w:rPr>
      </w:pPr>
    </w:p>
    <w:p>
      <w:pPr>
        <w:jc w:val="both"/>
        <w:ind w:left="380" w:hanging="364"/>
        <w:spacing w:after="0" w:line="373" w:lineRule="auto"/>
        <w:rPr>
          <w:sz w:val="20"/>
          <w:szCs w:val="20"/>
          <w:color w:val="auto"/>
        </w:rPr>
      </w:pPr>
      <w:r>
        <w:rPr>
          <w:rFonts w:ascii="Arial" w:cs="Arial" w:eastAsia="Arial" w:hAnsi="Arial"/>
          <w:sz w:val="21"/>
          <w:szCs w:val="21"/>
          <w:color w:val="auto"/>
        </w:rPr>
        <w:t>6.2 Unless it is attributable to the delay caused by government supervision authority which is unforeseen or uncontrollable by Party A, if Party A fails to materially perform its obligations set forth in Clause 2.1, Party A shall pay to Party B a liquidated damage of 0.05% of the amount in the Escrow Account for each day in delay. In the meantime, Party A shall promptly perform its obligations as agreed and this Agreement shall be performed by the Parties.</w:t>
      </w:r>
    </w:p>
    <w:p>
      <w:pPr>
        <w:spacing w:after="0" w:line="11" w:lineRule="exact"/>
        <w:rPr>
          <w:sz w:val="20"/>
          <w:szCs w:val="20"/>
          <w:color w:val="auto"/>
        </w:rPr>
      </w:pPr>
    </w:p>
    <w:p>
      <w:pPr>
        <w:jc w:val="both"/>
        <w:ind w:left="380" w:hanging="364"/>
        <w:spacing w:after="0" w:line="356" w:lineRule="auto"/>
        <w:rPr>
          <w:sz w:val="20"/>
          <w:szCs w:val="20"/>
          <w:color w:val="auto"/>
        </w:rPr>
      </w:pPr>
      <w:r>
        <w:rPr>
          <w:rFonts w:ascii="Arial" w:cs="Arial" w:eastAsia="Arial" w:hAnsi="Arial"/>
          <w:sz w:val="22"/>
          <w:szCs w:val="22"/>
          <w:color w:val="auto"/>
        </w:rPr>
        <w:t>6.3 After the due diligence review is completed as specified under Clause 2.2 of this Agreement, if the results show that any of the conditions precedent set forth in Clause 2.1 has not been materially satisfied, then Party B shall have the right to request Party A to ratify the situation within a specific period of time and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99" w:right="239" w:bottom="1440" w:gutter="0" w:footer="0" w:header="0"/>
        </w:sectPr>
      </w:pPr>
    </w:p>
    <w:bookmarkStart w:id="56" w:name="page57"/>
    <w:bookmarkEnd w:id="56"/>
    <w:p>
      <w:pPr>
        <w:ind w:left="380"/>
        <w:spacing w:after="0"/>
        <w:rPr>
          <w:sz w:val="20"/>
          <w:szCs w:val="20"/>
          <w:color w:val="auto"/>
        </w:rPr>
      </w:pPr>
      <w:r>
        <w:rPr>
          <w:rFonts w:ascii="Arial" w:cs="Arial" w:eastAsia="Arial" w:hAnsi="Arial"/>
          <w:sz w:val="22"/>
          <w:szCs w:val="22"/>
          <w:color w:val="auto"/>
        </w:rPr>
        <w:t>ensure that all the conditions precedent are satisfactory.</w:t>
      </w:r>
    </w:p>
    <w:p>
      <w:pPr>
        <w:spacing w:after="0" w:line="166" w:lineRule="exact"/>
        <w:rPr>
          <w:sz w:val="20"/>
          <w:szCs w:val="20"/>
          <w:color w:val="auto"/>
        </w:rPr>
      </w:pPr>
    </w:p>
    <w:p>
      <w:pPr>
        <w:jc w:val="both"/>
        <w:ind w:left="380" w:hanging="364"/>
        <w:spacing w:after="0" w:line="409" w:lineRule="auto"/>
        <w:rPr>
          <w:sz w:val="20"/>
          <w:szCs w:val="20"/>
          <w:color w:val="auto"/>
        </w:rPr>
      </w:pPr>
      <w:r>
        <w:rPr>
          <w:rFonts w:ascii="Arial" w:cs="Arial" w:eastAsia="Arial" w:hAnsi="Arial"/>
          <w:sz w:val="19"/>
          <w:szCs w:val="19"/>
          <w:color w:val="auto"/>
        </w:rPr>
        <w:t>6.4 Since the equity transfer under this Agreement is a deal of must-buy-must-sell, upon execution of this Agreement, Party A and Party B shall not for any reason unilaterally terminate this Agreement unless such Party’s obligation to perform the Agreement has been duly excused (due to reason such as the other Party has indicated that it will not perform the Agreement according to its terms). If any Party shall unilaterally terminate this Agreement without just cause, the Party in breach shall pay to the other Party a liquidated damage of RMB30 million. If the liquidated damage is not sufficient to compensate all the losses suffered by the other Party, the Party in breach shall be liable for such losses. Notwithstanding the above, the other Party shall have the right to initiate an arbitration in accordance with Clause 8.2 to demand for a specific performance of this Agreement.</w:t>
      </w:r>
    </w:p>
    <w:p>
      <w:pPr>
        <w:jc w:val="both"/>
        <w:ind w:left="380" w:hanging="364"/>
        <w:spacing w:after="0" w:line="389" w:lineRule="auto"/>
        <w:rPr>
          <w:sz w:val="20"/>
          <w:szCs w:val="20"/>
          <w:color w:val="auto"/>
        </w:rPr>
      </w:pPr>
      <w:r>
        <w:rPr>
          <w:rFonts w:ascii="Arial" w:cs="Arial" w:eastAsia="Arial" w:hAnsi="Arial"/>
          <w:sz w:val="21"/>
          <w:szCs w:val="21"/>
          <w:color w:val="auto"/>
        </w:rPr>
        <w:t>6.5 If Party B fails to make the transfer price payment to Party A as stipulated in this Agreement, Party B shall pay to Party A a liquidated damage of 0.05% of the amount which is due and payable but not paid by Party B for each day in delay.</w:t>
      </w:r>
    </w:p>
    <w:p>
      <w:pPr>
        <w:jc w:val="both"/>
        <w:ind w:left="380" w:hanging="364"/>
        <w:spacing w:after="0" w:line="415" w:lineRule="auto"/>
        <w:rPr>
          <w:sz w:val="20"/>
          <w:szCs w:val="20"/>
          <w:color w:val="auto"/>
        </w:rPr>
      </w:pPr>
      <w:r>
        <w:rPr>
          <w:rFonts w:ascii="Arial" w:cs="Arial" w:eastAsia="Arial" w:hAnsi="Arial"/>
          <w:sz w:val="19"/>
          <w:szCs w:val="19"/>
          <w:color w:val="auto"/>
        </w:rPr>
        <w:t>6.6 If Party A fails to perform duties specified in Clause 4 of this Agreement on time, Party A shall pay to Party B a liquidated damage of 0.05% of the amount in the Escrow Account for each day in delay. Besides paying late payment penalty in accordance with Clause 6.5, if Party B fails to perform any other duties as set forth in Clause 4 of this Agreement on time, Party B shall pay to Party A a liquidated damage of 0.05% of the amount in the Escrow Account for each day in delay.</w:t>
      </w:r>
    </w:p>
    <w:p>
      <w:pPr>
        <w:spacing w:after="0" w:line="1" w:lineRule="exact"/>
        <w:rPr>
          <w:sz w:val="20"/>
          <w:szCs w:val="20"/>
          <w:color w:val="auto"/>
        </w:rPr>
      </w:pPr>
    </w:p>
    <w:p>
      <w:pPr>
        <w:jc w:val="both"/>
        <w:ind w:left="380" w:hanging="364"/>
        <w:spacing w:after="0" w:line="366" w:lineRule="auto"/>
        <w:rPr>
          <w:sz w:val="20"/>
          <w:szCs w:val="20"/>
          <w:color w:val="auto"/>
        </w:rPr>
      </w:pPr>
      <w:r>
        <w:rPr>
          <w:rFonts w:ascii="Arial" w:cs="Arial" w:eastAsia="Arial" w:hAnsi="Arial"/>
          <w:sz w:val="21"/>
          <w:szCs w:val="21"/>
          <w:color w:val="auto"/>
        </w:rPr>
        <w:t>6.7 If Party A’s representations and warranties under Clause 5 of this Agreement are untrue, inaccurate, incomplete or Party A does not perform its obligations under this Agreement, which cause losses and debts to Party D or Party B, Party B shall submit a claim for compensation in writing and list out the items, basis and amount for the compensation (“</w:t>
      </w:r>
      <w:r>
        <w:rPr>
          <w:rFonts w:ascii="Arial" w:cs="Arial" w:eastAsia="Arial" w:hAnsi="Arial"/>
          <w:sz w:val="21"/>
          <w:szCs w:val="21"/>
          <w:b w:val="1"/>
          <w:bCs w:val="1"/>
          <w:color w:val="auto"/>
        </w:rPr>
        <w:t>Written Claim for</w:t>
      </w:r>
      <w:r>
        <w:rPr>
          <w:rFonts w:ascii="Arial" w:cs="Arial" w:eastAsia="Arial" w:hAnsi="Arial"/>
          <w:sz w:val="21"/>
          <w:szCs w:val="21"/>
          <w:color w:val="auto"/>
        </w:rPr>
        <w:t xml:space="preserve"> </w:t>
      </w:r>
      <w:r>
        <w:rPr>
          <w:rFonts w:ascii="Arial" w:cs="Arial" w:eastAsia="Arial" w:hAnsi="Arial"/>
          <w:sz w:val="21"/>
          <w:szCs w:val="21"/>
          <w:b w:val="1"/>
          <w:bCs w:val="1"/>
          <w:color w:val="auto"/>
        </w:rPr>
        <w:t>Compensation</w:t>
      </w:r>
      <w:r>
        <w:rPr>
          <w:rFonts w:ascii="Arial" w:cs="Arial" w:eastAsia="Arial" w:hAnsi="Arial"/>
          <w:sz w:val="21"/>
          <w:szCs w:val="21"/>
          <w:color w:val="auto"/>
        </w:rPr>
        <w:t>”). Within 15 days of the date of receipt of the Written Claim for Compensation, Party A shall investigate and</w:t>
      </w:r>
      <w:r>
        <w:rPr>
          <w:rFonts w:ascii="Arial" w:cs="Arial" w:eastAsia="Arial" w:hAnsi="Arial"/>
          <w:sz w:val="21"/>
          <w:szCs w:val="21"/>
          <w:b w:val="1"/>
          <w:bCs w:val="1"/>
          <w:color w:val="auto"/>
        </w:rPr>
        <w:t xml:space="preserve"> </w:t>
      </w:r>
      <w:r>
        <w:rPr>
          <w:rFonts w:ascii="Arial" w:cs="Arial" w:eastAsia="Arial" w:hAnsi="Arial"/>
          <w:sz w:val="21"/>
          <w:szCs w:val="21"/>
          <w:color w:val="auto"/>
        </w:rPr>
        <w:t>verify the matters as described in the Written Claim for Compensation. If the investigation and verification confirm that the matters as described in the Written Claim for Compensation are true, Party A shall compensate Party B in full. Party B shall have the right to deduct the amount which equals to the compensation from the unpaid transfer price. If other debts may not be paid in full due to the deduction, Party A shall be responsible for clearing up the unpaid debts. If there are disputes as to the above compensation, Party A and Party B shall have friendly negotiations or apply to arbitration pursuant to Clause 8.2 of this Agreement.</w:t>
      </w:r>
    </w:p>
    <w:p>
      <w:pPr>
        <w:spacing w:after="0" w:line="18" w:lineRule="exact"/>
        <w:rPr>
          <w:sz w:val="20"/>
          <w:szCs w:val="20"/>
          <w:color w:val="auto"/>
        </w:rPr>
      </w:pPr>
    </w:p>
    <w:p>
      <w:pPr>
        <w:jc w:val="both"/>
        <w:ind w:left="380" w:hanging="364"/>
        <w:spacing w:after="0" w:line="356" w:lineRule="auto"/>
        <w:rPr>
          <w:sz w:val="20"/>
          <w:szCs w:val="20"/>
          <w:color w:val="auto"/>
        </w:rPr>
      </w:pPr>
      <w:r>
        <w:rPr>
          <w:rFonts w:ascii="Arial" w:cs="Arial" w:eastAsia="Arial" w:hAnsi="Arial"/>
          <w:sz w:val="22"/>
          <w:szCs w:val="22"/>
          <w:color w:val="auto"/>
        </w:rPr>
        <w:t>6.8 After the execution of this Agreement, Party A shall not negotiate with any third party regarding the transfer of Party D’s equity or the Land, or sign, with any third party, any contracts, agreements, commitments or arrangement which are in conflict with this Agreement or make this Agreement partially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99" w:right="239" w:bottom="1440" w:gutter="0" w:footer="0" w:header="0"/>
        </w:sectPr>
      </w:pPr>
    </w:p>
    <w:bookmarkStart w:id="57" w:name="page58"/>
    <w:bookmarkEnd w:id="57"/>
    <w:p>
      <w:pPr>
        <w:jc w:val="both"/>
        <w:ind w:left="380"/>
        <w:spacing w:after="0" w:line="356" w:lineRule="auto"/>
        <w:rPr>
          <w:sz w:val="20"/>
          <w:szCs w:val="20"/>
          <w:color w:val="auto"/>
        </w:rPr>
      </w:pPr>
      <w:r>
        <w:rPr>
          <w:rFonts w:ascii="Arial" w:cs="Arial" w:eastAsia="Arial" w:hAnsi="Arial"/>
          <w:sz w:val="22"/>
          <w:szCs w:val="22"/>
          <w:color w:val="auto"/>
        </w:rPr>
        <w:t>or wholly unenforceable. Otherwise, Party B shall have the right to terminate this Agreement, and Party A shall pay Party B RMB30 million as liquidated damages, release the Escrow Account, and return the fund in the Escrow Account to Party B in full, and shall be responsible for any actual damages incurred by Party B thereof.</w:t>
      </w:r>
    </w:p>
    <w:p>
      <w:pPr>
        <w:spacing w:after="0" w:line="22" w:lineRule="exact"/>
        <w:rPr>
          <w:sz w:val="20"/>
          <w:szCs w:val="20"/>
          <w:color w:val="auto"/>
        </w:rPr>
      </w:pPr>
    </w:p>
    <w:p>
      <w:pPr>
        <w:jc w:val="both"/>
        <w:ind w:left="380" w:right="20" w:hanging="364"/>
        <w:spacing w:after="0" w:line="351" w:lineRule="auto"/>
        <w:rPr>
          <w:sz w:val="20"/>
          <w:szCs w:val="20"/>
          <w:color w:val="auto"/>
        </w:rPr>
      </w:pPr>
      <w:r>
        <w:rPr>
          <w:rFonts w:ascii="Arial" w:cs="Arial" w:eastAsia="Arial" w:hAnsi="Arial"/>
          <w:sz w:val="22"/>
          <w:szCs w:val="22"/>
          <w:color w:val="auto"/>
        </w:rPr>
        <w:t>6.9 If either Party A or Party B unilaterally terminates this Agreement in breach of this Agreement or terminates this Agreement in accordance with Clause 6 of this Agreement, in addition to being responsible for any breach under Clause 6 as a breaching Party, Party A shall also release the Escrow Account and the fund in the Escrow Account shall be returned to Party B after deducting the amount for breach under this Clause. Otherwise, Party A shall pay Party B a liquidated damage of 0.05% of the amount in the Escrow Account for each day in delay.</w:t>
      </w:r>
    </w:p>
    <w:p>
      <w:pPr>
        <w:spacing w:after="0" w:line="21"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7.</w:t>
      </w:r>
      <w:r>
        <w:rPr>
          <w:sz w:val="20"/>
          <w:szCs w:val="20"/>
          <w:color w:val="auto"/>
        </w:rPr>
        <w:tab/>
      </w:r>
      <w:r>
        <w:rPr>
          <w:rFonts w:ascii="Arial" w:cs="Arial" w:eastAsia="Arial" w:hAnsi="Arial"/>
          <w:sz w:val="19"/>
          <w:szCs w:val="19"/>
          <w:b w:val="1"/>
          <w:bCs w:val="1"/>
          <w:color w:val="auto"/>
        </w:rPr>
        <w:t>Guarantee</w:t>
      </w:r>
    </w:p>
    <w:p>
      <w:pPr>
        <w:spacing w:after="0" w:line="200" w:lineRule="exact"/>
        <w:rPr>
          <w:sz w:val="20"/>
          <w:szCs w:val="20"/>
          <w:color w:val="auto"/>
        </w:rPr>
      </w:pPr>
    </w:p>
    <w:p>
      <w:pPr>
        <w:spacing w:after="0" w:line="228" w:lineRule="exact"/>
        <w:rPr>
          <w:sz w:val="20"/>
          <w:szCs w:val="20"/>
          <w:color w:val="auto"/>
        </w:rPr>
      </w:pPr>
    </w:p>
    <w:p>
      <w:pPr>
        <w:jc w:val="both"/>
        <w:ind w:left="880" w:hanging="593"/>
        <w:spacing w:after="0" w:line="345" w:lineRule="auto"/>
        <w:tabs>
          <w:tab w:leader="none" w:pos="860" w:val="left"/>
        </w:tabs>
        <w:rPr>
          <w:sz w:val="20"/>
          <w:szCs w:val="20"/>
          <w:color w:val="auto"/>
        </w:rPr>
      </w:pPr>
      <w:r>
        <w:rPr>
          <w:rFonts w:ascii="Arial" w:cs="Arial" w:eastAsia="Arial" w:hAnsi="Arial"/>
          <w:sz w:val="22"/>
          <w:szCs w:val="22"/>
          <w:color w:val="auto"/>
        </w:rPr>
        <w:t>7.1</w:t>
        <w:tab/>
        <w:t>With respect to the transaction contemplated under this Agreement, Party C voluntarily agrees to be Party A’s guarantor. Party C agrees unconditionally and irrevocably, to be jointly and severally, without limitation, liable for all the agreements made by Party A to Party B with respect to the performance of this Agreement.</w:t>
      </w:r>
    </w:p>
    <w:p>
      <w:pPr>
        <w:spacing w:after="0" w:line="3" w:lineRule="exact"/>
        <w:rPr>
          <w:sz w:val="20"/>
          <w:szCs w:val="20"/>
          <w:color w:val="auto"/>
        </w:rPr>
      </w:pPr>
    </w:p>
    <w:p>
      <w:pPr>
        <w:jc w:val="both"/>
        <w:ind w:left="880" w:hanging="607"/>
        <w:spacing w:after="0" w:line="356" w:lineRule="auto"/>
        <w:tabs>
          <w:tab w:leader="none" w:pos="86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22"/>
          <w:szCs w:val="22"/>
          <w:color w:val="auto"/>
        </w:rPr>
        <w:t>With respect to the transaction contemplated under this Agreement, Party E voluntarily agrees to be Party B’s guarantor. Party E agrees unconditionally and irrevocably, to be jointly and severally, without limitation, liable for all the agreements made by Party B to Party A with respect to the performance of this Agreement.</w:t>
      </w:r>
    </w:p>
    <w:p>
      <w:pPr>
        <w:spacing w:after="0" w:line="16"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8.</w:t>
      </w:r>
      <w:r>
        <w:rPr>
          <w:sz w:val="20"/>
          <w:szCs w:val="20"/>
          <w:color w:val="auto"/>
        </w:rPr>
        <w:tab/>
      </w:r>
      <w:r>
        <w:rPr>
          <w:rFonts w:ascii="Arial" w:cs="Arial" w:eastAsia="Arial" w:hAnsi="Arial"/>
          <w:sz w:val="19"/>
          <w:szCs w:val="19"/>
          <w:b w:val="1"/>
          <w:bCs w:val="1"/>
          <w:color w:val="auto"/>
        </w:rPr>
        <w:t>Applicable Law and Settlement of Disputes</w:t>
      </w:r>
    </w:p>
    <w:p>
      <w:pPr>
        <w:spacing w:after="0" w:line="172" w:lineRule="exact"/>
        <w:rPr>
          <w:sz w:val="20"/>
          <w:szCs w:val="20"/>
          <w:color w:val="auto"/>
        </w:rPr>
      </w:pPr>
    </w:p>
    <w:p>
      <w:pPr>
        <w:jc w:val="both"/>
        <w:ind w:left="380" w:right="20" w:hanging="364"/>
        <w:spacing w:after="0" w:line="366" w:lineRule="auto"/>
        <w:rPr>
          <w:sz w:val="20"/>
          <w:szCs w:val="20"/>
          <w:color w:val="auto"/>
        </w:rPr>
      </w:pPr>
      <w:r>
        <w:rPr>
          <w:rFonts w:ascii="Arial" w:cs="Arial" w:eastAsia="Arial" w:hAnsi="Arial"/>
          <w:sz w:val="22"/>
          <w:szCs w:val="22"/>
          <w:color w:val="auto"/>
        </w:rPr>
        <w:t>8.1 The conclusion, implementation, validity and interpretation of and disputes arising out of this Agreement shall be governed by the laws of People’s Republic of China.</w:t>
      </w:r>
    </w:p>
    <w:p>
      <w:pPr>
        <w:spacing w:after="0" w:line="12" w:lineRule="exact"/>
        <w:rPr>
          <w:sz w:val="20"/>
          <w:szCs w:val="20"/>
          <w:color w:val="auto"/>
        </w:rPr>
      </w:pPr>
    </w:p>
    <w:p>
      <w:pPr>
        <w:jc w:val="both"/>
        <w:ind w:left="380" w:hanging="364"/>
        <w:spacing w:after="0" w:line="373" w:lineRule="auto"/>
        <w:rPr>
          <w:sz w:val="20"/>
          <w:szCs w:val="20"/>
          <w:color w:val="auto"/>
        </w:rPr>
      </w:pPr>
      <w:r>
        <w:rPr>
          <w:rFonts w:ascii="Arial" w:cs="Arial" w:eastAsia="Arial" w:hAnsi="Arial"/>
          <w:sz w:val="21"/>
          <w:szCs w:val="21"/>
          <w:color w:val="auto"/>
        </w:rPr>
        <w:t>8.2 The Parties agree that all the disputes and claims arising out of or relating to this Agreement shall first be resolved by friendly consultations. If no agreement can be reached, either Party may submit the dispute for arbitration before South China International Economic and Trade Arbitration Commission (also called Shenzhen Court of International Arbitration) in accordance with its procedural rules. The arbitral award shall be final and binding on the Parties.</w:t>
      </w:r>
    </w:p>
    <w:p>
      <w:pPr>
        <w:spacing w:after="0" w:line="5"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9.</w:t>
      </w:r>
      <w:r>
        <w:rPr>
          <w:sz w:val="20"/>
          <w:szCs w:val="20"/>
          <w:color w:val="auto"/>
        </w:rPr>
        <w:tab/>
      </w:r>
      <w:r>
        <w:rPr>
          <w:rFonts w:ascii="Arial" w:cs="Arial" w:eastAsia="Arial" w:hAnsi="Arial"/>
          <w:sz w:val="18"/>
          <w:szCs w:val="18"/>
          <w:b w:val="1"/>
          <w:bCs w:val="1"/>
          <w:color w:val="auto"/>
        </w:rPr>
        <w:t>Miscellaneous</w:t>
      </w:r>
    </w:p>
    <w:p>
      <w:pPr>
        <w:spacing w:after="0" w:line="172" w:lineRule="exact"/>
        <w:rPr>
          <w:sz w:val="20"/>
          <w:szCs w:val="20"/>
          <w:color w:val="auto"/>
        </w:rPr>
      </w:pPr>
    </w:p>
    <w:p>
      <w:pPr>
        <w:jc w:val="both"/>
        <w:ind w:left="380" w:hanging="364"/>
        <w:spacing w:after="0" w:line="356" w:lineRule="auto"/>
        <w:rPr>
          <w:sz w:val="20"/>
          <w:szCs w:val="20"/>
          <w:color w:val="auto"/>
        </w:rPr>
      </w:pPr>
      <w:r>
        <w:rPr>
          <w:rFonts w:ascii="Arial" w:cs="Arial" w:eastAsia="Arial" w:hAnsi="Arial"/>
          <w:sz w:val="22"/>
          <w:szCs w:val="22"/>
          <w:color w:val="auto"/>
        </w:rPr>
        <w:t>9.1 Taxes and fees in relation to the transaction contemplated under this Agreement shall be borne by the party in accordance with the relevant laws and regulations or agreements among the Parties. If there is no such laws, regulations or agreements, the taxes and fees shall be borne by Party A and Party B in equal share.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699" w:right="239" w:bottom="1440" w:gutter="0" w:footer="0" w:header="0"/>
        </w:sectPr>
      </w:pPr>
    </w:p>
    <w:bookmarkStart w:id="58" w:name="page59"/>
    <w:bookmarkEnd w:id="58"/>
    <w:p>
      <w:pPr>
        <w:jc w:val="both"/>
        <w:ind w:left="380" w:hanging="364"/>
        <w:spacing w:after="0" w:line="378" w:lineRule="auto"/>
        <w:rPr>
          <w:sz w:val="20"/>
          <w:szCs w:val="20"/>
          <w:color w:val="auto"/>
        </w:rPr>
      </w:pPr>
      <w:r>
        <w:rPr>
          <w:rFonts w:ascii="Arial" w:cs="Arial" w:eastAsia="Arial" w:hAnsi="Arial"/>
          <w:sz w:val="21"/>
          <w:szCs w:val="21"/>
          <w:color w:val="auto"/>
        </w:rPr>
        <w:t>9.2 After the execution of this Agreement, Party B shall be entitled to designate a Third Party to assume all its rights and obligations under this Agreement based on the performance of this Agreement. However, Party B shall unconditionally assume a joint and several liability together with the Third Party for the performance of this Agreement.</w:t>
      </w:r>
    </w:p>
    <w:p>
      <w:pPr>
        <w:spacing w:after="0" w:line="7" w:lineRule="exact"/>
        <w:rPr>
          <w:sz w:val="20"/>
          <w:szCs w:val="20"/>
          <w:color w:val="auto"/>
        </w:rPr>
      </w:pPr>
    </w:p>
    <w:p>
      <w:pPr>
        <w:jc w:val="both"/>
        <w:ind w:left="380" w:hanging="364"/>
        <w:spacing w:after="0" w:line="368" w:lineRule="auto"/>
        <w:rPr>
          <w:sz w:val="20"/>
          <w:szCs w:val="20"/>
          <w:color w:val="auto"/>
        </w:rPr>
      </w:pPr>
      <w:r>
        <w:rPr>
          <w:rFonts w:ascii="Arial" w:cs="Arial" w:eastAsia="Arial" w:hAnsi="Arial"/>
          <w:sz w:val="21"/>
          <w:szCs w:val="21"/>
          <w:color w:val="auto"/>
        </w:rPr>
        <w:t>9.3 All the information in relation to this Agreement and the transaction contemplated under this Agreement are confidential information, and all the parties involved are obliged to keep such information confidential. No Party shall, by action or omission, disclose such confidential information to any third party other than its employees involved or anyone who is authorized to have access to the confidential information, except that the disclosure is required to make by law or by any governmental or other regulatory authority. The Parties to this Agreement shall also supervise the personnel employed by the professional agencies and cause such personnel to undertake confidentiality obligations.</w:t>
      </w:r>
    </w:p>
    <w:p>
      <w:pPr>
        <w:spacing w:after="0" w:line="20" w:lineRule="exact"/>
        <w:rPr>
          <w:sz w:val="20"/>
          <w:szCs w:val="20"/>
          <w:color w:val="auto"/>
        </w:rPr>
      </w:pPr>
    </w:p>
    <w:p>
      <w:pPr>
        <w:jc w:val="both"/>
        <w:ind w:left="380" w:hanging="364"/>
        <w:spacing w:after="0" w:line="351" w:lineRule="auto"/>
        <w:rPr>
          <w:sz w:val="20"/>
          <w:szCs w:val="20"/>
          <w:color w:val="auto"/>
        </w:rPr>
      </w:pPr>
      <w:r>
        <w:rPr>
          <w:rFonts w:ascii="Arial" w:cs="Arial" w:eastAsia="Arial" w:hAnsi="Arial"/>
          <w:sz w:val="22"/>
          <w:szCs w:val="22"/>
          <w:color w:val="auto"/>
        </w:rPr>
        <w:t>9.4 In the event that this Agreement cannot be performed in part or in whole due to force majeure, government action and other unforeseeable and insurmountable reasons, the Party which encounters any one of the above events shall immediately notify other Parties in writing. The Parties shall consult with each other based on the actual impacts to determine whether to terminate this Agreement, or partially or entirely exempt the affected Party from its responsibility, or postpone the performance of this Agreement.</w:t>
      </w:r>
    </w:p>
    <w:p>
      <w:pPr>
        <w:spacing w:after="0" w:line="27" w:lineRule="exact"/>
        <w:rPr>
          <w:sz w:val="20"/>
          <w:szCs w:val="20"/>
          <w:color w:val="auto"/>
        </w:rPr>
      </w:pPr>
    </w:p>
    <w:p>
      <w:pPr>
        <w:jc w:val="both"/>
        <w:ind w:left="380" w:hanging="364"/>
        <w:spacing w:after="0" w:line="352" w:lineRule="auto"/>
        <w:rPr>
          <w:sz w:val="20"/>
          <w:szCs w:val="20"/>
          <w:color w:val="auto"/>
        </w:rPr>
      </w:pPr>
      <w:r>
        <w:rPr>
          <w:rFonts w:ascii="Arial" w:cs="Arial" w:eastAsia="Arial" w:hAnsi="Arial"/>
          <w:sz w:val="22"/>
          <w:szCs w:val="22"/>
          <w:color w:val="auto"/>
        </w:rPr>
        <w:t>9.5 The notices among the Parties shall be in writing. The notices and documents shall be sent by registered mail or courier to the addresses and contact persons as set forth in this Agreement. If there is any change in one Party’s address, such Party shall promptly notify the other Parties in writing. Otherwise, a notice or a document sent to the following address shall be deemed to have been delivered to each Party below:</w:t>
      </w:r>
    </w:p>
    <w:p>
      <w:pPr>
        <w:spacing w:after="0" w:line="285" w:lineRule="exact"/>
        <w:rPr>
          <w:sz w:val="20"/>
          <w:szCs w:val="20"/>
          <w:color w:val="auto"/>
        </w:rPr>
      </w:pPr>
    </w:p>
    <w:p>
      <w:pPr>
        <w:ind w:left="1420"/>
        <w:spacing w:after="0"/>
        <w:rPr>
          <w:sz w:val="20"/>
          <w:szCs w:val="20"/>
          <w:color w:val="auto"/>
        </w:rPr>
      </w:pPr>
      <w:r>
        <w:rPr>
          <w:rFonts w:ascii="Arial" w:cs="Arial" w:eastAsia="Arial" w:hAnsi="Arial"/>
          <w:sz w:val="19"/>
          <w:szCs w:val="19"/>
          <w:color w:val="auto"/>
        </w:rPr>
        <w:t>Party A’s mailing address: 902-908, 9/F, One Harbourfront, 18 Tak Fung Street, Hung Hom, Kowloon, Hong Kong;</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Party A’s contact person: David Chong Cheung Hyen</w:t>
      </w:r>
    </w:p>
    <w:p>
      <w:pPr>
        <w:spacing w:after="0" w:line="200" w:lineRule="exact"/>
        <w:rPr>
          <w:sz w:val="20"/>
          <w:szCs w:val="20"/>
          <w:color w:val="auto"/>
        </w:rPr>
      </w:pPr>
    </w:p>
    <w:p>
      <w:pPr>
        <w:spacing w:after="0" w:line="276"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Party B’s mailing address: Room S, 36/F, No. 410-412, Dongfeng Road, Yuexiu District, Guangzhou; Party B’s</w:t>
      </w:r>
    </w:p>
    <w:p>
      <w:pPr>
        <w:spacing w:after="0" w:line="146" w:lineRule="exact"/>
        <w:rPr>
          <w:sz w:val="20"/>
          <w:szCs w:val="20"/>
          <w:color w:val="auto"/>
        </w:rPr>
      </w:pPr>
    </w:p>
    <w:p>
      <w:pPr>
        <w:ind w:left="740"/>
        <w:spacing w:after="0"/>
        <w:rPr>
          <w:sz w:val="20"/>
          <w:szCs w:val="20"/>
          <w:color w:val="auto"/>
        </w:rPr>
      </w:pPr>
      <w:r>
        <w:rPr>
          <w:rFonts w:ascii="Arial" w:cs="Arial" w:eastAsia="Arial" w:hAnsi="Arial"/>
          <w:sz w:val="22"/>
          <w:szCs w:val="22"/>
          <w:color w:val="auto"/>
        </w:rPr>
        <w:t>contact person: Cen Zhaoxiong</w:t>
      </w:r>
    </w:p>
    <w:p>
      <w:pPr>
        <w:spacing w:after="0" w:line="200" w:lineRule="exact"/>
        <w:rPr>
          <w:sz w:val="20"/>
          <w:szCs w:val="20"/>
          <w:color w:val="auto"/>
        </w:rPr>
      </w:pPr>
    </w:p>
    <w:p>
      <w:pPr>
        <w:spacing w:after="0" w:line="276" w:lineRule="exact"/>
        <w:rPr>
          <w:sz w:val="20"/>
          <w:szCs w:val="20"/>
          <w:color w:val="auto"/>
        </w:rPr>
      </w:pPr>
    </w:p>
    <w:p>
      <w:pPr>
        <w:ind w:left="720" w:right="20" w:hanging="26"/>
        <w:spacing w:after="0" w:line="366" w:lineRule="auto"/>
        <w:rPr>
          <w:sz w:val="20"/>
          <w:szCs w:val="20"/>
          <w:color w:val="auto"/>
        </w:rPr>
      </w:pPr>
      <w:r>
        <w:rPr>
          <w:rFonts w:ascii="Arial" w:cs="Arial" w:eastAsia="Arial" w:hAnsi="Arial"/>
          <w:sz w:val="22"/>
          <w:szCs w:val="22"/>
          <w:color w:val="auto"/>
        </w:rPr>
        <w:t>Party C’s mailing address: 201E, Sandpoint Avenue, 8th Floor, Santa Ana, CA 92707, USA Party C’s contact person: Bryan M. Hackworth</w:t>
      </w:r>
    </w:p>
    <w:p>
      <w:pPr>
        <w:spacing w:after="0" w:line="322" w:lineRule="exact"/>
        <w:rPr>
          <w:sz w:val="20"/>
          <w:szCs w:val="20"/>
          <w:color w:val="auto"/>
        </w:rPr>
      </w:pPr>
    </w:p>
    <w:p>
      <w:pPr>
        <w:ind w:left="1300"/>
        <w:spacing w:after="0"/>
        <w:tabs>
          <w:tab w:leader="none" w:pos="4700" w:val="left"/>
        </w:tabs>
        <w:rPr>
          <w:sz w:val="20"/>
          <w:szCs w:val="20"/>
          <w:color w:val="auto"/>
        </w:rPr>
      </w:pPr>
      <w:r>
        <w:rPr>
          <w:rFonts w:ascii="Arial" w:cs="Arial" w:eastAsia="Arial" w:hAnsi="Arial"/>
          <w:sz w:val="22"/>
          <w:szCs w:val="22"/>
          <w:color w:val="auto"/>
        </w:rPr>
        <w:t>Party D’s mailing address: Address:</w:t>
      </w:r>
      <w:r>
        <w:rPr>
          <w:sz w:val="20"/>
          <w:szCs w:val="20"/>
          <w:color w:val="auto"/>
        </w:rPr>
        <w:tab/>
      </w:r>
      <w:r>
        <w:rPr>
          <w:rFonts w:ascii="Arial" w:cs="Arial" w:eastAsia="Arial" w:hAnsi="Arial"/>
          <w:sz w:val="19"/>
          <w:szCs w:val="19"/>
          <w:color w:val="auto"/>
        </w:rPr>
        <w:t>45 Section II Shiguang Road, Zhongcun Town, Panyu District, Guangzhou;</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Party D’s contact person: Chen Dezhong</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699" w:right="239" w:bottom="1440" w:gutter="0" w:footer="0" w:header="0"/>
        </w:sectPr>
      </w:pPr>
    </w:p>
    <w:bookmarkStart w:id="59" w:name="page60"/>
    <w:bookmarkEnd w:id="59"/>
    <w:p>
      <w:pPr>
        <w:ind w:left="620"/>
        <w:spacing w:after="0"/>
        <w:rPr>
          <w:sz w:val="20"/>
          <w:szCs w:val="20"/>
          <w:color w:val="auto"/>
        </w:rPr>
      </w:pPr>
      <w:r>
        <w:rPr>
          <w:rFonts w:ascii="Arial" w:cs="Arial" w:eastAsia="Arial" w:hAnsi="Arial"/>
          <w:sz w:val="19"/>
          <w:szCs w:val="19"/>
          <w:color w:val="auto"/>
        </w:rPr>
        <w:t>Party E’s mailing address: Suites 4706-07, 47/F, Two Exchange Square, 8 Connaught Place, Central, Hong Kong; Party E’s</w:t>
      </w:r>
    </w:p>
    <w:p>
      <w:pPr>
        <w:spacing w:after="0" w:line="146" w:lineRule="exact"/>
        <w:rPr>
          <w:sz w:val="20"/>
          <w:szCs w:val="20"/>
          <w:color w:val="auto"/>
        </w:rPr>
      </w:pPr>
    </w:p>
    <w:p>
      <w:pPr>
        <w:ind w:left="620"/>
        <w:spacing w:after="0"/>
        <w:rPr>
          <w:sz w:val="20"/>
          <w:szCs w:val="20"/>
          <w:color w:val="auto"/>
        </w:rPr>
      </w:pPr>
      <w:r>
        <w:rPr>
          <w:rFonts w:ascii="Arial" w:cs="Arial" w:eastAsia="Arial" w:hAnsi="Arial"/>
          <w:sz w:val="22"/>
          <w:szCs w:val="22"/>
          <w:color w:val="auto"/>
        </w:rPr>
        <w:t>contact person: Cen Zhaoxiong.</w:t>
      </w:r>
    </w:p>
    <w:p>
      <w:pPr>
        <w:spacing w:after="0" w:line="200" w:lineRule="exact"/>
        <w:rPr>
          <w:sz w:val="20"/>
          <w:szCs w:val="20"/>
          <w:color w:val="auto"/>
        </w:rPr>
      </w:pPr>
    </w:p>
    <w:p>
      <w:pPr>
        <w:spacing w:after="0" w:line="276" w:lineRule="exact"/>
        <w:rPr>
          <w:sz w:val="20"/>
          <w:szCs w:val="20"/>
          <w:color w:val="auto"/>
        </w:rPr>
      </w:pPr>
    </w:p>
    <w:p>
      <w:pPr>
        <w:jc w:val="both"/>
        <w:ind w:left="340" w:hanging="323"/>
        <w:spacing w:after="0" w:line="356" w:lineRule="auto"/>
        <w:rPr>
          <w:sz w:val="20"/>
          <w:szCs w:val="20"/>
          <w:color w:val="auto"/>
        </w:rPr>
      </w:pPr>
      <w:r>
        <w:rPr>
          <w:rFonts w:ascii="Arial" w:cs="Arial" w:eastAsia="Arial" w:hAnsi="Arial"/>
          <w:sz w:val="22"/>
          <w:szCs w:val="22"/>
          <w:color w:val="auto"/>
        </w:rPr>
        <w:t>9.6 If there is any discrepancy between the provisions in the Standard Equity Transfer Contract executed by Party A and Party B for the purposes of obtaining approval from the Authority in Charge of Commerce and the provisions in this Agreement, the provisions in this Agreement shall prevail.</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9.7 The invalidity of any of the provisions of this Agreement shall not affect the validity of the remaining provisions.</w:t>
      </w:r>
    </w:p>
    <w:p>
      <w:pPr>
        <w:spacing w:after="0" w:line="166" w:lineRule="exact"/>
        <w:rPr>
          <w:sz w:val="20"/>
          <w:szCs w:val="20"/>
          <w:color w:val="auto"/>
        </w:rPr>
      </w:pPr>
    </w:p>
    <w:p>
      <w:pPr>
        <w:jc w:val="both"/>
        <w:ind w:left="340" w:hanging="323"/>
        <w:spacing w:after="0" w:line="366" w:lineRule="auto"/>
        <w:rPr>
          <w:sz w:val="20"/>
          <w:szCs w:val="20"/>
          <w:color w:val="auto"/>
        </w:rPr>
      </w:pPr>
      <w:r>
        <w:rPr>
          <w:rFonts w:ascii="Arial" w:cs="Arial" w:eastAsia="Arial" w:hAnsi="Arial"/>
          <w:sz w:val="22"/>
          <w:szCs w:val="22"/>
          <w:color w:val="auto"/>
        </w:rPr>
        <w:t>9.8 A failure of any Party hereto to exercise any right provided under this Agreement due to any reason shall not constitute a waiver by such Party of its right to exercise any such or other right under this Agreement.</w:t>
      </w:r>
    </w:p>
    <w:p>
      <w:pPr>
        <w:spacing w:after="0" w:line="12" w:lineRule="exact"/>
        <w:rPr>
          <w:sz w:val="20"/>
          <w:szCs w:val="20"/>
          <w:color w:val="auto"/>
        </w:rPr>
      </w:pPr>
    </w:p>
    <w:p>
      <w:pPr>
        <w:jc w:val="both"/>
        <w:ind w:left="340" w:hanging="323"/>
        <w:spacing w:after="0" w:line="366" w:lineRule="auto"/>
        <w:rPr>
          <w:sz w:val="20"/>
          <w:szCs w:val="20"/>
          <w:color w:val="auto"/>
        </w:rPr>
      </w:pPr>
      <w:r>
        <w:rPr>
          <w:rFonts w:ascii="Arial" w:cs="Arial" w:eastAsia="Arial" w:hAnsi="Arial"/>
          <w:sz w:val="22"/>
          <w:szCs w:val="22"/>
          <w:color w:val="auto"/>
        </w:rPr>
        <w:t>9.9 This Agreement may be modified or supplemented in writing and signed by the Parties. Such written documents shall constitute an integral part of this Agreement and have the same legal effect.</w:t>
      </w:r>
    </w:p>
    <w:p>
      <w:pPr>
        <w:spacing w:after="0" w:line="12" w:lineRule="exact"/>
        <w:rPr>
          <w:sz w:val="20"/>
          <w:szCs w:val="20"/>
          <w:color w:val="auto"/>
        </w:rPr>
      </w:pPr>
    </w:p>
    <w:p>
      <w:pPr>
        <w:jc w:val="both"/>
        <w:ind w:left="660" w:hanging="647"/>
        <w:spacing w:after="0" w:line="356" w:lineRule="auto"/>
        <w:tabs>
          <w:tab w:leader="none" w:pos="640" w:val="left"/>
        </w:tabs>
        <w:rPr>
          <w:sz w:val="20"/>
          <w:szCs w:val="20"/>
          <w:color w:val="auto"/>
        </w:rPr>
      </w:pPr>
      <w:r>
        <w:rPr>
          <w:rFonts w:ascii="Arial" w:cs="Arial" w:eastAsia="Arial" w:hAnsi="Arial"/>
          <w:sz w:val="22"/>
          <w:szCs w:val="22"/>
          <w:color w:val="auto"/>
        </w:rPr>
        <w:t>9.10</w:t>
        <w:tab/>
        <w:t>This Agreement is written in ten (10) originals and each is equally authentic. Party A, Party B, Party C, Party D and Party E shall each hold two originals. This Agreement shall be effective upon execution by the authorized representatives of the Parties and affixing of their company seals respectively.</w:t>
      </w:r>
    </w:p>
    <w:p>
      <w:pPr>
        <w:spacing w:after="0" w:line="22" w:lineRule="exact"/>
        <w:rPr>
          <w:sz w:val="20"/>
          <w:szCs w:val="20"/>
          <w:color w:val="auto"/>
        </w:rPr>
      </w:pPr>
    </w:p>
    <w:p>
      <w:pPr>
        <w:jc w:val="both"/>
        <w:ind w:left="660" w:right="20" w:hanging="647"/>
        <w:spacing w:after="0" w:line="366" w:lineRule="auto"/>
        <w:tabs>
          <w:tab w:leader="none" w:pos="640" w:val="left"/>
        </w:tabs>
        <w:rPr>
          <w:sz w:val="20"/>
          <w:szCs w:val="20"/>
          <w:color w:val="auto"/>
        </w:rPr>
      </w:pPr>
      <w:r>
        <w:rPr>
          <w:rFonts w:ascii="Arial" w:cs="Arial" w:eastAsia="Arial" w:hAnsi="Arial"/>
          <w:sz w:val="22"/>
          <w:szCs w:val="22"/>
          <w:color w:val="auto"/>
        </w:rPr>
        <w:t>9.11</w:t>
        <w:tab/>
        <w:t>This Agreement is written in both Chinese and English. If there is any discrepancy between the two versions, the Chinese version shall prevail.</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645" w:right="239" w:bottom="1440" w:gutter="0" w:footer="0" w:header="0"/>
        </w:sectPr>
      </w:pPr>
    </w:p>
    <w:bookmarkStart w:id="60" w:name="page61"/>
    <w:bookmarkEnd w:id="60"/>
    <w:p>
      <w:pPr>
        <w:spacing w:after="0"/>
        <w:rPr>
          <w:sz w:val="20"/>
          <w:szCs w:val="20"/>
          <w:color w:val="auto"/>
        </w:rPr>
      </w:pPr>
      <w:r>
        <w:rPr>
          <w:rFonts w:ascii="Arial" w:cs="Arial" w:eastAsia="Arial" w:hAnsi="Arial"/>
          <w:sz w:val="20"/>
          <w:szCs w:val="20"/>
          <w:color w:val="auto"/>
        </w:rPr>
        <w:t>Party A: CG Development Limited (Chop)</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Legal Representative (Signature): /s/ David Chong Cheung Hyen</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Date: September 26, 2016</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0"/>
          <w:szCs w:val="20"/>
          <w:color w:val="auto"/>
        </w:rPr>
        <w:t>Party B: Guangzhou Junhao Investment Co., Ltd (Chop)</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Legal Representative (Signature): /s/ Cen Zhaoxiong</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Date: September 26, 2016</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Party C: Universal Electronics Inc. (Chop)</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Legal Representative (Signature): /s/ Bryan M. Hackworth</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Date: September 26, 2016</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auto"/>
        </w:rPr>
        <w:t>Party D: Gemstar Technology (China) Co., Ltd. (Chop)</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Legal Representative (Signature): /s/ Chen Dezhong</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Date: September 26, 2016</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auto"/>
        </w:rPr>
        <w:t>Party E: Times Property Holdings Limited (Chop)</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Legal Representative (Signature): /s/ Cen Zhaoxiong</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Date: September 26,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179"/>
          </w:cols>
          <w:pgMar w:left="280" w:top="960" w:right="1440"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Paul D. Arling, certify that:</w:t>
      </w:r>
    </w:p>
    <w:p>
      <w:pPr>
        <w:spacing w:after="0" w:line="171"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71"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jc w:val="both"/>
        <w:ind w:left="340" w:firstLine="154"/>
        <w:spacing w:after="0" w:line="311" w:lineRule="auto"/>
        <w:tabs>
          <w:tab w:leader="none" w:pos="869"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340" w:firstLine="154"/>
        <w:spacing w:after="0" w:line="311" w:lineRule="auto"/>
        <w:tabs>
          <w:tab w:leader="none" w:pos="89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firstLine="154"/>
        <w:spacing w:after="0" w:line="357" w:lineRule="auto"/>
        <w:tabs>
          <w:tab w:leader="none" w:pos="896"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7"/>
          <w:szCs w:val="17"/>
          <w:color w:val="auto"/>
        </w:rPr>
      </w:pPr>
    </w:p>
    <w:p>
      <w:pPr>
        <w:ind w:left="340" w:firstLine="154"/>
        <w:spacing w:after="0" w:line="369" w:lineRule="auto"/>
        <w:tabs>
          <w:tab w:leader="none" w:pos="878" w:val="left"/>
        </w:tabs>
        <w:numPr>
          <w:ilvl w:val="1"/>
          <w:numId w:val="2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340" w:firstLine="154"/>
        <w:spacing w:after="0" w:line="324" w:lineRule="auto"/>
        <w:tabs>
          <w:tab w:leader="none" w:pos="864"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340" w:right="20" w:firstLine="154"/>
        <w:spacing w:after="0" w:line="324" w:lineRule="auto"/>
        <w:tabs>
          <w:tab w:leader="none" w:pos="871"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2016</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24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Paul D. Arling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and Chief Executive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Bryan M. Hackworth, certify that:</w:t>
      </w:r>
    </w:p>
    <w:p>
      <w:pPr>
        <w:spacing w:after="0" w:line="171"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71"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340" w:firstLine="154"/>
        <w:spacing w:after="0" w:line="311" w:lineRule="auto"/>
        <w:tabs>
          <w:tab w:leader="none" w:pos="869"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jc w:val="both"/>
        <w:ind w:left="340" w:firstLine="154"/>
        <w:spacing w:after="0" w:line="311" w:lineRule="auto"/>
        <w:tabs>
          <w:tab w:leader="none" w:pos="89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340" w:firstLine="154"/>
        <w:spacing w:after="0" w:line="357" w:lineRule="auto"/>
        <w:tabs>
          <w:tab w:leader="none" w:pos="896"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 w:lineRule="exact"/>
        <w:rPr>
          <w:rFonts w:ascii="Arial" w:cs="Arial" w:eastAsia="Arial" w:hAnsi="Arial"/>
          <w:sz w:val="17"/>
          <w:szCs w:val="17"/>
          <w:color w:val="auto"/>
        </w:rPr>
      </w:pPr>
    </w:p>
    <w:p>
      <w:pPr>
        <w:ind w:left="340" w:firstLine="154"/>
        <w:spacing w:after="0" w:line="369" w:lineRule="auto"/>
        <w:tabs>
          <w:tab w:leader="none" w:pos="878" w:val="left"/>
        </w:tabs>
        <w:numPr>
          <w:ilvl w:val="1"/>
          <w:numId w:val="2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340" w:firstLine="154"/>
        <w:spacing w:after="0" w:line="324" w:lineRule="auto"/>
        <w:tabs>
          <w:tab w:leader="none" w:pos="864"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340" w:right="20" w:firstLine="154"/>
        <w:spacing w:after="0" w:line="324" w:lineRule="auto"/>
        <w:tabs>
          <w:tab w:leader="none" w:pos="871"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2016</w:t>
      </w: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24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Bryan M. Hackworth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and principal accounting officer)</w:t>
      </w:r>
    </w:p>
    <w:p>
      <w:pPr>
        <w:sectPr>
          <w:pgSz w:w="11900" w:h="16838" w:orient="portrait"/>
          <w:cols w:equalWidth="0" w:num="1">
            <w:col w:w="11420"/>
          </w:cols>
          <w:pgMar w:left="240" w:top="580"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each of the undersigned officers of Universal Electronics Inc. (the “Company”), hereby certifies that the (i) Company’s Form 10-Q for the fiscal quarter ended September 30, 2016 (the “Report”) fully complies with the requirements of Section 13(a) or 15(d), as applicable, of the Securities Exchange Act of 1934 and (ii)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tabs>
          <w:tab w:leader="none" w:pos="820" w:val="left"/>
          <w:tab w:leader="none" w:pos="8040" w:val="left"/>
          <w:tab w:leader="none" w:pos="84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November 8,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31750</wp:posOffset>
            </wp:positionV>
            <wp:extent cx="17837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57"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Chief Executive Officer</w:t>
      </w:r>
    </w:p>
    <w:p>
      <w:pPr>
        <w:spacing w:after="0" w:line="387" w:lineRule="exact"/>
        <w:rPr>
          <w:sz w:val="20"/>
          <w:szCs w:val="20"/>
          <w:color w:val="auto"/>
        </w:rPr>
      </w:pPr>
    </w:p>
    <w:p>
      <w:pPr>
        <w:ind w:left="8060"/>
        <w:spacing w:after="0"/>
        <w:tabs>
          <w:tab w:leader="none" w:pos="8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31750</wp:posOffset>
            </wp:positionV>
            <wp:extent cx="17837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57"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Chief Financial Officer</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has been provided to Universal Electronics Inc. and will be retained by it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32"/>
    </w:lvl>
  </w:abstractNum>
  <w:abstractNum w:abstractNumId="14">
    <w:nsid w:val="3F2DBA31"/>
    <w:multiLevelType w:val="hybridMultilevel"/>
    <w:lvl w:ilvl="0">
      <w:lvlJc w:val="left"/>
      <w:lvlText w:val="%1."/>
      <w:numFmt w:val="upperLetter"/>
      <w:start w:val="1"/>
    </w:lvl>
  </w:abstractNum>
  <w:abstractNum w:abstractNumId="15">
    <w:nsid w:val="7C83E458"/>
    <w:multiLevelType w:val="hybridMultilevel"/>
    <w:lvl w:ilvl="0">
      <w:lvlJc w:val="left"/>
      <w:lvlText w:val="%1."/>
      <w:numFmt w:val="upperLetter"/>
      <w:start w:val="3"/>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2"/>
    </w:lvl>
  </w:abstractNum>
  <w:abstractNum w:abstractNumId="18">
    <w:nsid w:val="436C6125"/>
    <w:multiLevelType w:val="hybridMultilevel"/>
    <w:lvl w:ilvl="0">
      <w:lvlJc w:val="left"/>
      <w:lvlText w:val="%1."/>
      <w:numFmt w:val="decimal"/>
      <w:start w:val="3"/>
    </w:lvl>
  </w:abstractNum>
  <w:abstractNum w:abstractNumId="19">
    <w:nsid w:val="628C895D"/>
    <w:multiLevelType w:val="hybridMultilevel"/>
    <w:lvl w:ilvl="0">
      <w:lvlJc w:val="left"/>
      <w:lvlText w:val="%1."/>
      <w:numFmt w:val="decimal"/>
      <w:start w:val="4"/>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2019-12-29T09:17:26Z</dcterms:created>
  <dcterms:modified xsi:type="dcterms:W3CDTF">2019-12-29T09:17:26Z</dcterms:modified>
</cp:coreProperties>
</file>