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ANNUAL AND TRANSITION REPORTS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15(d) OF THE SECURITIES EXCHANGE ACT OF 1934</w:t>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20" w:hanging="452"/>
        <w:spacing w:after="0" w:line="302"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460"/>
        <w:spacing w:after="0"/>
        <w:tabs>
          <w:tab w:leader="none" w:pos="3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0-21044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UNIVERSAL ELECTRONICS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jc w:val="center"/>
              <w:ind w:left="1138"/>
              <w:spacing w:after="0"/>
              <w:rPr>
                <w:sz w:val="20"/>
                <w:szCs w:val="20"/>
                <w:color w:val="auto"/>
              </w:rPr>
            </w:pPr>
            <w:r>
              <w:rPr>
                <w:rFonts w:ascii="Arial" w:cs="Arial" w:eastAsia="Arial" w:hAnsi="Arial"/>
                <w:sz w:val="18"/>
                <w:szCs w:val="18"/>
                <w:b w:val="1"/>
                <w:bCs w:val="1"/>
                <w:color w:val="auto"/>
                <w:w w:val="88"/>
              </w:rPr>
              <w:t>Delaware</w:t>
            </w:r>
          </w:p>
        </w:tc>
        <w:tc>
          <w:tcPr>
            <w:tcW w:w="4580" w:type="dxa"/>
            <w:vAlign w:val="bottom"/>
            <w:gridSpan w:val="2"/>
          </w:tcPr>
          <w:p>
            <w:pPr>
              <w:jc w:val="center"/>
              <w:ind w:left="3652"/>
              <w:spacing w:after="0"/>
              <w:rPr>
                <w:sz w:val="20"/>
                <w:szCs w:val="20"/>
                <w:color w:val="auto"/>
              </w:rPr>
            </w:pPr>
            <w:r>
              <w:rPr>
                <w:rFonts w:ascii="Arial" w:cs="Arial" w:eastAsia="Arial" w:hAnsi="Arial"/>
                <w:sz w:val="18"/>
                <w:szCs w:val="18"/>
                <w:b w:val="1"/>
                <w:bCs w:val="1"/>
                <w:color w:val="auto"/>
                <w:w w:val="87"/>
              </w:rPr>
              <w:t>33-0204817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20" w:type="dxa"/>
            <w:vAlign w:val="bottom"/>
          </w:tcPr>
          <w:p>
            <w:pPr>
              <w:jc w:val="center"/>
              <w:ind w:left="113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80" w:type="dxa"/>
            <w:vAlign w:val="bottom"/>
          </w:tcPr>
          <w:p>
            <w:pPr>
              <w:spacing w:after="0"/>
              <w:rPr>
                <w:sz w:val="12"/>
                <w:szCs w:val="12"/>
                <w:color w:val="auto"/>
              </w:rPr>
            </w:pPr>
          </w:p>
        </w:tc>
        <w:tc>
          <w:tcPr>
            <w:tcW w:w="334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520" w:type="dxa"/>
            <w:vAlign w:val="bottom"/>
          </w:tcPr>
          <w:p>
            <w:pPr>
              <w:jc w:val="center"/>
              <w:ind w:left="1138"/>
              <w:spacing w:after="0"/>
              <w:rPr>
                <w:sz w:val="20"/>
                <w:szCs w:val="20"/>
                <w:color w:val="auto"/>
              </w:rPr>
            </w:pPr>
            <w:r>
              <w:rPr>
                <w:rFonts w:ascii="Arial" w:cs="Arial" w:eastAsia="Arial" w:hAnsi="Arial"/>
                <w:sz w:val="14"/>
                <w:szCs w:val="14"/>
                <w:b w:val="1"/>
                <w:bCs w:val="1"/>
                <w:color w:val="auto"/>
                <w:w w:val="89"/>
              </w:rPr>
              <w:t>Incorporation or Organization)</w:t>
            </w:r>
          </w:p>
        </w:tc>
        <w:tc>
          <w:tcPr>
            <w:tcW w:w="2380" w:type="dxa"/>
            <w:vAlign w:val="bottom"/>
          </w:tcPr>
          <w:p>
            <w:pPr>
              <w:spacing w:after="0"/>
              <w:rPr>
                <w:sz w:val="15"/>
                <w:szCs w:val="15"/>
                <w:color w:val="auto"/>
              </w:rPr>
            </w:pPr>
          </w:p>
        </w:tc>
        <w:tc>
          <w:tcPr>
            <w:tcW w:w="33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18"/>
        </w:trPr>
        <w:tc>
          <w:tcPr>
            <w:tcW w:w="4520" w:type="dxa"/>
            <w:vAlign w:val="bottom"/>
          </w:tcPr>
          <w:p>
            <w:pPr>
              <w:jc w:val="center"/>
              <w:ind w:left="1118"/>
              <w:spacing w:after="0"/>
              <w:rPr>
                <w:sz w:val="20"/>
                <w:szCs w:val="20"/>
                <w:color w:val="auto"/>
              </w:rPr>
            </w:pPr>
            <w:r>
              <w:rPr>
                <w:rFonts w:ascii="Arial" w:cs="Arial" w:eastAsia="Arial" w:hAnsi="Arial"/>
                <w:sz w:val="18"/>
                <w:szCs w:val="18"/>
                <w:b w:val="1"/>
                <w:bCs w:val="1"/>
                <w:color w:val="auto"/>
                <w:w w:val="89"/>
              </w:rPr>
              <w:t>6101 Gateway Drive</w:t>
            </w:r>
          </w:p>
        </w:tc>
        <w:tc>
          <w:tcPr>
            <w:tcW w:w="2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520" w:type="dxa"/>
            <w:vAlign w:val="bottom"/>
          </w:tcPr>
          <w:p>
            <w:pPr>
              <w:jc w:val="center"/>
              <w:ind w:left="1138"/>
              <w:spacing w:after="0"/>
              <w:rPr>
                <w:sz w:val="20"/>
                <w:szCs w:val="20"/>
                <w:color w:val="auto"/>
              </w:rPr>
            </w:pPr>
            <w:r>
              <w:rPr>
                <w:rFonts w:ascii="Arial" w:cs="Arial" w:eastAsia="Arial" w:hAnsi="Arial"/>
                <w:sz w:val="18"/>
                <w:szCs w:val="18"/>
                <w:b w:val="1"/>
                <w:bCs w:val="1"/>
                <w:color w:val="auto"/>
                <w:w w:val="88"/>
              </w:rPr>
              <w:t>Cypress, California</w:t>
            </w:r>
          </w:p>
        </w:tc>
        <w:tc>
          <w:tcPr>
            <w:tcW w:w="4580" w:type="dxa"/>
            <w:vAlign w:val="bottom"/>
            <w:gridSpan w:val="2"/>
          </w:tcPr>
          <w:p>
            <w:pPr>
              <w:jc w:val="center"/>
              <w:ind w:left="3652"/>
              <w:spacing w:after="0"/>
              <w:rPr>
                <w:sz w:val="20"/>
                <w:szCs w:val="20"/>
                <w:color w:val="auto"/>
              </w:rPr>
            </w:pPr>
            <w:r>
              <w:rPr>
                <w:rFonts w:ascii="Arial" w:cs="Arial" w:eastAsia="Arial" w:hAnsi="Arial"/>
                <w:sz w:val="18"/>
                <w:szCs w:val="18"/>
                <w:b w:val="1"/>
                <w:bCs w:val="1"/>
                <w:color w:val="auto"/>
                <w:w w:val="87"/>
              </w:rPr>
              <w:t>90630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520" w:type="dxa"/>
            <w:vAlign w:val="bottom"/>
          </w:tcPr>
          <w:p>
            <w:pPr>
              <w:jc w:val="center"/>
              <w:ind w:left="11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380" w:type="dxa"/>
            <w:vAlign w:val="bottom"/>
          </w:tcPr>
          <w:p>
            <w:pPr>
              <w:spacing w:after="0"/>
              <w:rPr>
                <w:sz w:val="15"/>
                <w:szCs w:val="15"/>
                <w:color w:val="auto"/>
              </w:rPr>
            </w:pPr>
          </w:p>
        </w:tc>
        <w:tc>
          <w:tcPr>
            <w:tcW w:w="2200" w:type="dxa"/>
            <w:vAlign w:val="bottom"/>
          </w:tcPr>
          <w:p>
            <w:pPr>
              <w:jc w:val="center"/>
              <w:ind w:left="1308"/>
              <w:spacing w:after="0"/>
              <w:rPr>
                <w:sz w:val="20"/>
                <w:szCs w:val="20"/>
                <w:color w:val="auto"/>
              </w:rPr>
            </w:pPr>
            <w:r>
              <w:rPr>
                <w:rFonts w:ascii="Arial" w:cs="Arial" w:eastAsia="Arial" w:hAnsi="Arial"/>
                <w:sz w:val="14"/>
                <w:szCs w:val="14"/>
                <w:b w:val="1"/>
                <w:bCs w:val="1"/>
                <w:color w:val="auto"/>
                <w:w w:val="89"/>
              </w:rPr>
              <w:t>(Zip Code)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9100" w:type="dxa"/>
            <w:vAlign w:val="bottom"/>
            <w:gridSpan w:val="3"/>
          </w:tcPr>
          <w:p>
            <w:pPr>
              <w:jc w:val="center"/>
              <w:ind w:left="2258"/>
              <w:spacing w:after="0"/>
              <w:rPr>
                <w:sz w:val="20"/>
                <w:szCs w:val="20"/>
                <w:color w:val="auto"/>
              </w:rPr>
            </w:pPr>
            <w:r>
              <w:rPr>
                <w:rFonts w:ascii="Arial" w:cs="Arial" w:eastAsia="Arial" w:hAnsi="Arial"/>
                <w:sz w:val="18"/>
                <w:szCs w:val="18"/>
                <w:b w:val="1"/>
                <w:bCs w:val="1"/>
                <w:color w:val="auto"/>
                <w:w w:val="87"/>
              </w:rPr>
              <w:t>Registrant’s telephone number, including area code: (714) 820-1000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100" w:type="dxa"/>
            <w:vAlign w:val="bottom"/>
            <w:gridSpan w:val="3"/>
          </w:tcPr>
          <w:p>
            <w:pPr>
              <w:jc w:val="center"/>
              <w:ind w:left="223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4520" w:type="dxa"/>
            <w:vAlign w:val="bottom"/>
          </w:tcPr>
          <w:p>
            <w:pPr>
              <w:jc w:val="center"/>
              <w:ind w:left="1118"/>
              <w:spacing w:after="0"/>
              <w:rPr>
                <w:sz w:val="20"/>
                <w:szCs w:val="20"/>
                <w:color w:val="auto"/>
              </w:rPr>
            </w:pPr>
            <w:r>
              <w:rPr>
                <w:rFonts w:ascii="Arial" w:cs="Arial" w:eastAsia="Arial" w:hAnsi="Arial"/>
                <w:sz w:val="18"/>
                <w:szCs w:val="18"/>
                <w:b w:val="1"/>
                <w:bCs w:val="1"/>
                <w:color w:val="auto"/>
                <w:w w:val="87"/>
              </w:rPr>
              <w:t>Common Stock, par value $.01 per share</w:t>
            </w:r>
          </w:p>
        </w:tc>
        <w:tc>
          <w:tcPr>
            <w:tcW w:w="2380" w:type="dxa"/>
            <w:vAlign w:val="bottom"/>
          </w:tcPr>
          <w:p>
            <w:pPr>
              <w:spacing w:after="0"/>
              <w:rPr>
                <w:sz w:val="24"/>
                <w:szCs w:val="24"/>
                <w:color w:val="auto"/>
              </w:rPr>
            </w:pPr>
          </w:p>
        </w:tc>
        <w:tc>
          <w:tcPr>
            <w:tcW w:w="3340" w:type="dxa"/>
            <w:vAlign w:val="bottom"/>
            <w:gridSpan w:val="2"/>
          </w:tcPr>
          <w:p>
            <w:pPr>
              <w:jc w:val="center"/>
              <w:ind w:left="148"/>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r>
        <w:trPr>
          <w:trHeight w:val="174"/>
        </w:trPr>
        <w:tc>
          <w:tcPr>
            <w:tcW w:w="4520" w:type="dxa"/>
            <w:vAlign w:val="bottom"/>
          </w:tcPr>
          <w:p>
            <w:pPr>
              <w:jc w:val="center"/>
              <w:ind w:left="1118"/>
              <w:spacing w:after="0"/>
              <w:rPr>
                <w:sz w:val="20"/>
                <w:szCs w:val="20"/>
                <w:color w:val="auto"/>
              </w:rPr>
            </w:pPr>
            <w:r>
              <w:rPr>
                <w:rFonts w:ascii="Arial" w:cs="Arial" w:eastAsia="Arial" w:hAnsi="Arial"/>
                <w:sz w:val="14"/>
                <w:szCs w:val="14"/>
                <w:b w:val="1"/>
                <w:bCs w:val="1"/>
                <w:color w:val="auto"/>
                <w:w w:val="87"/>
              </w:rPr>
              <w:t>(Title of Class)</w:t>
            </w:r>
          </w:p>
        </w:tc>
        <w:tc>
          <w:tcPr>
            <w:tcW w:w="2380" w:type="dxa"/>
            <w:vAlign w:val="bottom"/>
          </w:tcPr>
          <w:p>
            <w:pPr>
              <w:spacing w:after="0"/>
              <w:rPr>
                <w:sz w:val="15"/>
                <w:szCs w:val="15"/>
                <w:color w:val="auto"/>
              </w:rPr>
            </w:pPr>
          </w:p>
        </w:tc>
        <w:tc>
          <w:tcPr>
            <w:tcW w:w="334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70"/>
        </w:trPr>
        <w:tc>
          <w:tcPr>
            <w:tcW w:w="9100" w:type="dxa"/>
            <w:vAlign w:val="bottom"/>
            <w:gridSpan w:val="3"/>
          </w:tcPr>
          <w:p>
            <w:pPr>
              <w:jc w:val="center"/>
              <w:ind w:left="225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520" w:type="dxa"/>
            <w:vAlign w:val="bottom"/>
          </w:tcPr>
          <w:p>
            <w:pPr>
              <w:spacing w:after="0"/>
              <w:rPr>
                <w:sz w:val="19"/>
                <w:szCs w:val="19"/>
                <w:color w:val="auto"/>
              </w:rPr>
            </w:pPr>
          </w:p>
        </w:tc>
        <w:tc>
          <w:tcPr>
            <w:tcW w:w="4580" w:type="dxa"/>
            <w:vAlign w:val="bottom"/>
            <w:gridSpan w:val="2"/>
          </w:tcPr>
          <w:p>
            <w:pPr>
              <w:jc w:val="center"/>
              <w:ind w:right="2128"/>
              <w:spacing w:after="0"/>
              <w:rPr>
                <w:sz w:val="20"/>
                <w:szCs w:val="20"/>
                <w:color w:val="auto"/>
              </w:rPr>
            </w:pPr>
            <w:r>
              <w:rPr>
                <w:rFonts w:ascii="Arial" w:cs="Arial" w:eastAsia="Arial" w:hAnsi="Arial"/>
                <w:sz w:val="18"/>
                <w:szCs w:val="18"/>
                <w:b w:val="1"/>
                <w:bCs w:val="1"/>
                <w:color w:val="auto"/>
                <w:w w:val="84"/>
              </w:rPr>
              <w:t>None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200" w:type="dxa"/>
            <w:vAlign w:val="bottom"/>
          </w:tcPr>
          <w:p>
            <w:pPr>
              <w:spacing w:after="0"/>
              <w:rPr>
                <w:sz w:val="14"/>
                <w:szCs w:val="14"/>
                <w:color w:val="auto"/>
              </w:rPr>
            </w:pPr>
          </w:p>
        </w:tc>
        <w:tc>
          <w:tcPr>
            <w:tcW w:w="11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9100" w:type="dxa"/>
            <w:vAlign w:val="bottom"/>
            <w:gridSpan w:val="3"/>
          </w:tcPr>
          <w:p>
            <w:pPr>
              <w:spacing w:after="0"/>
              <w:rPr>
                <w:sz w:val="20"/>
                <w:szCs w:val="20"/>
                <w:color w:val="auto"/>
              </w:rPr>
            </w:pPr>
            <w:r>
              <w:rPr>
                <w:rFonts w:ascii="Arial" w:cs="Arial" w:eastAsia="Arial" w:hAnsi="Arial"/>
                <w:sz w:val="18"/>
                <w:szCs w:val="18"/>
                <w:color w:val="auto"/>
                <w:w w:val="90"/>
              </w:rPr>
              <w:t>Indicate by check mark if whether the registrant is a well-known seasoned issuer (as defined in Rule 405 of the Securities Act).</w:t>
            </w: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100" w:type="dxa"/>
            <w:vAlign w:val="bottom"/>
            <w:gridSpan w:val="3"/>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0"/>
              </w:rPr>
              <w:t>☐</w:t>
            </w:r>
          </w:p>
        </w:tc>
        <w:tc>
          <w:tcPr>
            <w:tcW w:w="11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2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92"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9"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9"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9"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230" w:right="239" w:bottom="19" w:gutter="0" w:footer="0" w:header="0"/>
          <w:type w:val="continuous"/>
        </w:sectPr>
      </w:pPr>
    </w:p>
    <w:p>
      <w:pPr>
        <w:ind w:right="60"/>
        <w:spacing w:after="0" w:line="259"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2011, the last business day of the registrant’s most recently completed second fiscal quarter was $370,228,747 based upon the closing sale price as reported on the NASDAQ Global Select Market for that date.</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On March 9, 2012, 14,893,928 shares of Common Stock, par value $.01 per share,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230" w:right="239" w:bottom="19" w:gutter="0" w:footer="0" w:header="0"/>
          <w:type w:val="continuous"/>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2011 are incorporated by reference into Part III of this Form 10-K. The Proxy Statement will be filed with the Securities and Exchange Commission no later than April 30, 2012.</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Except as otherwise stated, the information contained in this Form 10-K is as of December 31, 2011.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Index appears on page 84. This document contains 93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20" w:type="dxa"/>
            <w:vAlign w:val="bottom"/>
            <w:gridSpan w:val="7"/>
          </w:tcPr>
          <w:p>
            <w:pPr>
              <w:jc w:val="center"/>
              <w:ind w:right="3620"/>
              <w:spacing w:after="0"/>
              <w:rPr>
                <w:sz w:val="20"/>
                <w:szCs w:val="20"/>
                <w:color w:val="auto"/>
              </w:rPr>
            </w:pPr>
            <w:r>
              <w:rPr>
                <w:rFonts w:ascii="Arial" w:cs="Arial" w:eastAsia="Arial" w:hAnsi="Arial"/>
                <w:sz w:val="18"/>
                <w:szCs w:val="18"/>
                <w:b w:val="1"/>
                <w:bCs w:val="1"/>
                <w:color w:val="auto"/>
                <w:w w:val="98"/>
              </w:rPr>
              <w:t>UNIVERSAL ELECTRONICS INC.</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2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w w:val="91"/>
              </w:rPr>
              <w:t>Annual Report on Form 10-K</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60" w:type="dxa"/>
            <w:vAlign w:val="bottom"/>
            <w:gridSpan w:val="8"/>
          </w:tcPr>
          <w:p>
            <w:pPr>
              <w:jc w:val="center"/>
              <w:ind w:right="2800"/>
              <w:spacing w:after="0"/>
              <w:rPr>
                <w:sz w:val="20"/>
                <w:szCs w:val="20"/>
                <w:color w:val="auto"/>
              </w:rPr>
            </w:pPr>
            <w:r>
              <w:rPr>
                <w:rFonts w:ascii="Arial" w:cs="Arial" w:eastAsia="Arial" w:hAnsi="Arial"/>
                <w:sz w:val="18"/>
                <w:szCs w:val="18"/>
                <w:b w:val="1"/>
                <w:bCs w:val="1"/>
                <w:color w:val="auto"/>
                <w:w w:val="88"/>
              </w:rPr>
              <w:t>For the Fiscal Year Ended December 31, 2011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w w:val="86"/>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40" w:type="dxa"/>
            <w:vAlign w:val="bottom"/>
            <w:gridSpan w:val="25"/>
          </w:tcPr>
          <w:p>
            <w:pPr>
              <w:spacing w:after="0"/>
              <w:rPr>
                <w:sz w:val="20"/>
                <w:szCs w:val="20"/>
                <w:color w:val="auto"/>
              </w:rPr>
            </w:pPr>
            <w:r>
              <w:rPr>
                <w:rFonts w:ascii="Arial" w:cs="Arial" w:eastAsia="Arial" w:hAnsi="Arial"/>
                <w:sz w:val="14"/>
                <w:szCs w:val="14"/>
                <w:b w:val="1"/>
                <w:bCs w:val="1"/>
                <w:color w:val="auto"/>
              </w:rPr>
              <w:t>Item</w:t>
            </w: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10840" w:type="dxa"/>
            <w:vAlign w:val="bottom"/>
            <w:gridSpan w:val="25"/>
          </w:tcPr>
          <w:p>
            <w:pPr>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320" w:type="dxa"/>
            <w:vAlign w:val="bottom"/>
            <w:gridSpan w:val="6"/>
            <w:vMerge w:val="restart"/>
          </w:tcPr>
          <w:p>
            <w:pPr>
              <w:jc w:val="center"/>
              <w:ind w:right="402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632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20" w:type="dxa"/>
            <w:vAlign w:val="bottom"/>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10720" w:type="dxa"/>
            <w:vAlign w:val="bottom"/>
            <w:gridSpan w:val="24"/>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40" w:type="dxa"/>
            <w:vAlign w:val="bottom"/>
            <w:gridSpan w:val="2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1A 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1B Unresolved Staff Comments</w:t>
              </w:r>
            </w:hyperlink>
          </w:p>
        </w:tc>
        <w:tc>
          <w:tcPr>
            <w:tcW w:w="858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2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2</w:t>
              </w:r>
            </w:hyperlink>
          </w:p>
        </w:tc>
        <w:tc>
          <w:tcPr>
            <w:tcW w:w="7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Properties</w:t>
              </w:r>
            </w:hyperlink>
          </w:p>
        </w:tc>
        <w:tc>
          <w:tcPr>
            <w:tcW w:w="9980" w:type="dxa"/>
            <w:vAlign w:val="bottom"/>
            <w:gridSpan w:val="2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20" w:type="dxa"/>
            <w:vAlign w:val="bottom"/>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3</w:t>
              </w:r>
            </w:hyperlink>
          </w:p>
        </w:tc>
        <w:tc>
          <w:tcPr>
            <w:tcW w:w="10720" w:type="dxa"/>
            <w:vAlign w:val="bottom"/>
            <w:gridSpan w:val="24"/>
          </w:tcPr>
          <w:p>
            <w:pPr>
              <w:ind w:left="2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43"/>
        </w:trPr>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gridSpan w:val="6"/>
          </w:tcPr>
          <w:p>
            <w:pPr>
              <w:jc w:val="center"/>
              <w:ind w:right="4040"/>
              <w:spacing w:after="0"/>
              <w:rPr>
                <w:sz w:val="20"/>
                <w:szCs w:val="20"/>
                <w:color w:val="auto"/>
              </w:rPr>
            </w:pPr>
            <w:r>
              <w:rPr>
                <w:rFonts w:ascii="Arial" w:cs="Arial" w:eastAsia="Arial" w:hAnsi="Arial"/>
                <w:sz w:val="18"/>
                <w:szCs w:val="18"/>
                <w:b w:val="1"/>
                <w:bCs w:val="1"/>
                <w:color w:val="auto"/>
                <w:w w:val="99"/>
              </w:rPr>
              <w:t>PART II</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0" w:type="dxa"/>
            <w:vAlign w:val="bottom"/>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4</w:t>
              </w:r>
            </w:hyperlink>
          </w:p>
        </w:tc>
        <w:tc>
          <w:tcPr>
            <w:tcW w:w="10720" w:type="dxa"/>
            <w:vAlign w:val="bottom"/>
            <w:gridSpan w:val="24"/>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5</w:t>
              </w:r>
            </w:hyperlink>
          </w:p>
        </w:tc>
        <w:tc>
          <w:tcPr>
            <w:tcW w:w="790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Market for Registrant’s Common Equity, Related Stockholder Matters and Issuer Purchases of Equity Securities</w:t>
              </w:r>
            </w:hyperlink>
          </w:p>
        </w:tc>
        <w:tc>
          <w:tcPr>
            <w:tcW w:w="28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6</w:t>
              </w:r>
            </w:hyperlink>
          </w:p>
        </w:tc>
        <w:tc>
          <w:tcPr>
            <w:tcW w:w="266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Selected Consolidated Financial Data</w:t>
              </w:r>
            </w:hyperlink>
          </w:p>
        </w:tc>
        <w:tc>
          <w:tcPr>
            <w:tcW w:w="80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line="19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7</w:t>
              </w:r>
            </w:hyperlink>
          </w:p>
        </w:tc>
        <w:tc>
          <w:tcPr>
            <w:tcW w:w="10720" w:type="dxa"/>
            <w:vAlign w:val="bottom"/>
            <w:gridSpan w:val="24"/>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5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7A Quantitative and Qualitative Disclosures About Market Risk</w:t>
              </w:r>
            </w:hyperlink>
          </w:p>
        </w:tc>
        <w:tc>
          <w:tcPr>
            <w:tcW w:w="1920" w:type="dxa"/>
            <w:vAlign w:val="bottom"/>
            <w:tcBorders>
              <w:top w:val="single" w:sz="8" w:color="0000EE"/>
            </w:tcBorders>
            <w:gridSpan w:val="2"/>
          </w:tcPr>
          <w:p>
            <w:pPr>
              <w:spacing w:after="0"/>
              <w:rPr>
                <w:sz w:val="17"/>
                <w:szCs w:val="17"/>
                <w:color w:val="auto"/>
              </w:rPr>
            </w:pPr>
          </w:p>
        </w:tc>
        <w:tc>
          <w:tcPr>
            <w:tcW w:w="440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20" w:type="dxa"/>
            <w:vAlign w:val="bottom"/>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8</w:t>
              </w:r>
            </w:hyperlink>
          </w:p>
        </w:tc>
        <w:tc>
          <w:tcPr>
            <w:tcW w:w="10720" w:type="dxa"/>
            <w:vAlign w:val="bottom"/>
            <w:gridSpan w:val="24"/>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Borders>
              <w:bottom w:val="single" w:sz="8" w:color="0000EE"/>
            </w:tcBorders>
          </w:tcPr>
          <w:p>
            <w:pPr>
              <w:spacing w:after="0" w:line="196"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9</w:t>
              </w:r>
            </w:hyperlink>
          </w:p>
        </w:tc>
        <w:tc>
          <w:tcPr>
            <w:tcW w:w="6340" w:type="dxa"/>
            <w:vAlign w:val="bottom"/>
            <w:tcBorders>
              <w:bottom w:val="single" w:sz="8" w:color="0000EE"/>
            </w:tcBorders>
            <w:gridSpan w:val="21"/>
          </w:tcPr>
          <w:p>
            <w:pPr>
              <w:ind w:left="20"/>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Changes in and Disagreements with Accountants on Accounting and Financial Disclosure</w:t>
              </w:r>
            </w:hyperlink>
          </w:p>
        </w:tc>
        <w:tc>
          <w:tcPr>
            <w:tcW w:w="438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9A Controls and Procedures</w:t>
              </w:r>
            </w:hyperlink>
          </w:p>
        </w:tc>
        <w:tc>
          <w:tcPr>
            <w:tcW w:w="884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0840" w:type="dxa"/>
            <w:vAlign w:val="bottom"/>
            <w:gridSpan w:val="2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9B 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43"/>
        </w:trPr>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gridSpan w:val="6"/>
          </w:tcPr>
          <w:p>
            <w:pPr>
              <w:jc w:val="center"/>
              <w:ind w:right="402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840" w:type="dxa"/>
            <w:vAlign w:val="bottom"/>
            <w:gridSpan w:val="2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10 Directors, Executive Officers and Corporate Governance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11 Executive Compensation</w:t>
              </w:r>
            </w:hyperlink>
          </w:p>
        </w:tc>
        <w:tc>
          <w:tcPr>
            <w:tcW w:w="662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40" w:type="dxa"/>
            <w:vAlign w:val="bottom"/>
            <w:gridSpan w:val="2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12 Security Ownership of Certain Beneficial Owners and Management and Related Stockholder Matters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73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13 Certain Relationships and Related Transactions, and Director Independence</w:t>
              </w:r>
            </w:hyperlink>
          </w:p>
        </w:tc>
        <w:tc>
          <w:tcPr>
            <w:tcW w:w="350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5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14 Principal Accountant Fees and Services</w:t>
              </w:r>
            </w:hyperlink>
          </w:p>
        </w:tc>
        <w:tc>
          <w:tcPr>
            <w:tcW w:w="530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43"/>
        </w:trPr>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20" w:type="dxa"/>
            <w:vAlign w:val="bottom"/>
            <w:gridSpan w:val="6"/>
          </w:tcPr>
          <w:p>
            <w:pPr>
              <w:jc w:val="center"/>
              <w:ind w:right="4020"/>
              <w:spacing w:after="0"/>
              <w:rPr>
                <w:sz w:val="20"/>
                <w:szCs w:val="20"/>
                <w:color w:val="auto"/>
              </w:rPr>
            </w:pPr>
            <w:r>
              <w:rPr>
                <w:rFonts w:ascii="Arial" w:cs="Arial" w:eastAsia="Arial" w:hAnsi="Arial"/>
                <w:sz w:val="18"/>
                <w:szCs w:val="18"/>
                <w:b w:val="1"/>
                <w:bCs w:val="1"/>
                <w:color w:val="auto"/>
                <w:w w:val="98"/>
              </w:rPr>
              <w:t>PART IV</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840" w:type="dxa"/>
            <w:vAlign w:val="bottom"/>
            <w:gridSpan w:val="2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15 Exhibits and Financial Statement Schedules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754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4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340" w:type="dxa"/>
            <w:vAlign w:val="bottom"/>
            <w:gridSpan w:val="2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Exhibit Index</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Annual Report on Form 10-K, including “ITEM 7. MANAGEMENT’S DISCUSSION AND ANALYSIS OF FINANCIAL CONDITION AND RESULTS OF OPERATIONS”, contains statements that may constitute forward-looking statements within the meaning of the Private Securities Litigation Reform Act of 1995. All statements other than statements of historical fact are statements that may be deemed forward-looking statements. Forward-looking statements include but are not limited to any projections of revenue, margins, expenses, tax provisions, earnings, cash flows, benefit obligations, share repurchases other financial items; plans, strategies and objectives of management for future operations; expected developments relating to products or services; labor issues, particularly in Asia; future economic conditions or performance; pending claims or disputes; expectation or belief; and assumptions underlying any of the foregoing.</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forward-looking statements are based upon management’s assumptions. While we believe the forward-looking statements made in this report are based upon reasonable assumptions, any assumption is subject to a number of risks and uncertainties. If these risks and uncertainties ever materialize and management’s assumptions prove incorrect, our results may differ materially from those expressed or implied by these forward-looking statements and assumptions. Further, any forward-looking statement speaks only as of the date the statement is made. We are not obligated to update forward-looking statements to reflect unanticipated events or circumstances occurring after the date the statement was made. New factors emerge from time to time. It is not possible for management to predict or assess the impact of all factors on the business, or the extent they may cause actual results to differ materially from those contained in any forward-looking statements. Therefore, forward-looking statements should not be relied upon as a prediction of actual future results.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Management assumptions that are subject to risks and uncertainties include those that are made about macroeconomic and geopolitical trends and events; foreign currency exchange rates; the execution and performance of contracts by customers, suppliers and partners; the challenges of managing asset levels, including inventory; the difficulty of aligning expense levels with revenue changes; the outcome of pending legislation and accounting pronouncements; and other risks described in this report, including those discussed in “ITEM 1A. RISK FACTORS”, “ITEM 7. MANAGEMENT’S DISCUSSION AND ANALYSIS OF FINANCIAL CONDITION AND RESULTS OF OPERATIONS” and described in our Securities and Exchange Commission filings subsequent to this report.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Universal Electronics Inc. was incorporated under the laws of Delaware in 1986 and began operations in 1987. The principal executive offices are located at 6101 Gateway Drive, Cypress, California 90630. As used herein, the terms “we”, “us” and “our” refer to Universal Electronics Inc. and its subsidiaries unless the context indicates to the contrary.</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Universal Electronics Inc. develops and manufactures a broad line of pre-programmed universal wireless remote control products, audio-video accessories, and software that are marketed to enhance home entertainment systems. Our offerings include the following:</w:t>
      </w:r>
    </w:p>
    <w:p>
      <w:pPr>
        <w:spacing w:after="0" w:line="51" w:lineRule="exact"/>
        <w:rPr>
          <w:sz w:val="20"/>
          <w:szCs w:val="20"/>
          <w:color w:val="auto"/>
        </w:rPr>
      </w:pPr>
    </w:p>
    <w:p>
      <w:pPr>
        <w:ind w:left="900" w:right="86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easy-to-use, pre-programmed universal infrared (“IR”) and radio frequency (“RF”) remote controls that are sold primarily to subscription broadcasting providers (cable, satellite and IPTV), original equipment manufacturers (“OEMs”), retailers, and private label customers;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audio-video (“AV”) accessories sold to consumers;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IR remote control database is embedded, sold primarily to OEMs, subscription broadcasting providers, and private label customers;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broadcasting providers; and</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stereos, automotive audio systems, cell phones and other consumer electronic devices to wirelessly connect and interact with home networks and interactive services to deliver digital entertainment and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principal markets include the subscription broadcasting, OEM, retail, and private label companies that operate in the consumer electronics market.</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provide subscription broadcasting providers, both domestically and internationally, with our universal remote control devices and integrated circuits, on which our software and IR code database library is embedded. We also sell our universal remote control devices and integrated circuits, on which our software and IR code database library is embedded, to OEMs that manufacture AV devices including digital set-top boxes.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years ended December 31, 2011, 2010, and 2009, our sales to DIRECTV and its sub-contractors collectively accounted for 12.2%, 13.7%, and 21.1% of our net sales, respectively. For the year ended December 31, 2011, our sales to Sony and its sub-contractors collectively accounted for 10.3% of our net sales. Our sales to Sony and its sub-contractors collectively did not exceed 10% of our net sales for the years ended December 31, 2010 and 2009. Our sales to Comcast Communications, Inc. and its sub-contractors collectively accounted for 12.9%, and 11.1% of our net sales for the years ended December 31, 2010 and 2009, respectively. Our sales to Comcast Communications, Inc. and its sub-contractors collectively did not exceed 10% of our net sales for the year ended December 31, 2011. No other single customer accounted for 10% or more of our net sales in 2011, 2010, or 2009.</w:t>
      </w:r>
    </w:p>
    <w:p>
      <w:pPr>
        <w:spacing w:after="0" w:line="12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continue to pursue further penetration of the more traditional OEM consumer electronics markets. Customers in these markets package our wireless control devices for resale with their AV home entertainment products. Growth in this market has been driven by the proliferation and increasing complexity of home entertainment equipment, emerging digital technology, multimedia and interactive internet applications, and the increasing number of OEMs.</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continue to place significant emphasis on expanding our sales and marketing efforts to subscription broadcasters and OEMs in Asia, Latin America and Europe. On November 4, 2010, we acquired Enson Assets Limited (“Enson”) for total consideration of approximately $125.8 million. Our acquisition of Enson enhances our ability to compete in the OEM and subscription broadcasting markets, particularly in Asia. In addition, during 2010 we opened a new subsidiary in Brazil, which has allowed us to increase our reach and better compete in the Latin American subscription broadcast market. We will continue to add new sales and administrative people to support anticipated sales growth in these markets over the next few years.</w:t>
      </w:r>
    </w:p>
    <w:p>
      <w:pPr>
        <w:spacing w:after="0" w:line="1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One For All</w:t>
      </w:r>
      <w:r>
        <w:rPr>
          <w:rFonts w:ascii="Arial" w:cs="Arial" w:eastAsia="Arial" w:hAnsi="Arial"/>
          <w:sz w:val="10"/>
          <w:szCs w:val="10"/>
          <w:color w:val="auto"/>
        </w:rPr>
        <w:t>®</w:t>
      </w:r>
      <w:r>
        <w:rPr>
          <w:rFonts w:ascii="Arial" w:cs="Arial" w:eastAsia="Arial" w:hAnsi="Arial"/>
          <w:sz w:val="16"/>
          <w:szCs w:val="16"/>
          <w:color w:val="auto"/>
        </w:rPr>
        <w:t xml:space="preserve"> brand name remote control and accessories sold within the international retail markets accounted for 9.3%, 12.4%, and 12.6% of our total net sales for the years ended December 31, 2011, 2010, and 2009, respectively. Throughout 2011, we continued our international retail sales and marketing efforts. Financial information relating to our international operations for the years ended December 31, 2011, 2010, and 2009 is included in “ITEM 8. FINANCIAL STATEMENTS AND SUPPLEMENTARY DATA-Notes to Consolidated Financial Statements-Note 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90"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hold a number of patents in the United States and abroad related to our products and technology, and have filed domestic and foreign applications for other patents that are pending. We had a total of 223 and 206 issued and pending United States patents at the end of 2011 and 2010, respectively. The increase in the number of issued and pending patents in the United States resulted from 22 new patent filings, offset by our abandonment of 5 patents.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patents have remaining lives ranging from approximately one to eighteen years. We have also obtained copyright registration and claim copyright protection for certain proprietary software and libraries of IR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2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Since our beginning in 1986, we have compiled an extensive IR code database library that covers over 606,500 individual device functions and approximately 4,500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database is capable of controlling virtually all IR controlled set-top boxes, televisions, audio components, DVD players, and CD players, as well as most other infrared remote controlled home entertainment devices and home automation control modules worldwide.</w:t>
      </w:r>
    </w:p>
    <w:p>
      <w:pPr>
        <w:spacing w:after="0" w:line="1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Our proprietary software and know-how permit us to compress IR codes before we load them into our products. This provides significant cost and space efficiencies that enable us to include more codes and features in the memory space of our wireless control devices than are included in the similarly priced products of our competitors.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With today’s rapidly changing technology, upgradeability ensures the compatibility of our remote controls with future home entertainment devices. We have developed patented technology that provides users the capability to easily upgrade the memory of our remote controls with IR codes that were not originally included using their entertainment device, personal computer or telephone. These options utilize one or two-way communication to upgrade the remote controls’ IR codes or firmware depending on the requirements.</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Each of our wireless control devices is designed to simplify the use of home entertainment and other equipment. To appeal to the mass market, the number of buttons is minimized to include only the most popular functions. Another ease of use feature we offer in several of our products is our user programmable macro key. This feature allows the user to program a sequence of commands onto a single key, to be played back each time that key is subsequently pressed.</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remote controls are also designed for easy set-up. For most of our products, the consumer simply inputs a four-digit code for each device to be controlled. During 2010 and 2011, we continued to enhance our web-based EZ-RC</w:t>
      </w:r>
      <w:r>
        <w:rPr>
          <w:rFonts w:ascii="Arial" w:cs="Arial" w:eastAsia="Arial" w:hAnsi="Arial"/>
          <w:sz w:val="10"/>
          <w:szCs w:val="10"/>
          <w:color w:val="auto"/>
        </w:rPr>
        <w:t>TM</w:t>
      </w:r>
      <w:r>
        <w:rPr>
          <w:rFonts w:ascii="Arial" w:cs="Arial" w:eastAsia="Arial" w:hAnsi="Arial"/>
          <w:sz w:val="16"/>
          <w:szCs w:val="16"/>
          <w:color w:val="auto"/>
        </w:rPr>
        <w:t xml:space="preserve"> Remote Control Setup Wizard application (which we first developed during 2007) (“EZ-RC</w:t>
      </w:r>
      <w:r>
        <w:rPr>
          <w:rFonts w:ascii="Arial" w:cs="Arial" w:eastAsia="Arial" w:hAnsi="Arial"/>
          <w:sz w:val="10"/>
          <w:szCs w:val="10"/>
          <w:color w:val="auto"/>
        </w:rPr>
        <w:t>TM</w:t>
      </w:r>
      <w:r>
        <w:rPr>
          <w:rFonts w:ascii="Arial" w:cs="Arial" w:eastAsia="Arial" w:hAnsi="Arial"/>
          <w:sz w:val="16"/>
          <w:szCs w:val="16"/>
          <w:color w:val="auto"/>
        </w:rPr>
        <w:t>”) and released additional products capable of connecting to it. EZ-RC</w:t>
      </w:r>
      <w:r>
        <w:rPr>
          <w:rFonts w:ascii="Arial" w:cs="Arial" w:eastAsia="Arial" w:hAnsi="Arial"/>
          <w:sz w:val="10"/>
          <w:szCs w:val="10"/>
          <w:color w:val="auto"/>
        </w:rPr>
        <w:t>TM</w:t>
      </w:r>
      <w:r>
        <w:rPr>
          <w:rFonts w:ascii="Arial" w:cs="Arial" w:eastAsia="Arial" w:hAnsi="Arial"/>
          <w:sz w:val="16"/>
          <w:szCs w:val="16"/>
          <w:color w:val="auto"/>
        </w:rPr>
        <w:t xml:space="preserve"> built on our strategy of developing new products and technologies to further simplify remote control set-up. Once our wireless device is connected to a personal computer, our customers may utilize EZ-RC</w:t>
      </w:r>
      <w:r>
        <w:rPr>
          <w:rFonts w:ascii="Arial" w:cs="Arial" w:eastAsia="Arial" w:hAnsi="Arial"/>
          <w:sz w:val="10"/>
          <w:szCs w:val="10"/>
          <w:color w:val="auto"/>
        </w:rPr>
        <w:t>TM</w:t>
      </w:r>
      <w:r>
        <w:rPr>
          <w:rFonts w:ascii="Arial" w:cs="Arial" w:eastAsia="Arial" w:hAnsi="Arial"/>
          <w:sz w:val="16"/>
          <w:szCs w:val="16"/>
          <w:color w:val="auto"/>
        </w:rPr>
        <w:t xml:space="preserve"> graphical interface to fully program the remote control. Each remote control user may create their own personal profile on the device with their favorite channels, custom functions, and more. In addition, we launched products utilizing the EZ-RC</w:t>
      </w:r>
      <w:r>
        <w:rPr>
          <w:rFonts w:ascii="Arial" w:cs="Arial" w:eastAsia="Arial" w:hAnsi="Arial"/>
          <w:sz w:val="10"/>
          <w:szCs w:val="10"/>
          <w:color w:val="auto"/>
        </w:rPr>
        <w:t>TM</w:t>
      </w:r>
      <w:r>
        <w:rPr>
          <w:rFonts w:ascii="Arial" w:cs="Arial" w:eastAsia="Arial" w:hAnsi="Arial"/>
          <w:sz w:val="16"/>
          <w:szCs w:val="16"/>
          <w:color w:val="auto"/>
        </w:rPr>
        <w:t xml:space="preserve"> application into the international retail market during the fourth quarter of 2008 and the North American retail market during the third quarter of 2009.</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UEI QuickSet is a firmware application that may be embedded on an AV device, such as a set-top box. UEI QuickSet enables universal remote control set-up using guided on-screen instructions and a wireless two-way communication link between the remote and the UEI QuickSet embedded AV equipment. UEI’s XMP technology, an extensible multimedia protocol, enables the two-way wireless communication between the universal remote control and the AV device, allowing IR code data and configuration settings to be sent to the remote control from the AV equipment. The user identifies the type and brand of the device to be controlled and then the UEI QuickSet application performs a test to confirm that the remote is controlling the equipment correctly. UEI QuickSet also saves the user-defined remote setting, enabling consumers to quickly transfer the setup configuration to a replacement remote. When the AV device has network connectivity, the IR code database and application may be continually updated to include the latest devices and functions.</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2010, we released an upgrade to our UEI QuickSet application. The latest version of UEI QuickSet utilizes data transmitted over HDMI to automatically detect a connected device and then determine and download the correct code into the remote control without the need for the user to enter in any additional information. The user does not need to know the model number or brand to setup the device in the remote. Any new device that is connected is recognized. Consumers can easily and quickly set-up their remotes to control multiple devices.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Also during 2010, we developed our Low Energy IR Engine (“LowEIR”). LowEIR uses a combination of silicon, hardware, and software to substantially reduce energy usage in IR remotes without sacrificing performance. With LowEIR, battery life may be extended by years on traditional two battery infrared remote control designs. LowEIR is compatible with all IR protocols and is especially efficient with our XMP</w:t>
      </w:r>
      <w:r>
        <w:rPr>
          <w:rFonts w:ascii="Arial" w:cs="Arial" w:eastAsia="Arial" w:hAnsi="Arial"/>
          <w:sz w:val="11"/>
          <w:szCs w:val="11"/>
          <w:color w:val="auto"/>
        </w:rPr>
        <w:t>®</w:t>
      </w:r>
      <w:r>
        <w:rPr>
          <w:rFonts w:ascii="Arial" w:cs="Arial" w:eastAsia="Arial" w:hAnsi="Arial"/>
          <w:sz w:val="18"/>
          <w:szCs w:val="18"/>
          <w:color w:val="auto"/>
        </w:rPr>
        <w:t xml:space="preserve"> protocols. Implementation does not require any modifications to the target device and is scalable to support a wide range of performance requirements. Because LowEIR requires less energy, and potentially fewer batteries, this may reduce waste and tariffs, making it both an environmentally friendly option for consumers and a financially sound solution for device manufacturers and system operators.</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Universal Remote Application Programming Interface (“UAPI”) is integrated into a remote and its target device, such as set-top box or television, allowing device manufacturers to extend existing remote control standards to deliver an enhanced consumer control experience. UAPI greatly reduces the time required to design and develop advanced, custom features that require synchronization between the remote and target device. UAPI enables support for a variety of new interface technologies, such as capacitive touch or optical finger navigation. In addition, UAPI has native support for the UEI QuickSet application which delivers simplified device setup experience. UAPI focuses on consumer-centric applications around the home theater experience and delivers a risk-free path for OEMs to develop solutions that extend the interface into the hands of the user.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Our distribution methods for our remote control devices are dependent on the sales channel. We distribute remote control devices directly to subscription broadcasters and OEMs, both domestically and internationally. Outside of North America, we sell our wireless control devices and AV accessories under the </w:t>
      </w:r>
      <w:r>
        <w:rPr>
          <w:rFonts w:ascii="Arial" w:cs="Arial" w:eastAsia="Arial" w:hAnsi="Arial"/>
          <w:sz w:val="18"/>
          <w:szCs w:val="18"/>
          <w:i w:val="1"/>
          <w:iCs w:val="1"/>
          <w:color w:val="auto"/>
        </w:rPr>
        <w:t>One</w:t>
      </w:r>
      <w:r>
        <w:rPr>
          <w:rFonts w:ascii="Arial" w:cs="Arial" w:eastAsia="Arial" w:hAnsi="Arial"/>
          <w:sz w:val="18"/>
          <w:szCs w:val="18"/>
          <w:color w:val="auto"/>
        </w:rPr>
        <w:t xml:space="preserve"> </w:t>
      </w:r>
      <w:r>
        <w:rPr>
          <w:rFonts w:ascii="Arial" w:cs="Arial" w:eastAsia="Arial" w:hAnsi="Arial"/>
          <w:sz w:val="18"/>
          <w:szCs w:val="18"/>
          <w:i w:val="1"/>
          <w:iCs w:val="1"/>
          <w:color w:val="auto"/>
        </w:rPr>
        <w:t>For All</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private label brand names to retailers through our international subsidiaries. We utilize third party distributors for the retail channel 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where we do not have subsidiaries.</w:t>
      </w:r>
    </w:p>
    <w:p>
      <w:pPr>
        <w:spacing w:after="0" w:line="143"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We have developed a broad portfolio of patented technologies and the industry’s leading database of IR and RF codes. We ship integrated circuits, on which our software and code database is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provide domestic and international consumer support to our various universal remote control marketers, including manufacturers, cable and satellite providers, retail distributors, and audio and video original equipment manufacturers through our automated “InterVoice” system. Live agent help is available through certain programs. We also make available a free web-based support resource, www.urcsupport.com, designed specifically for subscription broadcasters. This solution offers interactive online demos and tutorials to help users easily setup their remote and commands, and as a result reduces call volume at customer support centers. Additionally, ActiveSupport</w:t>
      </w:r>
      <w:r>
        <w:rPr>
          <w:rFonts w:ascii="Arial" w:cs="Arial" w:eastAsia="Arial" w:hAnsi="Arial"/>
          <w:sz w:val="11"/>
          <w:szCs w:val="11"/>
          <w:color w:val="auto"/>
        </w:rPr>
        <w:t>®</w:t>
      </w:r>
      <w:r>
        <w:rPr>
          <w:rFonts w:ascii="Arial" w:cs="Arial" w:eastAsia="Arial" w:hAnsi="Arial"/>
          <w:sz w:val="18"/>
          <w:szCs w:val="18"/>
          <w:color w:val="auto"/>
        </w:rPr>
        <w:t>, a call center, provides customer interaction management services from service and support to retention. Pre-repair calls, post-install surveys, and inbound calls to customers provide greater bottom-line efficiencies. We continue to review our programs to determine their value in improving the sales of our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twenty-four international subsidiaries are the following:</w:t>
      </w:r>
    </w:p>
    <w:p>
      <w:pPr>
        <w:spacing w:after="0" w:line="90"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Argentina S.R.L., established in Argentina;</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Cayman Inc., established in the Cayman Islands;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Hong Kong Holdings Co. Pte. Ltd., established in Hong Kong;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Universal Electronics (Shenzhen) LLC., established in the PRC;</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UEI Brasil Controles Remotos Ltda., established in Brazil;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Group Ltd., established in the British Virgin Islands;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Gemstar Technology (China) Co. Ltd., established in the PRC;</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Gemstar Technology (Yang Zhou) Co. Ltd., established in the PRC;</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Gemstar Technology (Qinzhou) Co. Ltd., established in the PRC;</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Technology Ltd., established in Hong Kong;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Timepiece Ltd., established in Hong Kong;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C.G. Asia Ltd., established in the British Virgin Islands.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utilize our own manufacturing plants and third-party manufacturers and suppliers primarily located within the PRC to produce our remote control products. In 2011, Samsung provided 10.2% of our total inventory purchases. In 2010, Samsung and Computime each provided more than 10% of our total inventory purchases. They collectively provided 34.2% of our total inventory purchases for 2010. In 2009, Samsung, Computime, C.G. Development, and Samjin each provided more than 10% of our total inventory purchases. They collectively provided 77.4% of our total inventory purchases for 2009.</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Even though we own and operate two factories in the PRC and one assembly plant in Brazil, we continue to evaluate additional contract manufacturers and sources of supply. During 2011, we utilized multiple contract manufacturers and maintained duplicate tooling for certain of our products. Where possible we utilize standard parts and components, which are available from multiple sources. We continually seek additional sources to reduce our dependence on our integrated circuit suppliers.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2012.</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See “ITEM 8. FINANCIAL STATEMENTS AND SUPPLEMENTARY DATA — Notes to the Consolidated Financial Statements — Note 22” for further details regarding our quarterly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principal competitors in the subscription broadcasting market are Contec, Philips Consumer Electronics, and Universal Remote Control. In the international retail and private label markets for wireless controls we compete with Logitech, Philips Consumer Electronics, Ruwido and Sony, as well as various manufacturers of wireless controls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Asia. Our primary competitors in the OEM market are the original equipment manufacturers themselves and wireless control manufacturers in Asia. We compete against Logitech, Philip Consumer Electronics, Ruwido, SMK, Universal Remote Control, and various manufacturers in Asia in the IR database market. We compete in our markets on the basis of product quality, features, price, intellectual property and customer support. We believe that we will need to continue to introduce new and innovative products to remain competitive and to recruit and retain competent personnel to successfully accomplish our future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2011, our engineering efforts focused on the following:</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and lower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improving our software so that we may pre-program more codes into our memory chips;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simplifying the set-up and upgrade process for our wireless control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updating our library of IR codes to include IR codes for new features and devices introduced worldwide.</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2011, our advanced engineering efforts focused on further developing our existing products, services and technologies. We released software updates to our web-based EZ-RC™ Remote Control Setup Wizard as well as our embedded UEI Quickset application. We continued development of our LowEIR technology solution and kicked off new development projects for emerging RF technologies, such as RF4CE, Bluetooth and WiFi Direct. We also began work on developing a Modular Remote Framework (“MoRF”) tool to support flexible portability of our software solutions to existing and future silicon platforms. Additionally, we also released several new models in our subscription broadcast, OEM and consumer retail channels during 2011.</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and software tools. We also hired 116 of Zilog’s sales and engineering personnel, including all 107 of Zilog’s personnel located in India. The engineering personnel acquired from Zilog are focused on the capture of IR codes and the development of firmware leading to more complete solutions to customer needs, the conceptual formulation and design of possible alternatives, as well as the testing of process and product cost improvements. These efforts enable us to provide customers with reductions in design cycle times, lower costs, and improvements in integrated circuit design, product quality and overall functional performance. These efforts also enable us to further penetrate existing markets, pursue new markets more effectively and expand our business.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infrared, radio frequency, power line, telephone and cable communications and networking in the home. There can be no assurance that any of our research and development projects will be successfully completed.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(in millions):</w:t>
            </w:r>
          </w:p>
        </w:tc>
        <w:tc>
          <w:tcPr>
            <w:tcW w:w="452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r>
      <w:tr>
        <w:trPr>
          <w:trHeight w:val="203"/>
        </w:trPr>
        <w:tc>
          <w:tcPr>
            <w:tcW w:w="5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1"/>
                <w:szCs w:val="11"/>
                <w:color w:val="auto"/>
              </w:rPr>
              <w:t>(1)</w:t>
            </w:r>
          </w:p>
        </w:tc>
        <w:tc>
          <w:tcPr>
            <w:tcW w:w="2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$12.3</w:t>
            </w: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$10.7</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 xml:space="preserve">Engineering </w:t>
            </w:r>
            <w:r>
              <w:rPr>
                <w:rFonts w:ascii="Arial" w:cs="Arial" w:eastAsia="Arial" w:hAnsi="Arial"/>
                <w:sz w:val="11"/>
                <w:szCs w:val="11"/>
                <w:color w:val="auto"/>
              </w:rPr>
              <w:t>(2)</w:t>
            </w:r>
          </w:p>
        </w:tc>
        <w:tc>
          <w:tcPr>
            <w:tcW w:w="2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7"/>
        </w:trPr>
        <w:tc>
          <w:tcPr>
            <w:tcW w:w="7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engineering, research and development</w:t>
            </w:r>
          </w:p>
        </w:tc>
        <w:tc>
          <w:tcPr>
            <w:tcW w:w="2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18.1</w:t>
            </w:r>
          </w:p>
        </w:tc>
        <w:tc>
          <w:tcPr>
            <w:tcW w:w="100" w:type="dxa"/>
            <w:vAlign w:val="bottom"/>
            <w:shd w:val="clear" w:color="auto" w:fill="CCEEFF"/>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760" w:hanging="452"/>
        <w:spacing w:after="0" w:line="22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Research and development expense for the years ended 2011, 2010, and 2009 include $0.3 million, $0.5 million, and $0.4 million of stock-based compensation expense, respectively.</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Engineering costs are included in SG&amp;A.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may also face significant costs and liabilities in connection with product take-back legislation. The European Union enacted the Waste Electrical and Electronic Equipment Directive (“WEEE”), which makes producers of electrical goods, including computers and printers,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PRC and Japan.</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2011, 2010 and 2009,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December 31, 2011, we employed 1,868 employees, of which 426 worked in engineering and research and development, 80 in sales and marketing, 140 in consumer service and support, 994 in operations and warehousing and 228 in executive and administrative functions. In addition, Enson has an additional 7,935 staff contracted through agency agreements.</w:t>
      </w:r>
    </w:p>
    <w:p>
      <w:pPr>
        <w:spacing w:after="0" w:line="140"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Labor unions represent approximately 4.2% of our 1,868 employees. These unionized workers, employed within Manaus, Brazil, are represented under contract with the Sindicato dos Trabalhadores das Industrias de Aparelhos Eléctricos, Eletrônicos e Similares de Manaus.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2011, 2010 and 2009 is incorporated by reference to “ITEM 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11"/>
          <w:szCs w:val="11"/>
          <w:color w:val="auto"/>
        </w:rPr>
        <w:t>(1)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14,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b w:val="1"/>
                <w:bCs w:val="1"/>
                <w:color w:val="auto"/>
                <w:w w:val="75"/>
              </w:rPr>
              <w:t>Age</w:t>
            </w:r>
          </w:p>
        </w:tc>
        <w:tc>
          <w:tcPr>
            <w:tcW w:w="340" w:type="dxa"/>
            <w:vAlign w:val="bottom"/>
          </w:tcPr>
          <w:p>
            <w:pPr>
              <w:spacing w:after="0"/>
              <w:rPr>
                <w:sz w:val="15"/>
                <w:szCs w:val="15"/>
                <w:color w:val="auto"/>
              </w:rPr>
            </w:pPr>
          </w:p>
        </w:tc>
        <w:tc>
          <w:tcPr>
            <w:tcW w:w="7460" w:type="dxa"/>
            <w:vAlign w:val="bottom"/>
          </w:tcPr>
          <w:p>
            <w:pPr>
              <w:ind w:left="350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2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D. Arling</w:t>
            </w: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49</w:t>
            </w:r>
          </w:p>
        </w:tc>
        <w:tc>
          <w:tcPr>
            <w:tcW w:w="340" w:type="dxa"/>
            <w:vAlign w:val="bottom"/>
            <w:tcBorders>
              <w:top w:val="single" w:sz="8" w:color="CCEEFF"/>
            </w:tcBorders>
            <w:shd w:val="clear" w:color="auto" w:fill="CCEEFF"/>
          </w:tcPr>
          <w:p>
            <w:pPr>
              <w:spacing w:after="0"/>
              <w:rPr>
                <w:sz w:val="17"/>
                <w:szCs w:val="17"/>
                <w:color w:val="auto"/>
              </w:rPr>
            </w:pPr>
          </w:p>
        </w:tc>
        <w:tc>
          <w:tcPr>
            <w:tcW w:w="7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Paul J.M. Bennett</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w w:val="99"/>
              </w:rPr>
              <w:t>56</w:t>
            </w: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Managing Director, Europe</w:t>
            </w: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S. Kopaskie</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54</w:t>
            </w: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Executive Vice President, General Manager U.S. Operations</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Richard A. Firehammer, Jr.</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w w:val="99"/>
              </w:rPr>
              <w:t>54</w:t>
            </w: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M. Hackworth</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42</w:t>
            </w: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pursuant to Instruction 3 to Item 401(b) of Regulation S-K.</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1996. He was appointed President and COO in September 1998, was promoted to Chief Executive Officer in October 2000 and appointed as Chairman in July 2001. At the 2011Annual Meeting of Stockholders, Mr. Arling was re-elected as our Chairman to serve until the 2012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was our Managing Director and Senior Vice President,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Europe from July 1996 to December 2006. He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Mark S. Kopaskie </w:t>
      </w:r>
      <w:r>
        <w:rPr>
          <w:rFonts w:ascii="Arial" w:cs="Arial" w:eastAsia="Arial" w:hAnsi="Arial"/>
          <w:sz w:val="18"/>
          <w:szCs w:val="18"/>
          <w:color w:val="auto"/>
        </w:rPr>
        <w:t>is our Executive Vice President and General Manager, U.S. Operations. He rejoined us in September 2006 as our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w:t>
      </w:r>
    </w:p>
    <w:p>
      <w:pPr>
        <w:spacing w:after="0" w:line="1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 October 1993 and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Bryan M. Hackworth </w:t>
      </w:r>
      <w:r>
        <w:rPr>
          <w:rFonts w:ascii="Arial" w:cs="Arial" w:eastAsia="Arial" w:hAnsi="Arial"/>
          <w:sz w:val="16"/>
          <w:szCs w:val="16"/>
          <w:color w:val="auto"/>
        </w:rPr>
        <w:t>is our Senior Vice President and Chief Financial Officer. He was promoted to Chief Financial Officer in August 2006. Mr. Hackworth joined</w:t>
      </w:r>
      <w:r>
        <w:rPr>
          <w:rFonts w:ascii="Arial" w:cs="Arial" w:eastAsia="Arial" w:hAnsi="Arial"/>
          <w:sz w:val="16"/>
          <w:szCs w:val="16"/>
          <w:i w:val="1"/>
          <w:iCs w:val="1"/>
          <w:color w:val="auto"/>
        </w:rPr>
        <w:t xml:space="preserve"> </w:t>
      </w:r>
      <w:r>
        <w:rPr>
          <w:rFonts w:ascii="Arial" w:cs="Arial" w:eastAsia="Arial" w:hAnsi="Arial"/>
          <w:sz w:val="16"/>
          <w:szCs w:val="16"/>
          <w:color w:val="auto"/>
        </w:rPr>
        <w:t>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w:t>
      </w:r>
    </w:p>
    <w:p>
      <w:pPr>
        <w:spacing w:after="0" w:line="1"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 xml:space="preserve">— Ice Cream Division; Strategic Planning Manager for the WHISKAS </w:t>
      </w:r>
      <w:r>
        <w:rPr>
          <w:rFonts w:ascii="Arial" w:cs="Arial" w:eastAsia="Arial" w:hAnsi="Arial"/>
          <w:sz w:val="10"/>
          <w:szCs w:val="10"/>
          <w:color w:val="auto"/>
        </w:rPr>
        <w:t>®</w:t>
      </w:r>
      <w:r>
        <w:rPr>
          <w:rFonts w:ascii="Arial" w:cs="Arial" w:eastAsia="Arial" w:hAnsi="Arial"/>
          <w:sz w:val="16"/>
          <w:szCs w:val="16"/>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in “ITEM 7. MANAGEMENT’S DISCUSSION AND ANALYSIS OF FINANCIAL CONDITION AND RESULTS OF OPERATIONS,” as well as those factors discussed elsewhere in this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of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and interactive TV industries not materializing or growing as we believed; our inability to add profitable complementary products which are accepted by the marketplace; our inability to attract and retain quality workforce at adequate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levels in all regions of the world, and particularly Asia; our inability to continue to maintain our operating costs at acceptable levels through our cost containment efforts; our inability to realize tax benefits from various tax projects initiated from time to time; our inability to continue selling our products or licensing our technologies at higher or profitable margins; our inability to obtain orders or maintain our order volume with new and existing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Doing Business in the People’s Republic of China</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Changes in the policies of the People’s Republic of China (“PRC”) government may have a significant impact upon the business we may be able to conduct in the PRC and the profitability of such business.</w:t>
      </w:r>
    </w:p>
    <w:p>
      <w:pPr>
        <w:spacing w:after="0" w:line="13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business operations may be adversely affected by the current and future political environment in the PRC. The PRC has operated as a socialist state since the mid-1900s and is controlled by the PRC’s Communist Party. The Chinese government exerts substantial influence and control over the manner in which we must conduct our business activities. The PRC has only permitted provincial and local economic autonomy and private economic activities since 1988.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 Under current leadership, the government of the PRC has been pursuing economic reform policies that encourage private economic activity and greater economic decentralization. There is no assurance, however, that the government of the PRC will continue to pursue these policies, or that it will not significantly alter these policies from time to time without notice.</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PRC’s economy is in a transition from a planned economy to a market oriented economy subject to five-year and annual plans adopted by the government that set national economic development goals. Policies of the PRC government may have significant effects on the economic conditions of the PRC. The PRC government has confirmed that economic development will follow the model of a market economy. Under this direction, we believe that the PRC will continue to strengthen its economic and trading relationships with foreign countries and business development in the PRC will follow market forces. While we believe that this trend will continue, there can be no assurance that this will be the case.</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 change in policies by the PRC government may adversely affect our interests by, among other factors: changes in laws, regulations or the interpretation thereof, confiscatory taxation, restrictions on currency conversion, imports or sources of supplies, or the expropriation or nationalization of private enterprises. Although the PRC government has been pursuing economic reform policies for more than two decades, there is no assurance that the government will continue to pursue such policies or that such policies may not be significantly altered, especially in the event of a change in leadership, social or political disruption, or other circumstances affecting the PRC’s political, economic and social life.</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The PRC laws and regulations governing our current business operations are sometimes vague and uncertain. Any changes in such PRC laws and regulations may harm our business.</w:t>
      </w:r>
    </w:p>
    <w:p>
      <w:pPr>
        <w:spacing w:after="0" w:line="1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PRC laws and regulations governing our current business operations are sometimes vague and uncertain. The PRC’s legal system is a civil law system based on written statutes, in which decided legal cases have little value as precedents unlike the common law system prevalent in the United States. 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The Chinese government has been developing a comprehensive system of commercial laws, and considerable progress has been made in introducing laws and regulations dealing with economic matters such as foreign investment, corporate organization and governance, labor and social insurance, commerce, taxation and trade. However, because these laws and regulations are relatively new, and because of the limited volume of published cases and judicial interpretation and their lack of force as precedents, interpretation and enforcement of these laws and regulations involve significant uncertainties. New laws and regulations that affect existing and proposed future businesses may also be applied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retroactively. We are considered a foreign person or foreign funded enterprise under PRC laws, and as a result, we are required to comply with PRC laws and regulations. We cannot predict what effect the interpretation of existing or new PRC laws or regulations may have on our businesses. If the relevant authorities find that we are in violation of PRC laws or regulations, they would have broad discretion in dealing with such a violation, including, without limitation:</w:t>
      </w:r>
    </w:p>
    <w:p>
      <w:pPr>
        <w:spacing w:after="0" w:line="7"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levying fines;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revoking our business and other licenses;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that we restructure our ownership or operations;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that we discontinue any portion or all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fluctuation of the Chinese Yuan Renminbi may harm your investment.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Chinese monetary policy, the Chinese Yuan Renminbi is permitted to fluctuate within a narrow and managed band against a basket of certain foreign currencies. This policy, which was initiated during 2005, has resulted in an approximately 28.9% appreciation of the Chinese Yuan Renminbi against the U.S. dollar as of December 31, 2011. While the international reaction to the Chinese Yuan Renminbi revaluation has been positive, there remains significant international pressure on the PRC government to adopt an even more flexible currency policy, which could result in a further and more significant appreciation of the Chinese Yuan Renminbi against the U.S. dollar.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PRC’s legal and judicial system may not adequately protect our business and operations and the rights of foreign investors.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PRC legal and judicial system may negatively impact foreign investors. In an amendment to the PRC’s Constitution, foreign investment and the guarantee of the “lawful rights and interests” of foreign investors in the PRC was made possible. However, the PRC’s system of laws is not yet comprehensive. The legal and judicial systems in the PRC are still rudimentary, and enforcement of existing laws is inconsistent. The PRC judiciary is relatively inexperienced in enforcing the laws that do exist, resulting in judicial decision-making that is more uncertain than would be expected elsewhere in the world. It may be impossible to obtain swift and equitable enforcement of laws that do exist, or to obtain enforcement of the judgment of one court by a court of another jurisdiction. The PRC’s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promulgation of new laws, changes to existing laws and the pre-emption of local regulations by national laws may adversely affect foreign investors. However, the trend of legislation since the amendment to the PRC’s Constitution has significantly enhanced the protection of foreign investment and allowed for more control by foreign parties of their investments in Chinese enterprises. There can be no assurance that a change in leadership, social or political disruption, or unforeseen circumstances affecting the PRC’s political, economic or social life, will not affect the PRC government’s ability to continue to support and pursue these reforms. Such a shift may have a material adverse effect on our business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adequate workforce levels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Presently, the vast majority of workers at our PRC factories are obtained from third-party employment agencies. As the labor laws, social insurance and wage levels continue to mature and grow and the workers become more sophisticated, our costs to employ these and other workers in the PRC may grow beyond that anticipated by management. In addition, as the PRC market continues to open up and grow, with the advent of more companies opening plants and businesses in the PRC, we could experience an increase in competing for the same workers, resulting in either an inability to attract and retain an adequate number of qualified workers or an increase in our employment costs to obtain and retain these workers.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in the PRC</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our global business grows, we may decide to expand in China to meet demand. This would be dependent on our ability to locate suitable facilities to support this expansion, to obtain the necessary permits and funding, to attract and retain adequate levels of qualified workers, and to enter into a long term land lease that is common in the PRC.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recurrence of severe acute respiratory syndrome, or SARS, or other widespread public health problems, could harm our operations.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renewed outbreak of SARS or other widespread public health problems (such as bird flu and swine flu) in the PRC could significantly harm our operations. Our operations may be impacted by a number of health-related factors, including quarantines or closures of some of our offices that would adversely disrupt our operations. Any of the foregoing events or other unforeseen consequences of public health problems could significantly harm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Related to the Recent Financial Crisis and Severe Tightening in the Global Credit Markets</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General economic conditions, both domestic and international, have an impact on our business and financial results. The ongoing global financial crisis affecting the banking system and financial markets has resulted in a severe tightening in the credit markets, a low level of liquidity in many financial markets, and extreme volatility in credit and equity markets. This financial crisis may impact our business in a number of ways, including: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deferment of purchases and orders by customers</w:t>
      </w:r>
    </w:p>
    <w:p>
      <w:pPr>
        <w:spacing w:after="0" w:line="9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inability to obtain financing to make purchases from us and/or maintain their business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if the financial crisis results in insolvencies for our customers, it may adversely impact our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impact on trade receivables</w:t>
      </w:r>
    </w:p>
    <w:p>
      <w:pPr>
        <w:spacing w:after="0" w:line="90" w:lineRule="exact"/>
        <w:rPr>
          <w:sz w:val="20"/>
          <w:szCs w:val="20"/>
          <w:color w:val="auto"/>
        </w:rPr>
      </w:pPr>
    </w:p>
    <w:p>
      <w:pPr>
        <w:jc w:val="both"/>
        <w:ind w:right="420"/>
        <w:spacing w:after="0" w:line="370" w:lineRule="auto"/>
        <w:rPr>
          <w:sz w:val="20"/>
          <w:szCs w:val="20"/>
          <w:color w:val="auto"/>
        </w:rPr>
      </w:pPr>
      <w:r>
        <w:rPr>
          <w:rFonts w:ascii="Arial" w:cs="Arial" w:eastAsia="Arial" w:hAnsi="Arial"/>
          <w:sz w:val="15"/>
          <w:szCs w:val="15"/>
          <w:color w:val="auto"/>
        </w:rPr>
        <w:t>Credit market conditions may slow our collection efforts as customers experience increased difficulty in obtaining requisite financing, leading to higher than normal accounts receivable balances and longer DSOs. This may result in greater expense associated with collection efforts and increased bad debt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third-party dealers, distributors and retailers</w:t>
      </w:r>
    </w:p>
    <w:p>
      <w:pPr>
        <w:spacing w:after="0" w:line="90" w:lineRule="exact"/>
        <w:rPr>
          <w:sz w:val="20"/>
          <w:szCs w:val="20"/>
          <w:color w:val="auto"/>
        </w:rPr>
      </w:pPr>
    </w:p>
    <w:p>
      <w:pPr>
        <w:ind w:right="580"/>
        <w:spacing w:after="0" w:line="298" w:lineRule="auto"/>
        <w:rPr>
          <w:sz w:val="20"/>
          <w:szCs w:val="20"/>
          <w:color w:val="auto"/>
        </w:rPr>
      </w:pPr>
      <w:r>
        <w:rPr>
          <w:rFonts w:ascii="Arial" w:cs="Arial" w:eastAsia="Arial" w:hAnsi="Arial"/>
          <w:sz w:val="16"/>
          <w:szCs w:val="16"/>
          <w:color w:val="auto"/>
        </w:rPr>
        <w:t>We make sales in certain regions of the world through third-party dealers, distributors and retailers. Although many of these third parties have significant operations and maintain access to available credit, others are smaller and more likely to be impacted by the significant decrease in available credit that has resulted from the current financial crisis.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impact from increased financial pressures on key suppliers</w:t>
      </w:r>
    </w:p>
    <w:p>
      <w:pPr>
        <w:spacing w:after="0" w:line="90"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the financial crisis,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2011, Samsung provided $29.1 million, or 10.2%, of our total inventory purchases. During 2010, Samsung and Computime each provided over 10% of our total inventory purchases. Purchases from these suppliers collectively amounted to $67.0 million, or 34.2%, of our total inventory purchases in 2010. During 2009, Samsung, Computime, C.G. Development, and Samjin each provided over 10% of our total inventory purchases. Purchases from these suppliers collectively amounted to $147.8 million, or 77.4%, of our total inventory purchases in 2009.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Most of the components used in our products are available from multiple sources. However, we have elected to purchase integrated circuits, used principally in our wireless control products, from primarily three sources. To reduce our dependence on our integrated circuits suppliers we continually seek additional sources. We maintain inventories of our integrated circuits, which may be used in part to mitigate, but not eliminate, delays resulting from supply interruptions.</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 of our supply chain could have an adverse effect on our business, financial condition and results of operations</w:t>
      </w:r>
    </w:p>
    <w:p>
      <w:pPr>
        <w:spacing w:after="0" w:line="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Our ability, including manufacturing or distribution capabilities, and that of our suppliers, business partners and contract manufacturers, to make, move and sell products is critical to our success. Damage or disruption to our or their manufacturing or distribution capabilities due to weather, natural disaster, fire or explosion, terrorism, pandemics, strikes, or other reasons, could impair our ability to manufacture or sell our products.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Even after our acquisition of the factories in the PRC, third-party manufacturers located in the PRC will continue to manufacture a majority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43"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and private label customers. We also supply our products to our wholly owned, non-U.S. subsidiaries and to independent foreign distributors, who in turn distribute our products worldwide, with Europe and Asia currently representing our principal foreign markets.</w:t>
      </w:r>
    </w:p>
    <w:p>
      <w:pPr>
        <w:spacing w:after="0" w:line="1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year ended December 31, 2011, we had sales to Sony and its sub-contractors and to DIRECTV and its sub-contractors, that when combined, each totaled 10% or more of our net sales. In each of the year ended December 31, 2010 and 2009, we had sales to DIRECTV and its sub-contractors and to Comcast and its sub-contractors, that when combined, each exceeded 10% of our net sales. The loss of any of these customers or of any other key customer, either in the United States or abroad or our inability to maintain order volume with these customers, may have an adverse effect on our operating results, financial condition and cash flows.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Warranty Claim Costs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rely on third-party companies to service a large portion of our customer warranty claims. If the cost to service these warranty claims increases unexpectedly, or these outside services cease to be available, we may be required to increase our estimate of future claim costs, which may have a material adverse effect on our operating results, financial condition and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employ a small number of personnel to develop and market additional products that are part of the Nevo</w:t>
      </w:r>
      <w:r>
        <w:rPr>
          <w:rFonts w:ascii="Arial" w:cs="Arial" w:eastAsia="Arial" w:hAnsi="Arial"/>
          <w:sz w:val="10"/>
          <w:szCs w:val="10"/>
          <w:color w:val="auto"/>
        </w:rPr>
        <w:t>®</w:t>
      </w:r>
      <w:r>
        <w:rPr>
          <w:rFonts w:ascii="Arial" w:cs="Arial" w:eastAsia="Arial" w:hAnsi="Arial"/>
          <w:sz w:val="16"/>
          <w:szCs w:val="16"/>
          <w:color w:val="auto"/>
        </w:rPr>
        <w:t xml:space="preserve"> platform as well as products that are based on the Zigbee</w:t>
      </w:r>
      <w:r>
        <w:rPr>
          <w:rFonts w:ascii="Arial" w:cs="Arial" w:eastAsia="Arial" w:hAnsi="Arial"/>
          <w:sz w:val="10"/>
          <w:szCs w:val="10"/>
          <w:color w:val="auto"/>
        </w:rPr>
        <w:t>®</w:t>
      </w:r>
      <w:r>
        <w:rPr>
          <w:rFonts w:ascii="Arial" w:cs="Arial" w:eastAsia="Arial" w:hAnsi="Arial"/>
          <w:sz w:val="16"/>
          <w:szCs w:val="16"/>
          <w:color w:val="auto"/>
        </w:rPr>
        <w:t>, Z-Wave</w:t>
      </w:r>
      <w:r>
        <w:rPr>
          <w:rFonts w:ascii="Arial" w:cs="Arial" w:eastAsia="Arial" w:hAnsi="Arial"/>
          <w:sz w:val="10"/>
          <w:szCs w:val="10"/>
          <w:color w:val="auto"/>
        </w:rPr>
        <w:t>®</w:t>
      </w:r>
      <w:r>
        <w:rPr>
          <w:rFonts w:ascii="Arial" w:cs="Arial" w:eastAsia="Arial" w:hAnsi="Arial"/>
          <w:sz w:val="16"/>
          <w:szCs w:val="16"/>
          <w:color w:val="auto"/>
        </w:rPr>
        <w:t xml:space="preserve"> and other radio frequency technology. Even after these hires, we continue to use outside resources to assist us in the development of these products. While we believe that such outside services will continue to be available to us, if they cease to be available, the development of these products may be substantially delayed, which may have a material adverse effect on our operating results, financial condition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Competition with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Risks of doing business internationally may adversely affect our sales, operations, earnings and cash flows due to a variety of factors, including, but not limited to:</w:t>
      </w:r>
    </w:p>
    <w:p>
      <w:pPr>
        <w:spacing w:after="0" w:line="51" w:lineRule="exact"/>
        <w:rPr>
          <w:sz w:val="20"/>
          <w:szCs w:val="20"/>
          <w:color w:val="auto"/>
        </w:rPr>
      </w:pPr>
    </w:p>
    <w:p>
      <w:pPr>
        <w:ind w:left="460" w:right="6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 country or region’s economic or political conditions, including inflation, recession, interest rate fluctuations, forced political actions or elections, coops, and actual or anticipated military conflicts;</w:t>
      </w:r>
    </w:p>
    <w:p>
      <w:pPr>
        <w:spacing w:after="0" w:line="50" w:lineRule="exact"/>
        <w:rPr>
          <w:rFonts w:ascii="Arial" w:cs="Arial" w:eastAsia="Arial" w:hAnsi="Arial"/>
          <w:sz w:val="18"/>
          <w:szCs w:val="18"/>
          <w:color w:val="auto"/>
        </w:rPr>
      </w:pPr>
    </w:p>
    <w:p>
      <w:pPr>
        <w:jc w:val="both"/>
        <w:ind w:left="460" w:right="4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currency fluctuations affecting sales, particularly in the Euro, British Pound the Chinese Yuan Renminbi , Indian Rupee, Singapore dollar, and the Brazilian Real which contribute to variations in sales of products and services in impacted jurisdictions and also affect our reported results expressed in U.S. dollars;</w:t>
      </w:r>
    </w:p>
    <w:p>
      <w:pPr>
        <w:ind w:left="460" w:right="20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currency fluctuations affecting costs, particularly the Euro, British Pound the Chinese Yuan Renminbi , Indian Rupee, Singapore dollar, and the Brazilian Real which contribute to variances in costs in impacted jurisdictions and also affect our reported results expressed in U.S. dollars;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cycles and financial instability among customers;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products;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labor conditions, customs, and regulations;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regulatory or legal environment;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 or customer requirements;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export or other business licensing requirements or requirements related to making foreign direct investments, which may affect our ability to obtain favorable terms for components or lead to penalties or restrictions;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associated with repatriating cash generated or held abroad in a tax-efficient manner and changes in tax laws;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freight costs and disruptions at important geographic points of exit and entry.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Section 404 of the Sarbanes-Oxley Act of 2002, we are required to include in our Annual Report on Form 10-K our assessment of the effectiveness of our internal control over financial reporting.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Securities and Exchange Commission. Any such action may adversely affect our financial results and the market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Generally Accepted Accounting Principles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These principles are subject to revision and interpretation by various governing bodies, including the FASB and the SEC. A change in current accounting standards or their interpretation may have a significant adverse effect on our operating results, financial condition and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Provisions or Income Tax Liabilities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subject to income taxes in the United States and numerous foreign jurisdictions. Our tax liabilities are affected by the amounts we charge for inventory and other items in intercompany transactions.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Furthermore, our tax provisions may be adversely affected as a result of any new interpretative accounting guidance related to accounting for uncertain tax positions.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Inability to Use Deferred Tax Assets</w:t>
      </w:r>
    </w:p>
    <w:p>
      <w:pPr>
        <w:spacing w:after="0" w:line="9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have deferred tax assets that we may not be able to use under certain circumstances. If we are unable to generate sufficient future taxable income in certain jurisdictions, or if there is a significant change in the actual effective tax rates or a significant change in the time period within which the underlying temporary differences become taxable or deductible, we may be required to increase our valuation allowances against our deferred tax assets resulting in an increase in our effective tax 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currently derive substantial revenue from the sale of wireless remote controls based on IR and RF technology. Other control technologies exist or may be developed that may compete with this technology. In addition, we develop and maintain our own database of IR and RF codes. There are competing IR and RF libraries offered by companies that we compete with in the marketplace. The advantage that we may have compared to our competitors is difficult to measure. In addition, if other wireless control technology gains acceptance and starts to be integrated into home electronics devices currently controlled through our IR remote controllers, demand for our products may decrease, resulting in decreased operating results, financial condition,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ability to achieve growth in the future will depend, in part, on our success at recruiting, hiring, and retaining highly skilled engineering, managerial, operational, sales and marketing personnel. If our salary and benefits fail to stay competitive it may negatively impact our ability to hire and retain key personnel. The inability to recruit, hire, and retain qualified personnel in a timely manner, or the loss of any key personnel, may make it difficult to meet key objectives, such as timely and effective product introductions.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Even after our recent acquisition of the PRC factories, we will continue to rely on third-party manufacturers to build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ship products from our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addition, we have an exposure to oil prices due to the use of oil-based materials in our products, which are primarily the plastics and other components that we include in our finished products, the cost of delivery and freight, which would be passed on by the carriers that we use in the form of higher rates, political unrest in oil producing countries that could cause a cessation of production and/or delivery of oil resulting in higher costs. We record freight-in as a cost of sales and freight-out in operating expenses. Rising oil prices may have an adverse effect on cost of sales and operating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 permanent withdrawal from a product or market, damage to our reputation, increased inventory costs, or product reengineering expenses, any of which may have a material impact on our operating results, financial condition and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subject to specific accounting guidelines that may adversely affect our financial condition, results of operations and cash flow. For instance, business acquisitions must be accounted for as purchases and, because most technology-related acquisitions involve the purchase of significant intangible assets, these acquisitions typically result in substantial amortization charges, which may have a material adverse effect on our results of operations. There can be no assurance that any such strategic business transactions will occur or, if such transactions do occur, that the integration will be successful or that the customer bases, products or technologies will generate sufficient revenue to offset the associated costs or effects.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the projections required for the preparation of financial statements in conformity with accounting principles generally accepted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 regarding future events and the financial performance of the company, including those involving:</w:t>
      </w:r>
    </w:p>
    <w:p>
      <w:pPr>
        <w:spacing w:after="0" w:line="8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benefits the company expects as a result of the development and success of products and technologies, including new products and technologies;</w:t>
      </w:r>
    </w:p>
    <w:p>
      <w:pPr>
        <w:spacing w:after="0" w:line="113"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benefits expected by entering into emerging markets such as Asia and Brazil, without which, we may not be able to recover the costs we incur to enter into such markets;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recently announced new contracts with new and existing customers and new market penetrations;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we may experience due to the continued softness in worldwide markets driven by the current economic environment.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on the filing date of this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Cypress, California. We utilize the following facilities: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Location</w:t>
            </w:r>
          </w:p>
        </w:tc>
        <w:tc>
          <w:tcPr>
            <w:tcW w:w="1660" w:type="dxa"/>
            <w:vAlign w:val="bottom"/>
          </w:tcPr>
          <w:p>
            <w:pPr>
              <w:spacing w:after="0"/>
              <w:rPr>
                <w:sz w:val="14"/>
                <w:szCs w:val="14"/>
                <w:color w:val="auto"/>
              </w:rPr>
            </w:pPr>
          </w:p>
        </w:tc>
        <w:tc>
          <w:tcPr>
            <w:tcW w:w="342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Purpose or Use</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Square</w:t>
            </w:r>
          </w:p>
        </w:tc>
        <w:tc>
          <w:tcPr>
            <w:tcW w:w="330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660" w:type="dxa"/>
            <w:vAlign w:val="bottom"/>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96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Feet</w:t>
            </w: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Cypress, California</w:t>
            </w:r>
            <w:r>
              <w:rPr>
                <w:rFonts w:ascii="Arial" w:cs="Arial" w:eastAsia="Arial" w:hAnsi="Arial"/>
                <w:sz w:val="11"/>
                <w:szCs w:val="11"/>
                <w:color w:val="auto"/>
              </w:rPr>
              <w:t>(1)</w:t>
            </w:r>
          </w:p>
        </w:tc>
        <w:tc>
          <w:tcPr>
            <w:tcW w:w="1660" w:type="dxa"/>
            <w:vAlign w:val="bottom"/>
            <w:tcBorders>
              <w:top w:val="single" w:sz="8" w:color="CCEEFF"/>
            </w:tcBorders>
            <w:shd w:val="clear" w:color="auto" w:fill="CCEEFF"/>
          </w:tcPr>
          <w:p>
            <w:pPr>
              <w:spacing w:after="0"/>
              <w:rPr>
                <w:sz w:val="16"/>
                <w:szCs w:val="16"/>
                <w:color w:val="auto"/>
              </w:rPr>
            </w:pPr>
          </w:p>
        </w:tc>
        <w:tc>
          <w:tcPr>
            <w:tcW w:w="3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7"/>
              </w:rPr>
              <w:t>Corporate headquarters, engineering, research</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ind w:left="260"/>
              <w:spacing w:after="0" w:line="195" w:lineRule="exact"/>
              <w:rPr>
                <w:sz w:val="20"/>
                <w:szCs w:val="20"/>
                <w:color w:val="auto"/>
              </w:rPr>
            </w:pPr>
            <w:r>
              <w:rPr>
                <w:rFonts w:ascii="Arial" w:cs="Arial" w:eastAsia="Arial" w:hAnsi="Arial"/>
                <w:sz w:val="18"/>
                <w:szCs w:val="18"/>
                <w:color w:val="auto"/>
                <w:w w:val="83"/>
              </w:rPr>
              <w:t>34,080</w:t>
            </w:r>
          </w:p>
        </w:tc>
        <w:tc>
          <w:tcPr>
            <w:tcW w:w="220" w:type="dxa"/>
            <w:vAlign w:val="bottom"/>
            <w:tcBorders>
              <w:top w:val="single" w:sz="8" w:color="CCEEFF"/>
            </w:tcBorders>
            <w:shd w:val="clear" w:color="auto" w:fill="CCEEFF"/>
          </w:tcPr>
          <w:p>
            <w:pPr>
              <w:spacing w:after="0"/>
              <w:rPr>
                <w:sz w:val="16"/>
                <w:szCs w:val="16"/>
                <w:color w:val="auto"/>
              </w:rPr>
            </w:pPr>
          </w:p>
        </w:tc>
        <w:tc>
          <w:tcPr>
            <w:tcW w:w="3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Leased, expires July 31, 2012</w:t>
            </w:r>
          </w:p>
        </w:tc>
        <w:tc>
          <w:tcPr>
            <w:tcW w:w="0" w:type="dxa"/>
            <w:vAlign w:val="bottom"/>
          </w:tcPr>
          <w:p>
            <w:pPr>
              <w:spacing w:after="0"/>
              <w:rPr>
                <w:sz w:val="1"/>
                <w:szCs w:val="1"/>
                <w:color w:val="auto"/>
              </w:rPr>
            </w:pPr>
          </w:p>
        </w:tc>
      </w:tr>
      <w:tr>
        <w:trPr>
          <w:trHeight w:val="224"/>
        </w:trPr>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8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and development</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Twinsburg, Ohio</w:t>
            </w:r>
          </w:p>
        </w:tc>
        <w:tc>
          <w:tcPr>
            <w:tcW w:w="5080" w:type="dxa"/>
            <w:vAlign w:val="bottom"/>
            <w:gridSpan w:val="3"/>
          </w:tcPr>
          <w:p>
            <w:pPr>
              <w:ind w:left="1660"/>
              <w:spacing w:after="0"/>
              <w:rPr>
                <w:sz w:val="20"/>
                <w:szCs w:val="20"/>
                <w:color w:val="auto"/>
              </w:rPr>
            </w:pPr>
            <w:r>
              <w:rPr>
                <w:rFonts w:ascii="Arial" w:cs="Arial" w:eastAsia="Arial" w:hAnsi="Arial"/>
                <w:sz w:val="18"/>
                <w:szCs w:val="18"/>
                <w:color w:val="auto"/>
              </w:rPr>
              <w:t>Call center</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21,509</w:t>
            </w:r>
          </w:p>
        </w:tc>
        <w:tc>
          <w:tcPr>
            <w:tcW w:w="3300" w:type="dxa"/>
            <w:vAlign w:val="bottom"/>
          </w:tcPr>
          <w:p>
            <w:pPr>
              <w:spacing w:after="0"/>
              <w:rPr>
                <w:sz w:val="20"/>
                <w:szCs w:val="20"/>
                <w:color w:val="auto"/>
              </w:rPr>
            </w:pPr>
            <w:r>
              <w:rPr>
                <w:rFonts w:ascii="Arial" w:cs="Arial" w:eastAsia="Arial" w:hAnsi="Arial"/>
                <w:sz w:val="18"/>
                <w:szCs w:val="18"/>
                <w:color w:val="auto"/>
              </w:rPr>
              <w:t>Leased, expires May 31,2014</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Enschede, Netherlands</w:t>
            </w:r>
          </w:p>
        </w:tc>
        <w:tc>
          <w:tcPr>
            <w:tcW w:w="508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European headquarters and call center</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18,292</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Leased, expires September 30, 2013</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Bangalore, India</w:t>
            </w:r>
            <w:r>
              <w:rPr>
                <w:rFonts w:ascii="Arial" w:cs="Arial" w:eastAsia="Arial" w:hAnsi="Arial"/>
                <w:sz w:val="11"/>
                <w:szCs w:val="11"/>
                <w:color w:val="auto"/>
              </w:rPr>
              <w:t>(2)</w:t>
            </w:r>
          </w:p>
        </w:tc>
        <w:tc>
          <w:tcPr>
            <w:tcW w:w="5080" w:type="dxa"/>
            <w:vAlign w:val="bottom"/>
            <w:gridSpan w:val="3"/>
          </w:tcPr>
          <w:p>
            <w:pPr>
              <w:ind w:left="1660"/>
              <w:spacing w:after="0"/>
              <w:rPr>
                <w:sz w:val="20"/>
                <w:szCs w:val="20"/>
                <w:color w:val="auto"/>
              </w:rPr>
            </w:pPr>
            <w:r>
              <w:rPr>
                <w:rFonts w:ascii="Arial" w:cs="Arial" w:eastAsia="Arial" w:hAnsi="Arial"/>
                <w:sz w:val="18"/>
                <w:szCs w:val="18"/>
                <w:color w:val="auto"/>
              </w:rPr>
              <w:t>Engineering, research and development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17,713</w:t>
            </w:r>
          </w:p>
        </w:tc>
        <w:tc>
          <w:tcPr>
            <w:tcW w:w="3300" w:type="dxa"/>
            <w:vAlign w:val="bottom"/>
          </w:tcPr>
          <w:p>
            <w:pPr>
              <w:spacing w:after="0"/>
              <w:rPr>
                <w:sz w:val="20"/>
                <w:szCs w:val="20"/>
                <w:color w:val="auto"/>
              </w:rPr>
            </w:pPr>
            <w:r>
              <w:rPr>
                <w:rFonts w:ascii="Arial" w:cs="Arial" w:eastAsia="Arial" w:hAnsi="Arial"/>
                <w:sz w:val="18"/>
                <w:szCs w:val="18"/>
                <w:color w:val="auto"/>
              </w:rPr>
              <w:t>Leased, expired January 31, 2012</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Mateo, California</w:t>
            </w:r>
          </w:p>
        </w:tc>
        <w:tc>
          <w:tcPr>
            <w:tcW w:w="508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Engineering, research and development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4,785</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Leased, expires August 15, 2016</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Hong Kong, PRC</w:t>
            </w:r>
          </w:p>
        </w:tc>
        <w:tc>
          <w:tcPr>
            <w:tcW w:w="5080" w:type="dxa"/>
            <w:vAlign w:val="bottom"/>
            <w:gridSpan w:val="3"/>
          </w:tcPr>
          <w:p>
            <w:pPr>
              <w:ind w:left="1660"/>
              <w:spacing w:after="0"/>
              <w:rPr>
                <w:sz w:val="20"/>
                <w:szCs w:val="20"/>
                <w:color w:val="auto"/>
              </w:rPr>
            </w:pPr>
            <w:r>
              <w:rPr>
                <w:rFonts w:ascii="Arial" w:cs="Arial" w:eastAsia="Arial" w:hAnsi="Arial"/>
                <w:sz w:val="18"/>
                <w:szCs w:val="18"/>
                <w:color w:val="auto"/>
              </w:rPr>
              <w:t>Asian headquarters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3300" w:type="dxa"/>
            <w:vAlign w:val="bottom"/>
          </w:tcPr>
          <w:p>
            <w:pPr>
              <w:spacing w:after="0"/>
              <w:rPr>
                <w:sz w:val="20"/>
                <w:szCs w:val="20"/>
                <w:color w:val="auto"/>
              </w:rPr>
            </w:pPr>
            <w:r>
              <w:rPr>
                <w:rFonts w:ascii="Arial" w:cs="Arial" w:eastAsia="Arial" w:hAnsi="Arial"/>
                <w:sz w:val="18"/>
                <w:szCs w:val="18"/>
                <w:color w:val="auto"/>
              </w:rPr>
              <w:t>Leased, expires on June 30, 2016</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 PRC</w:t>
            </w:r>
            <w:r>
              <w:rPr>
                <w:rFonts w:ascii="Arial" w:cs="Arial" w:eastAsia="Arial" w:hAnsi="Arial"/>
                <w:sz w:val="11"/>
                <w:szCs w:val="11"/>
                <w:color w:val="auto"/>
              </w:rPr>
              <w:t>(3)</w:t>
            </w:r>
          </w:p>
        </w:tc>
        <w:tc>
          <w:tcPr>
            <w:tcW w:w="508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Manufacturing facility</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710,203</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Land leased, expires June 30, 2044</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Yangzhou, PRC</w:t>
            </w:r>
            <w:r>
              <w:rPr>
                <w:rFonts w:ascii="Arial" w:cs="Arial" w:eastAsia="Arial" w:hAnsi="Arial"/>
                <w:sz w:val="11"/>
                <w:szCs w:val="11"/>
                <w:color w:val="auto"/>
              </w:rPr>
              <w:t>(3)</w:t>
            </w:r>
          </w:p>
        </w:tc>
        <w:tc>
          <w:tcPr>
            <w:tcW w:w="5080" w:type="dxa"/>
            <w:vAlign w:val="bottom"/>
            <w:gridSpan w:val="3"/>
          </w:tcPr>
          <w:p>
            <w:pPr>
              <w:ind w:left="1660"/>
              <w:spacing w:after="0"/>
              <w:rPr>
                <w:sz w:val="20"/>
                <w:szCs w:val="20"/>
                <w:color w:val="auto"/>
              </w:rPr>
            </w:pPr>
            <w:r>
              <w:rPr>
                <w:rFonts w:ascii="Arial" w:cs="Arial" w:eastAsia="Arial" w:hAnsi="Arial"/>
                <w:sz w:val="18"/>
                <w:szCs w:val="18"/>
                <w:color w:val="auto"/>
              </w:rPr>
              <w:t>Manufacturing facility</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1,204,697</w:t>
            </w:r>
          </w:p>
        </w:tc>
        <w:tc>
          <w:tcPr>
            <w:tcW w:w="3300" w:type="dxa"/>
            <w:vAlign w:val="bottom"/>
          </w:tcPr>
          <w:p>
            <w:pPr>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Qinzhou, PRC</w:t>
            </w:r>
            <w:r>
              <w:rPr>
                <w:rFonts w:ascii="Arial" w:cs="Arial" w:eastAsia="Arial" w:hAnsi="Arial"/>
                <w:sz w:val="11"/>
                <w:szCs w:val="11"/>
                <w:color w:val="auto"/>
              </w:rPr>
              <w:t>(3)</w:t>
            </w:r>
          </w:p>
        </w:tc>
        <w:tc>
          <w:tcPr>
            <w:tcW w:w="508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Manufacturing facility under development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980,646</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Land leased, expires January 31, 2017</w:t>
            </w:r>
          </w:p>
        </w:tc>
        <w:tc>
          <w:tcPr>
            <w:tcW w:w="0" w:type="dxa"/>
            <w:vAlign w:val="bottom"/>
          </w:tcPr>
          <w:p>
            <w:pPr>
              <w:spacing w:after="0"/>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8"/>
                <w:szCs w:val="18"/>
                <w:color w:val="auto"/>
              </w:rPr>
              <w:t>Manaus, Brazil</w:t>
            </w:r>
          </w:p>
        </w:tc>
        <w:tc>
          <w:tcPr>
            <w:tcW w:w="5080" w:type="dxa"/>
            <w:vAlign w:val="bottom"/>
            <w:gridSpan w:val="3"/>
          </w:tcPr>
          <w:p>
            <w:pPr>
              <w:ind w:left="1660"/>
              <w:spacing w:after="0"/>
              <w:rPr>
                <w:sz w:val="20"/>
                <w:szCs w:val="20"/>
                <w:color w:val="auto"/>
              </w:rPr>
            </w:pPr>
            <w:r>
              <w:rPr>
                <w:rFonts w:ascii="Arial" w:cs="Arial" w:eastAsia="Arial" w:hAnsi="Arial"/>
                <w:sz w:val="18"/>
                <w:szCs w:val="18"/>
                <w:color w:val="auto"/>
              </w:rPr>
              <w:t>Manufacturing facility</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21,709</w:t>
            </w:r>
          </w:p>
        </w:tc>
        <w:tc>
          <w:tcPr>
            <w:tcW w:w="3300" w:type="dxa"/>
            <w:vAlign w:val="bottom"/>
          </w:tcPr>
          <w:p>
            <w:pPr>
              <w:spacing w:after="0"/>
              <w:rPr>
                <w:sz w:val="20"/>
                <w:szCs w:val="20"/>
                <w:color w:val="auto"/>
              </w:rPr>
            </w:pPr>
            <w:r>
              <w:rPr>
                <w:rFonts w:ascii="Arial" w:cs="Arial" w:eastAsia="Arial" w:hAnsi="Arial"/>
                <w:sz w:val="18"/>
                <w:szCs w:val="18"/>
                <w:color w:val="auto"/>
              </w:rPr>
              <w:t>Leased, expires September 30,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28"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Our lease for the Cypress Corporate headquarters expires on July 31, 2012. We are currently investigating a renewal of this lease and other alternative facilities.</w:t>
      </w:r>
    </w:p>
    <w:p>
      <w:pPr>
        <w:spacing w:after="0" w:line="1" w:lineRule="exact"/>
        <w:rPr>
          <w:rFonts w:ascii="Arial" w:cs="Arial" w:eastAsia="Arial" w:hAnsi="Arial"/>
          <w:sz w:val="22"/>
          <w:szCs w:val="22"/>
          <w:color w:val="auto"/>
          <w:vertAlign w:val="superscript"/>
        </w:rPr>
      </w:pPr>
    </w:p>
    <w:p>
      <w:pPr>
        <w:ind w:left="460" w:hanging="452"/>
        <w:spacing w:after="0" w:line="225" w:lineRule="auto"/>
        <w:tabs>
          <w:tab w:leader="none" w:pos="46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Our lease for the Bangalore office expired on January 31, 2012. We are currently paying on a month-to-month basis while we are negotiating a renewal.</w:t>
      </w:r>
    </w:p>
    <w:p>
      <w:pPr>
        <w:spacing w:after="0" w:line="8" w:lineRule="exact"/>
        <w:rPr>
          <w:rFonts w:ascii="Arial" w:cs="Arial" w:eastAsia="Arial" w:hAnsi="Arial"/>
          <w:sz w:val="20"/>
          <w:szCs w:val="20"/>
          <w:color w:val="auto"/>
          <w:vertAlign w:val="superscript"/>
        </w:rPr>
      </w:pPr>
    </w:p>
    <w:p>
      <w:pPr>
        <w:ind w:left="460" w:right="120" w:hanging="452"/>
        <w:spacing w:after="0" w:line="221"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believe we will obtain lease agreements under similar terms; however, there can be no assurance that we will receive similar terms or that any offer to renew will be accepted.</w:t>
      </w:r>
    </w:p>
    <w:p>
      <w:pPr>
        <w:spacing w:after="0" w:line="13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12” for additional information regarding our obligations under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common stock trades on the NASDAQ Global Select Market under the symbol UEIC. The closing price of our common stock as reported by NASDAQ on March 9, 2012 was $19.30. Our stockholders of record on March 9, 2012 numbered 120.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12"/>
                <w:szCs w:val="12"/>
                <w:color w:val="auto"/>
              </w:rPr>
            </w:pPr>
          </w:p>
        </w:tc>
      </w:tr>
      <w:tr>
        <w:trPr>
          <w:trHeight w:val="210"/>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$ 25.11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$20.25</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30.00</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23.84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14.01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Total Number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of</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Purchased</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as Part of</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Yet Be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Publicly</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720" w:type="dxa"/>
            <w:vAlign w:val="bottom"/>
          </w:tcPr>
          <w:p>
            <w:pPr>
              <w:spacing w:after="0"/>
              <w:rPr>
                <w:sz w:val="12"/>
                <w:szCs w:val="12"/>
                <w:color w:val="auto"/>
              </w:rPr>
            </w:pPr>
          </w:p>
        </w:tc>
        <w:tc>
          <w:tcPr>
            <w:tcW w:w="178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Announced</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100" w:type="dxa"/>
            <w:vAlign w:val="bottom"/>
            <w:vMerge w:val="restart"/>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Price Paid</w:t>
            </w: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Plans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100" w:type="dxa"/>
            <w:vAlign w:val="bottom"/>
            <w:vMerge w:val="continue"/>
          </w:tcPr>
          <w:p>
            <w:pPr>
              <w:spacing w:after="0"/>
              <w:rPr>
                <w:sz w:val="14"/>
                <w:szCs w:val="14"/>
                <w:color w:val="auto"/>
              </w:rPr>
            </w:pPr>
          </w:p>
        </w:tc>
        <w:tc>
          <w:tcPr>
            <w:tcW w:w="8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3"/>
              </w:rPr>
              <w:t>Purchased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per Share</w:t>
            </w:r>
          </w:p>
        </w:tc>
        <w:tc>
          <w:tcPr>
            <w:tcW w:w="158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6"/>
              </w:rPr>
              <w:t>or Programs</w:t>
            </w:r>
          </w:p>
        </w:tc>
        <w:tc>
          <w:tcPr>
            <w:tcW w:w="10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10/1/2011 — 10/31/2011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11,460</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17.59</w:t>
            </w:r>
          </w:p>
        </w:tc>
        <w:tc>
          <w:tcPr>
            <w:tcW w:w="7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11,460</w:t>
            </w:r>
          </w:p>
        </w:tc>
        <w:tc>
          <w:tcPr>
            <w:tcW w:w="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1,074,343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11/1/2011 — 11/30/2011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w:t>
            </w:r>
          </w:p>
        </w:tc>
        <w:tc>
          <w:tcPr>
            <w:tcW w:w="74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85</w:t>
            </w:r>
          </w:p>
        </w:tc>
        <w:tc>
          <w:tcPr>
            <w:tcW w:w="960" w:type="dxa"/>
            <w:vAlign w:val="bottom"/>
          </w:tcPr>
          <w:p>
            <w:pPr>
              <w:jc w:val="right"/>
              <w:spacing w:after="0"/>
              <w:rPr>
                <w:sz w:val="20"/>
                <w:szCs w:val="20"/>
                <w:color w:val="auto"/>
              </w:rPr>
            </w:pPr>
            <w:r>
              <w:rPr>
                <w:rFonts w:ascii="Arial" w:cs="Arial" w:eastAsia="Arial" w:hAnsi="Arial"/>
                <w:sz w:val="18"/>
                <w:szCs w:val="18"/>
                <w:color w:val="auto"/>
              </w:rPr>
              <w:t>1,074,258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12/1/2011 — 12/31/2011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4,348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Total during fourth quarter</w:t>
            </w: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17.13</w:t>
            </w: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 w:type="dxa"/>
            <w:vAlign w:val="bottom"/>
          </w:tcPr>
          <w:p>
            <w:pPr>
              <w:spacing w:after="0"/>
              <w:rPr>
                <w:sz w:val="19"/>
                <w:szCs w:val="19"/>
                <w:color w:val="auto"/>
              </w:rPr>
            </w:pPr>
          </w:p>
        </w:tc>
        <w:tc>
          <w:tcPr>
            <w:tcW w:w="410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15,893</w:t>
            </w:r>
          </w:p>
        </w:tc>
        <w:tc>
          <w:tcPr>
            <w:tcW w:w="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15,893</w:t>
            </w:r>
          </w:p>
        </w:tc>
        <w:tc>
          <w:tcPr>
            <w:tcW w:w="960" w:type="dxa"/>
            <w:vAlign w:val="bottom"/>
          </w:tcPr>
          <w:p>
            <w:pPr>
              <w:jc w:val="right"/>
              <w:spacing w:after="0"/>
              <w:rPr>
                <w:sz w:val="20"/>
                <w:szCs w:val="20"/>
                <w:color w:val="auto"/>
              </w:rPr>
            </w:pPr>
            <w:r>
              <w:rPr>
                <w:rFonts w:ascii="Arial" w:cs="Arial" w:eastAsia="Arial" w:hAnsi="Arial"/>
                <w:sz w:val="18"/>
                <w:szCs w:val="18"/>
                <w:color w:val="auto"/>
              </w:rPr>
              <w:t>1,069,910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2011, we repurchased 456,964 shares of our issued and outstanding common stock for $9.8 million under an ongoing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systematic program approved by our Board of Directors on February 11, 2010. We make stock repurchases to manage the dilution created by shares issued under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our stock incentive plans or when we deem a repurchase is a good use of our cash and the price to be paid is at or below a threshold approved by our Board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time to time. On December 31, 2011, we had 69,910 shares available for repurchase under the Board authorization approved on February 11, 2010.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October 26, 2011, our Board of Directors authorized management to repurchase an additional 1,000,000 shares of our issued and outstanding common stock. We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have not repurchased any shares under the Board authorization approved on October 26,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16” under the caption “Stock-Based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9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the Standard &amp; Poor’s Small Cap 600 (the “S&amp;P Small Cap 600”) and the NASDAQ Composite Index for the five year period ended December 31, 2011. The comparison assumes that $100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is invested on December 31, 2006 in each of our common stock, S&amp;P Small Cap 600 and the NASDAQ Composite Index and that all dividends are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comparisons in the graph and table below are based on historical data and are not intended to forecast the possible future performance of our common stock.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Stockholder Returns of 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 Cap 600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238760</wp:posOffset>
            </wp:positionV>
            <wp:extent cx="6003290" cy="1844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329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12/31/2006</w:t>
            </w:r>
          </w:p>
        </w:tc>
        <w:tc>
          <w:tcPr>
            <w:tcW w:w="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12/31/2007</w:t>
            </w:r>
          </w:p>
        </w:tc>
        <w:tc>
          <w:tcPr>
            <w:tcW w:w="4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12/31/2008</w:t>
            </w:r>
          </w:p>
        </w:tc>
        <w:tc>
          <w:tcPr>
            <w:tcW w:w="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12/31/2009</w:t>
            </w:r>
          </w:p>
        </w:tc>
        <w:tc>
          <w:tcPr>
            <w:tcW w:w="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12/31/2010</w:t>
            </w:r>
          </w:p>
        </w:tc>
        <w:tc>
          <w:tcPr>
            <w:tcW w:w="4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12/31/2011</w:t>
            </w:r>
          </w:p>
        </w:tc>
        <w:tc>
          <w:tcPr>
            <w:tcW w:w="10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Universal Electronics Inc.</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S&amp;P Small Cap 600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99</w:t>
            </w:r>
          </w:p>
        </w:tc>
        <w:tc>
          <w:tcPr>
            <w:tcW w:w="280" w:type="dxa"/>
            <w:vAlign w:val="bottom"/>
          </w:tcPr>
          <w:p>
            <w:pPr>
              <w:jc w:val="right"/>
              <w:ind w:right="97"/>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67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information presented above is as of December 31, 2006 through 2011. This information should not be deemed to be “soliciting material” or to be “filed” with the Securities and Exchange Commission or subject to the liabilities of Section 18 of the Securities Exchange Act of 1934 (the “Exchange Act”) nor should this information be incorporated by reference into any prior or future filings under the Securities Act of 1933 or the Exchange Act, except to the extent that we specifically incorporate it by reference into a filing.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468,630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331,780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317,550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287,100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272,680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26,576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21,301</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21,947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20,761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26,451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19,946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20,230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Diluted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earnings per share: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14,912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15,213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15,177</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dividend declared per common share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8"/>
        </w:trPr>
        <w:tc>
          <w:tcPr>
            <w:tcW w:w="6020" w:type="dxa"/>
            <w:vAlign w:val="bottom"/>
          </w:tcPr>
          <w:p>
            <w:pPr>
              <w:spacing w:after="0"/>
              <w:rPr>
                <w:sz w:val="20"/>
                <w:szCs w:val="20"/>
                <w:color w:val="auto"/>
              </w:rPr>
            </w:pPr>
            <w:r>
              <w:rPr>
                <w:rFonts w:ascii="Arial" w:cs="Arial" w:eastAsia="Arial" w:hAnsi="Arial"/>
                <w:sz w:val="18"/>
                <w:szCs w:val="18"/>
                <w:color w:val="auto"/>
                <w:w w:val="90"/>
              </w:rPr>
              <w:t>Selling, general, administrative, research and development expenses as a % of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20" w:type="dxa"/>
            <w:vAlign w:val="bottom"/>
          </w:tcPr>
          <w:p>
            <w:pPr>
              <w:ind w:left="22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Working capital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84,761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66,101</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127,086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122,303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140,330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Ratio of current assets to 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369,488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372,533</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233,307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217,555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217,285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29,372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229,989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211,204</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169,730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153,353</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168,242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11"/>
                <w:szCs w:val="11"/>
                <w:color w:val="auto"/>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Ratio of liabilities to liabilities and stockholders’ equity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Book value per share is defined as stockholders’ equity divided by common shares issued less treasury stock.</w:t>
      </w:r>
    </w:p>
    <w:p>
      <w:pPr>
        <w:spacing w:after="0" w:line="156"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The comparability of information between 2011 and prior years is affected by the acquisition of Enson during the fourth quarter of 2010. See “ITEM 7. MANAGEMENT’S DISCUSSION AND ANALYSIS OF FINANCIAL CONDITION AND RESULTS OF OPERATIONS” and “ITEM 8. FINANCIAL STATEMENTS AND SUPPLEMENTARY DATA — Notes to Consolidated Financial Statements — Note 21” for further information.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following discussion should be read in conjunction with the Consolidated Financial Statements and the related notes that appear elsewhere in this document.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develop and manufacture a broad line of pre-programmed universal remote control products, audio-video accessories, and software that are marketed to enhance home entertainment systems. Our customers operate in the consumer electronics market and include subscription broadcasters, OEMs, international retailers, custom installers, private labels, and companies in the computing industry. We also sell integrated circuits, on which our software and IR code database, or library, is embedded, to OEMs that manufacture wireless control devices, cable converters or satellite receivers for resale in their products.</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Since our beginning in 1986, we have compiled an extensive IR code library that covers over 606,500 individual device functions and approximately 4,500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and CD players, as well as most other infrared remote controlled home entertainment devices and home automation control modules worldwide.</w:t>
      </w:r>
    </w:p>
    <w:p>
      <w:pPr>
        <w:spacing w:after="0" w:line="10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operate as one business segment. We have twenty-four subsidiaries located in Argentina, Cayman Islands, France, Germany, Hong Kong (6), India, Italy, the Netherlands, Singapore, Spain, Brazil, British Virgin Islands (3), People’s Republic of China (4) and the United Kingdom.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2011:</w:t>
      </w:r>
    </w:p>
    <w:p>
      <w:pPr>
        <w:spacing w:after="0" w:line="90" w:lineRule="exact"/>
        <w:rPr>
          <w:sz w:val="20"/>
          <w:szCs w:val="20"/>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net sales grew 41.2% to $468.6 million for 2011 from $331.8 million for 2010, due primarily to the acquisition of Enson during November 2010, which added $150.1 million of net sales during 2011.</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Excluding Enson’s net sales, our 2011 net sales increased 3.8% to $318.6 million from $306.8 million for 2010. This is due primarily to the increase in net sales within the Latin America subscription broadcasting market and our acquisition of new domestic customers in our business category throughout 2011.</w:t>
      </w:r>
    </w:p>
    <w:p>
      <w:pPr>
        <w:spacing w:after="0" w:line="59"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2011 operating income increased 24.8% to $26.6 million for 2011 from $21.3 million for 2010. Our operating margin percentage decreased to 5.7% for 2011 from 6.4% for 2010 due primarily to the decrease in our gross margin percentage to 27.8% for 2011 from 31.3% for 2010. The decrease in our gross margin rate was due primarily to sales mix, as a higher percentage of our total sales were comprised of our lower-margin Business category. Partially offsetting the decrease in our gross margin percentage was a 2.8% improvement in operating expenses as a percentage of net sales for 2011 compared to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2012 include the following: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share with existing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the utilization of Enson’s factories by becoming less dependent on third party contract manufacturers;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more operations, logistics, quality, program management, engineering, sales, and marketing personnel in the Asia region: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compensation expense. Actual results may differ from these judgments and estimates, and they may be adjusted as more information becomes available. Any adjustment may be significant.</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recognize revenue on the sale of products when title of the goods has transferred, there is persuasive evidence of an arrangement (such as a purchase order from the customer), the sales price is fixed or determinable and collectability is reasonably assured.</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record a provision for estimated retail sales returns. The provision recorded for estimated sales returns and allowances is deducted from gross sales to arrive at net sales in the period the related revenue is recorded. These estimates are based on historical sales returns,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revenues in the period in which we make such a determination. The allowance for sales returns balance at December 31, 2011 and 2010 was $1.0 million and $1.4 million, respectively.</w:t>
      </w:r>
    </w:p>
    <w:p>
      <w:pPr>
        <w:spacing w:after="0" w:line="11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accrue for discounts and rebates on product sales in the same period as the related revenues are recorded based on our current expectations, after considering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 If the financial conditions of our customers deteriorate resulting in their inability to make payments, a larger allowance may be required resulting in a charge to selling, general, and administrative expense in the period in which we make this determination. We incurred $0.3 million, $0.9 million, and $0.4 million of bad debt expense in 2011, 2010, and 2009, respectively, to reflect certain customer accounts where collection was highly uncertain in the current economic environment.</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not made any material changes in our methodology for recognizing revenue during the past four fiscal years. We do not believe there is a reasonable likelihood that there will be a material change in the estimates or assumptions we use to recognize revenue. However, if actual results are not consistent with our estimates or assumptions, we may be exposed to losses or gains that may be material.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warrant our products against defects in materials and workmanship arising during normal use. We service warranty claims directly through our customer service department or contracted third-party warranty repair facilities. Our warranty periods range up to three years. We estimate and recognize product warranty costs, which are included in cost of sales, as we sell the related products. Warranty costs are forecasted based on the best available information, primarily historical claims experience and the expected cost per claim. The costs we have incurred to service warranty claims have been minimal. Historically, product defects have been less than 0.5% of the net units sold. As a result the balance of our reserve for estimated warranty costs is not significant.</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not made any material changes in our warranty reserve methodology during the past three fiscal years. We do not believe there is a reasonable likelihood that there will be a material change in the estimates or assumptions we use to calculate the warranty reserve. However, actual claim costs may differ from the amounts estimated. If a significant product defect were to be discovered on a high volume product, our financial statements may be materially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wireless remote control device, component part, and raw material inventories are valued at the lower of cost or market value. The approximate cost is determined using the first-in, first-out basis. We write-down our inventory for the estimated difference between the inventory’s approximate cost and its estimated market value based upon our best estimates of market conditions.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carry inventory in amounts necessary to satisfy our customers’ inventory requirements on a timely basis. We continually monitor our inventory status to control inventory levels and write-down any excess or obsolete inventories on hand. Our total excess and obsolete inventory reserve on December 31, 2011 and 2010 was $3.4 million and $2.1 million, or 3.8% and 3.2% of total inventory. The increase in our excess and obsolete reserve during 2011 was the result of $4.6 million of additional write-downs offset by $1.3 million of sell-through, $2.0 million of scrapping and foreign currency translation effects. This compared to additional write-downs of $2.9 million of additional write-downs offset by $1.0 million of sell-through, $1.5 million of scrapping and foreign currency translation effects during 2010.</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not made any material changes in the accounting methodology used to establish our excess and obsolete inventory reserve during the past three fiscal years. We do not believe there is a reasonable likelihood that there will be a material change in the future estimates or assumptions we use to calculate our excess and obsolete inventory reserve.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$0.9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are required to allocate the purchase price of acquired companies to the tangible and intangible assets and the liabilities assumed, as well as in-process research and development (“IPR&amp;D”), based upon their estimated fair values. We engage independent third-party appraisal firms to assist us in determining the fair values of assets acquired and liabilities assumed. Such valuations require management to make significant fair value estimates and assumptions, especially with respect to intangible assets. Management estimates the fair value of certain intangible assets by utilizing the following (but not limited to):</w:t>
      </w:r>
    </w:p>
    <w:p>
      <w:pPr>
        <w:spacing w:after="0" w:line="32" w:lineRule="exact"/>
        <w:rPr>
          <w:sz w:val="20"/>
          <w:szCs w:val="20"/>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free cash flow from customer contracts, customer lists, distribution agreements, acquired developed technologies, trademarks, trade names and patents;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costs to develop IPR&amp;D into commercially viable products and cash flows from the products once they are completed;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We assess long-lived and intangible assets for impairment whenever events or changes in circumstances indicate that their carrying value may not be recoverable.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Factors considered important which may trigger an impairment review, if significant, include the following:</w:t>
      </w:r>
    </w:p>
    <w:p>
      <w:pPr>
        <w:spacing w:after="0" w:line="8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If the carrying value of the asset is larger than its undiscounted cash flows, the asset is impaired. The impairment is measured as the difference between the net book value of the asset and the assets estimated fair value. Fair value is estimated utilizing the assets projected discounted cash flows. In assessing fair value, we must make assumptions regarding estimated future cash flows, the discount rate and other factors.</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not made any material changes in our impairment loss assessment methodology during the past three fiscal years. We do not believe there is a reasonable likelihood that there will be a material change in the estimates or assumptions we use to calculate the impairment of long-lived assets and intangible assets. However, if actual results are not consistent with our estimates and assumptions we may be exposed to material impairment charges.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each balance sheet date, we compare the unamortized capitalized software development costs to the net realizable value of the related product. The amount by which the unamortized capitalized software development costs exceed the net realizable value of the related product is written off. The net realizable value is the estimated future gross revenues attributable to each product reduced by its estimated future completion and disposal costs. Any remaining amount of capitalized software development costs that have been written down are considered to be the cost for subsequent accounting purposes, and the amount of the write-down is not subsequently restored.</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of net realizable value we use to test for impairment losses on capitalized software development costs. However, if actual results are not consistent with our estimates and assumptions we may be exposed to impairment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0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 On December 31, 2011, we had goodwill of $30.8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evaluate whether goodwill is impaired,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amount of a reporting unit exceeds its fair value, the amount of the impairment loss must be measured.</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impairment loss would be calculated by comparing the implied fair value of goodwill to its carrying amount. In calculating the implied fair value of the reporting unit’s goodwill, the fair value of the reporting unit is allocated to all of the other assets and liabilities of that unit based on their fair values. The excess of the reporting unit’s fair value over the amount assigned to its other assets and liabilities is the implied fair value of goodwill. An impairment loss would be recognized when the carrying amount of goodwill exceeds its implied fair value.</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Determining the fair value of a reporting unit or an indefinite-lived purchased intangible asset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 assumptions we believe to be reasonable but that are unpredictable and inherently uncertain. Actual future results may differ from those estimates.</w:t>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not made any material changes in our impairment loss assessment methodology during the past three fiscal years. We continue to estimate the fair value of our reporting unit to be in excess of its carrying value, and therefore have not recorded any impairment. The amount by which the fair value of our reporting unit exceeded its book value utilizing the income and market approaches ranged from 41 percent to 50 percent and therefore we concluded our goodwill was not impaired at December 31, 2011. We do not believe there is a reasonable likelihood that there will be a material change in the future estimates or assumptions we use to test for impairment losses on goodwill. However, if actual results are not consistent with our estimates and assumptions we may be exposed to material impairment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in the third and fourth quarters of the subsequent year for U.S. federal and state provisions, respectively.</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18"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We are subject to income taxes in the United States and foreign countries, and we are subject to routine corporate income tax audits in many of these jurisdictions.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tax return positions are fully supported, but tax authorities are likely to challenge certain positions, which may not be fully sustained.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our income tax</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14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have recorded a liability for uncertain tax positions of $5.6 million at December 31, 2011. We believe that our reserve for uncertain tax positions, including related interest and penalties, is adequate. Our reserve for uncertain tax positions is primarily attributable to uncertainties concerning the tax treatment of our international operations, including the allocation of income among different jurisdictions, and any related interest.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years ended December 31, 2011, 2010 and 2009 is the following:</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4,229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4,459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3,845</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4,511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4,966</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4,312</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Selling, general and administrative expense includes pre-tax stock-based compensation related to restricted stock awards granted to outside directors of $0.6 million, $0.6 million and $0.5 million for the years ended December 31, 2011, 2010 and 2009, respectively. We issue restricted stock awards to the outside directors for services performed. Compensation expense for these restricted stock awards is recognized on a straight-line basis over the requisite service period of one year.</w:t>
      </w:r>
    </w:p>
    <w:p>
      <w:pPr>
        <w:spacing w:after="0" w:line="143"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Selling, general and administrative expense includes pre-tax stock-based compensation related to stock option awards granted to outside directors of $0.1 million, $0.3 million and $0.3 million for the years ended December 31, 2011, 2010 and 2009, respectively. We issue stock option awards to the outside directors for services performed. Compensation expense for these stock option awards is recognized on a straight-line basis over the requisite service period of three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Grants</w:t>
      </w:r>
    </w:p>
    <w:p>
      <w:pPr>
        <w:spacing w:after="0" w:line="90"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During the year ended December 31, 2011, the Compensation Committee and Board of Directors granted 107,600 stock options to our employees with an aggregate grant date fair value of $1.5 million under various stock incentive plans. The stock options granted to employees during 2011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gridSpan w:val="2"/>
          </w:tcPr>
          <w:p>
            <w:pPr>
              <w:spacing w:after="0"/>
              <w:rPr>
                <w:sz w:val="20"/>
                <w:szCs w:val="20"/>
                <w:color w:val="auto"/>
              </w:rPr>
            </w:pPr>
            <w:r>
              <w:rPr>
                <w:rFonts w:ascii="Arial" w:cs="Arial" w:eastAsia="Arial" w:hAnsi="Arial"/>
                <w:sz w:val="14"/>
                <w:szCs w:val="14"/>
                <w:color w:val="auto"/>
              </w:rPr>
              <w:t>(in thousands, except share amounts)</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7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Grant</w:t>
            </w:r>
          </w:p>
        </w:tc>
        <w:tc>
          <w:tcPr>
            <w:tcW w:w="1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160" w:type="dxa"/>
            <w:vAlign w:val="bottom"/>
            <w:gridSpan w:val="2"/>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4600" w:type="dxa"/>
            <w:vAlign w:val="bottom"/>
          </w:tcPr>
          <w:p>
            <w:pPr>
              <w:ind w:left="1840"/>
              <w:spacing w:after="0" w:line="129" w:lineRule="exact"/>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26,2011</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4</w:t>
            </w:r>
          </w:p>
        </w:tc>
        <w:tc>
          <w:tcPr>
            <w:tcW w:w="46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April 6, 2011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92,600</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1,286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3</w:t>
            </w:r>
          </w:p>
        </w:tc>
        <w:tc>
          <w:tcPr>
            <w:tcW w:w="4600" w:type="dxa"/>
            <w:vAlign w:val="bottom"/>
          </w:tcPr>
          <w:p>
            <w:pPr>
              <w:ind w:left="40"/>
              <w:spacing w:after="0"/>
              <w:rPr>
                <w:sz w:val="20"/>
                <w:szCs w:val="20"/>
                <w:color w:val="auto"/>
              </w:rPr>
            </w:pPr>
            <w:r>
              <w:rPr>
                <w:rFonts w:ascii="Arial" w:cs="Arial" w:eastAsia="Arial" w:hAnsi="Arial"/>
                <w:sz w:val="18"/>
                <w:szCs w:val="18"/>
                <w:color w:val="auto"/>
              </w:rPr>
              <w:t>-Year Vesting Period (8.33% each quarter)</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1,478</w:t>
            </w:r>
          </w:p>
        </w:tc>
        <w:tc>
          <w:tcPr>
            <w:tcW w:w="1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00"/>
        <w:spacing w:after="0" w:line="440" w:lineRule="auto"/>
        <w:rPr>
          <w:sz w:val="20"/>
          <w:szCs w:val="20"/>
          <w:color w:val="auto"/>
        </w:rPr>
      </w:pPr>
      <w:r>
        <w:rPr>
          <w:rFonts w:ascii="Arial" w:cs="Arial" w:eastAsia="Arial" w:hAnsi="Arial"/>
          <w:sz w:val="18"/>
          <w:szCs w:val="18"/>
          <w:color w:val="auto"/>
        </w:rPr>
        <w:t>During the year ended December 31, 2011, we recognized $0.3 million of pre-tax stock-based compensation expense related to our 2011 stock option grants. 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December 31, 2011, there was $2.2 million of unrecognized pre-tax stock-based compensation expense related to non-vested stock options which we expect to recognize over a weighted-average period of 2.0 years.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During the annual review cycle for 2011, the Compensation Committee granted our Named Executives 148,200 stock options. The options were granted as part of long-term incentive compensation to assist us in meeting our performance and retention objectives. The grant, dated February 8, 2012, is subject to a three-year vesting period (8.33% each quarter). The total grant date fair value of these awards was $1.4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Grants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year ended December 31, 2011, the Compensation Committee and Board of Directors granted 146,440 restricted stock awards under various stock incentive plans to our employees with an aggregate grant date fair value of $3.8 million. The restricted stock awards granted to employees during 2011 consisted of the following:</w:t>
      </w:r>
    </w:p>
    <w:p>
      <w:pPr>
        <w:sectPr>
          <w:pgSz w:w="11900" w:h="16838" w:orient="portrait"/>
          <w:cols w:equalWidth="0" w:num="1">
            <w:col w:w="11420"/>
          </w:cols>
          <w:pgMar w:left="240" w:top="459"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color w:val="auto"/>
        </w:rPr>
        <w:t>(in thousands, except share amounts)</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3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6,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15,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10, 2011</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2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200" w:type="dxa"/>
            <w:vAlign w:val="bottom"/>
          </w:tcPr>
          <w:p>
            <w:pPr>
              <w:spacing w:after="0"/>
              <w:rPr>
                <w:sz w:val="12"/>
                <w:szCs w:val="12"/>
                <w:color w:val="auto"/>
              </w:rPr>
            </w:pPr>
          </w:p>
        </w:tc>
        <w:tc>
          <w:tcPr>
            <w:tcW w:w="4720" w:type="dxa"/>
            <w:vAlign w:val="bottom"/>
            <w:vMerge w:val="restart"/>
          </w:tcPr>
          <w:p>
            <w:pPr>
              <w:jc w:val="right"/>
              <w:ind w:right="1862"/>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61"/>
        </w:trPr>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Granted</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43,900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$1,284</w:t>
            </w:r>
          </w:p>
        </w:tc>
        <w:tc>
          <w:tcPr>
            <w:tcW w:w="200" w:type="dxa"/>
            <w:vAlign w:val="bottom"/>
          </w:tcPr>
          <w:p>
            <w:pPr>
              <w:spacing w:after="0"/>
              <w:rPr>
                <w:sz w:val="17"/>
                <w:szCs w:val="17"/>
                <w:color w:val="auto"/>
              </w:rPr>
            </w:pPr>
          </w:p>
        </w:tc>
        <w:tc>
          <w:tcPr>
            <w:tcW w:w="4720" w:type="dxa"/>
            <w:vAlign w:val="bottom"/>
            <w:tcBorders>
              <w:top w:val="single" w:sz="8" w:color="auto"/>
            </w:tcBorders>
          </w:tcPr>
          <w:p>
            <w:pPr>
              <w:jc w:val="right"/>
              <w:ind w:right="1522"/>
              <w:spacing w:after="0" w:line="201" w:lineRule="exact"/>
              <w:rPr>
                <w:sz w:val="20"/>
                <w:szCs w:val="20"/>
                <w:color w:val="auto"/>
              </w:rPr>
            </w:pPr>
            <w:r>
              <w:rPr>
                <w:rFonts w:ascii="Arial" w:cs="Arial" w:eastAsia="Arial" w:hAnsi="Arial"/>
                <w:sz w:val="18"/>
                <w:szCs w:val="18"/>
                <w:color w:val="auto"/>
                <w:w w:val="87"/>
              </w:rPr>
              <w:t>3 -Year Vesting Period (8.33% each quarter)</w:t>
            </w:r>
          </w:p>
        </w:tc>
        <w:tc>
          <w:tcPr>
            <w:tcW w:w="0" w:type="dxa"/>
            <w:vAlign w:val="bottom"/>
          </w:tcPr>
          <w:p>
            <w:pPr>
              <w:spacing w:after="0"/>
              <w:rPr>
                <w:sz w:val="1"/>
                <w:szCs w:val="1"/>
                <w:color w:val="auto"/>
              </w:rPr>
            </w:pPr>
          </w:p>
        </w:tc>
      </w:tr>
      <w:tr>
        <w:trPr>
          <w:trHeight w:val="216"/>
        </w:trPr>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100,000</w:t>
            </w:r>
          </w:p>
        </w:tc>
        <w:tc>
          <w:tcPr>
            <w:tcW w:w="180" w:type="dxa"/>
            <w:vAlign w:val="bottom"/>
          </w:tcPr>
          <w:p>
            <w:pPr>
              <w:spacing w:after="0"/>
              <w:rPr>
                <w:sz w:val="18"/>
                <w:szCs w:val="18"/>
                <w:color w:val="auto"/>
              </w:rPr>
            </w:pPr>
          </w:p>
        </w:tc>
        <w:tc>
          <w:tcPr>
            <w:tcW w:w="5420" w:type="dxa"/>
            <w:vAlign w:val="bottom"/>
            <w:gridSpan w:val="3"/>
          </w:tcPr>
          <w:p>
            <w:pPr>
              <w:jc w:val="right"/>
              <w:ind w:right="1522"/>
              <w:spacing w:after="0"/>
              <w:rPr>
                <w:sz w:val="20"/>
                <w:szCs w:val="20"/>
                <w:color w:val="auto"/>
              </w:rPr>
            </w:pPr>
            <w:r>
              <w:rPr>
                <w:rFonts w:ascii="Arial" w:cs="Arial" w:eastAsia="Arial" w:hAnsi="Arial"/>
                <w:sz w:val="18"/>
                <w:szCs w:val="18"/>
                <w:color w:val="auto"/>
                <w:w w:val="91"/>
              </w:rPr>
              <w:t>2,454   3 -Year Vesting Period (8.33% each quarter)</w:t>
            </w:r>
          </w:p>
        </w:tc>
        <w:tc>
          <w:tcPr>
            <w:tcW w:w="0" w:type="dxa"/>
            <w:vAlign w:val="bottom"/>
          </w:tcPr>
          <w:p>
            <w:pPr>
              <w:spacing w:after="0"/>
              <w:rPr>
                <w:sz w:val="1"/>
                <w:szCs w:val="1"/>
                <w:color w:val="auto"/>
              </w:rPr>
            </w:pPr>
          </w:p>
        </w:tc>
      </w:tr>
      <w:tr>
        <w:trPr>
          <w:trHeight w:val="223"/>
        </w:trPr>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2,540</w:t>
            </w:r>
          </w:p>
        </w:tc>
        <w:tc>
          <w:tcPr>
            <w:tcW w:w="180" w:type="dxa"/>
            <w:vAlign w:val="bottom"/>
          </w:tcPr>
          <w:p>
            <w:pPr>
              <w:spacing w:after="0"/>
              <w:rPr>
                <w:sz w:val="19"/>
                <w:szCs w:val="19"/>
                <w:color w:val="auto"/>
              </w:rPr>
            </w:pPr>
          </w:p>
        </w:tc>
        <w:tc>
          <w:tcPr>
            <w:tcW w:w="5420" w:type="dxa"/>
            <w:vAlign w:val="bottom"/>
            <w:gridSpan w:val="3"/>
          </w:tcPr>
          <w:p>
            <w:pPr>
              <w:jc w:val="right"/>
              <w:ind w:right="1522"/>
              <w:spacing w:after="0"/>
              <w:rPr>
                <w:sz w:val="20"/>
                <w:szCs w:val="20"/>
                <w:color w:val="auto"/>
              </w:rPr>
            </w:pPr>
            <w:r>
              <w:rPr>
                <w:rFonts w:ascii="Arial" w:cs="Arial" w:eastAsia="Arial" w:hAnsi="Arial"/>
                <w:sz w:val="18"/>
                <w:szCs w:val="18"/>
                <w:color w:val="auto"/>
                <w:w w:val="97"/>
              </w:rPr>
              <w:t>45   3 -Year Vesting Period (8.33% each quarter)</w:t>
            </w:r>
          </w:p>
        </w:tc>
        <w:tc>
          <w:tcPr>
            <w:tcW w:w="0" w:type="dxa"/>
            <w:vAlign w:val="bottom"/>
          </w:tcPr>
          <w:p>
            <w:pPr>
              <w:spacing w:after="0"/>
              <w:rPr>
                <w:sz w:val="1"/>
                <w:szCs w:val="1"/>
                <w:color w:val="auto"/>
              </w:rPr>
            </w:pPr>
          </w:p>
        </w:tc>
      </w:tr>
      <w:tr>
        <w:trPr>
          <w:trHeight w:val="223"/>
        </w:trPr>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146,440</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3,783</w:t>
            </w:r>
          </w:p>
        </w:tc>
        <w:tc>
          <w:tcPr>
            <w:tcW w:w="2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-599440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-316865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4440" w:space="720"/>
            <w:col w:w="6260"/>
          </w:cols>
          <w:pgMar w:left="240" w:top="459" w:right="239" w:bottom="1440" w:gutter="0" w:footer="0" w:header="0"/>
          <w:type w:val="continuous"/>
        </w:sectPr>
      </w:pPr>
    </w:p>
    <w:p>
      <w:pPr>
        <w:ind w:right="20"/>
        <w:spacing w:after="0" w:line="332" w:lineRule="auto"/>
        <w:rPr>
          <w:sz w:val="20"/>
          <w:szCs w:val="20"/>
          <w:color w:val="auto"/>
        </w:rPr>
      </w:pPr>
      <w:r>
        <w:rPr>
          <w:rFonts w:ascii="Arial" w:cs="Arial" w:eastAsia="Arial" w:hAnsi="Arial"/>
          <w:sz w:val="16"/>
          <w:szCs w:val="16"/>
          <w:color w:val="auto"/>
        </w:rPr>
        <w:t>In addition to the grants to employees, 30,000 shares of restricted stock with a grant date fair value of $0.8 million were granted to our outside directors on July 1, 2011 as a part of their annual compensation package. These shares are subject to a one-year vesting period (25% each quarter).</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2011, we recognized $1.1 million of pre-tax stock-based compensation expense related to our 2011 restricted stock grants.</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December 31, 2011, there was $4.3 million of unrecognized pre-tax stock-based compensation expense related to non-vested restricted stock awards which we expect to recognize over a weighted-average period of 2.1 years.</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annual review cycle for 2011, the Compensation Committee granted our Named Executives 71,300 restricted stock awards. The awards were granted as part of long-term incentive compensation to assist us in meeting our performance and retention objectives. The grant, dated February 8, 2012, is subject to a three-year vesting period (8.33% each quarter). The total grant date fair value of these awards was $1.4 million.</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the expected life and forfeiture rate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may be materially different in the future.</w:t>
      </w:r>
    </w:p>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do not believe it is reasonably likely that there will be a material change in the future estimates or assumptions used to determine stock-based compensation expense. However, if actual results are not consistent with our estimates and assumptions we may be exposed to material stock-based compensation expense. Refer to “ITEM 8. FINANCIAL STATEMENTS AND SUPPLEMENTARY DATA — Notes to Consolidated Financial Statements — Note 16” for additional disclosure regarding stock-based compensation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468,630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331,780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317,550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338,569</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227,931</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215,938</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130,061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103,849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101,612</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12,267</w:t>
            </w:r>
          </w:p>
        </w:tc>
        <w:tc>
          <w:tcPr>
            <w:tcW w:w="3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10,709</w:t>
            </w:r>
          </w:p>
        </w:tc>
        <w:tc>
          <w:tcPr>
            <w:tcW w:w="3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8,691</w:t>
            </w:r>
          </w:p>
        </w:tc>
        <w:tc>
          <w:tcPr>
            <w:tcW w:w="3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91,218</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71,839</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70,974</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26,576</w:t>
            </w:r>
          </w:p>
        </w:tc>
        <w:tc>
          <w:tcPr>
            <w:tcW w:w="3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21,301</w:t>
            </w:r>
          </w:p>
        </w:tc>
        <w:tc>
          <w:tcPr>
            <w:tcW w:w="3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21,947</w:t>
            </w:r>
          </w:p>
        </w:tc>
        <w:tc>
          <w:tcPr>
            <w:tcW w:w="3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(1,075)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w:t>
            </w:r>
          </w:p>
        </w:tc>
        <w:tc>
          <w:tcPr>
            <w:tcW w:w="3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(241)</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21,858</w:t>
            </w: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The comparability of information between 2011 and prior years is affected by the acquisition of Enson during the fourth quarter of 2010. See “ITEM 7. MANAGEMENT’S DISCUSSION AND ANALYSIS OF FINANCIAL CONDITION AND RESULTS OF OPERATIONS” and “ITEM 8. FINANCIAL STATEMENTS AND SUPPLEMENTARY DATA — Notes to Consolidated Financial Statements — Note 21” for further information.</w:t>
      </w:r>
    </w:p>
    <w:p>
      <w:pPr>
        <w:spacing w:after="0" w:line="182" w:lineRule="exact"/>
        <w:rPr>
          <w:sz w:val="20"/>
          <w:szCs w:val="20"/>
          <w:color w:val="auto"/>
        </w:rPr>
      </w:pPr>
    </w:p>
    <w:p>
      <w:pPr>
        <w:ind w:right="5660"/>
        <w:spacing w:after="0" w:line="347" w:lineRule="auto"/>
        <w:rPr>
          <w:sz w:val="20"/>
          <w:szCs w:val="20"/>
          <w:color w:val="auto"/>
        </w:rPr>
      </w:pPr>
      <w:r>
        <w:rPr>
          <w:rFonts w:ascii="Arial" w:cs="Arial" w:eastAsia="Arial" w:hAnsi="Arial"/>
          <w:sz w:val="18"/>
          <w:szCs w:val="18"/>
          <w:b w:val="1"/>
          <w:bCs w:val="1"/>
          <w:color w:val="auto"/>
        </w:rPr>
        <w:t xml:space="preserve">Year Ended December 31, 2011 Compared to Year Ended December 31, 2010 </w:t>
      </w:r>
      <w:r>
        <w:rPr>
          <w:rFonts w:ascii="Arial" w:cs="Arial" w:eastAsia="Arial" w:hAnsi="Arial"/>
          <w:sz w:val="18"/>
          <w:szCs w:val="18"/>
          <w:i w:val="1"/>
          <w:iCs w:val="1"/>
          <w:color w:val="auto"/>
        </w:rPr>
        <w:t>Consolidated</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sales for the year ended December 31, 2011 were $468.6 million, an increase of 41.2% compared to $331.8 million for the same period last year. Net income for 2011 was $19.9 million or $1.31 per diluted share compared to $15.1 million or $1.07 per diluted share for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6"/>
              </w:rPr>
              <w:t>(millions)</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(millions)</w:t>
            </w:r>
          </w:p>
        </w:tc>
        <w:tc>
          <w:tcPr>
            <w:tcW w:w="48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421.4</w:t>
            </w:r>
          </w:p>
        </w:tc>
        <w:tc>
          <w:tcPr>
            <w:tcW w:w="5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89.9%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282.9</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468.6</w:t>
            </w:r>
          </w:p>
        </w:tc>
        <w:tc>
          <w:tcPr>
            <w:tcW w:w="5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331.8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Net sales in our Business lines </w:t>
      </w:r>
      <w:r>
        <w:rPr>
          <w:rFonts w:ascii="Arial" w:cs="Arial" w:eastAsia="Arial" w:hAnsi="Arial"/>
          <w:sz w:val="18"/>
          <w:szCs w:val="18"/>
          <w:color w:val="auto"/>
        </w:rPr>
        <w:t>(subscription broadcasting, OEM, and computing companies) were approximately 90% of net sales for 2011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85% for 2010. Net sales in our business lines for 2011 increased by approximately 49% to $421.4 million from $282.9 million for 2010. This increase in net sales resulted primarily from the November 2010 acquisition of Enson, which added several significant customers and contributed $150.1 million of net sales to the business category during 2011 compared to $25.0 million during 2010. Excluding the net sales from Enson, Business category sales increased by $13.4 million. This is primarily due to the increase of sales to the Latin America subscription broadcasting market and the acquisition of new domestic customers in our business category during 2011.</w:t>
      </w:r>
    </w:p>
    <w:p>
      <w:pPr>
        <w:spacing w:after="0" w:line="14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Net sales in our Consumer lines </w:t>
      </w:r>
      <w:r>
        <w:rPr>
          <w:rFonts w:ascii="Arial" w:cs="Arial" w:eastAsia="Arial" w:hAnsi="Arial"/>
          <w:sz w:val="16"/>
          <w:szCs w:val="16"/>
          <w:color w:val="auto"/>
        </w:rPr>
        <w:t>(</w:t>
      </w:r>
      <w:r>
        <w:rPr>
          <w:rFonts w:ascii="Arial" w:cs="Arial" w:eastAsia="Arial" w:hAnsi="Arial"/>
          <w:sz w:val="16"/>
          <w:szCs w:val="16"/>
          <w:i w:val="1"/>
          <w:iCs w:val="1"/>
          <w:color w:val="auto"/>
        </w:rPr>
        <w:t>One For All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retail, private label, custom installers, and direct import) were approximately 10% of net sales for 2011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approximately 15% for 2011. Net sales in our Consumer lines for 2011 decreased by 4% to $47.2 million from $48.9 million for 2010. Net sales in North American retail decreased by $1.7 million, or 35%, from $4.8 million for 2010 to $3.1 million for 2011. In addition, our custom installer sales decreased by $2.2 million, from $2.9 million for 2010 to $0.7 million for 2011. Partially offsetting these decreases was a $2.1 million increase in international retail sales, from $41.2 million for 2010 to $43.3 million for 2011. The 2011 net sales in our Consumer lines were positively impacted by the strengthening of the Euro and the British Pound compared to the U.S. dollar, which resulted in an increase in net sales of approximately $1.3 million. Net of the favorable currency effect, international retail sales increased by $0.8 million due primarily to the analog to digital transition that took place in some European countries.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for 2011 was $130.1 million compared to $103.8 million for 2010. Gross profit as a percent of sales decreased to 27.8% in 2011 from 31.3% in 2010,</w:t>
      </w:r>
      <w:r>
        <w:rPr>
          <w:rFonts w:ascii="Arial" w:cs="Arial" w:eastAsia="Arial" w:hAnsi="Arial"/>
          <w:sz w:val="16"/>
          <w:szCs w:val="16"/>
          <w:i w:val="1"/>
          <w:iCs w:val="1"/>
          <w:color w:val="auto"/>
        </w:rPr>
        <w:t xml:space="preserve"> </w:t>
      </w:r>
      <w:r>
        <w:rPr>
          <w:rFonts w:ascii="Arial" w:cs="Arial" w:eastAsia="Arial" w:hAnsi="Arial"/>
          <w:sz w:val="16"/>
          <w:szCs w:val="16"/>
          <w:color w:val="auto"/>
        </w:rPr>
        <w:t>due primarily to our sales mix, as a higher percentage of our total sales was comprised of our lower margin Business category. This shift in sales composition was expected as a result of our acquisition of Enson, which sells exclusively within the Business category. In addition, during 2011, customers gravitated more towards our lower margin products which put downward pressure on our gross margin percentage.</w:t>
      </w:r>
    </w:p>
    <w:p>
      <w:pPr>
        <w:spacing w:after="0" w:line="113"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increased 15% to $12.3 million in 2011 from $10.7 million in 2010. The increase is primarily due to additional labor</w:t>
      </w:r>
      <w:r>
        <w:rPr>
          <w:rFonts w:ascii="Arial" w:cs="Arial" w:eastAsia="Arial" w:hAnsi="Arial"/>
          <w:sz w:val="16"/>
          <w:szCs w:val="16"/>
          <w:i w:val="1"/>
          <w:iCs w:val="1"/>
          <w:color w:val="auto"/>
        </w:rPr>
        <w:t xml:space="preserve"> </w:t>
      </w:r>
      <w:r>
        <w:rPr>
          <w:rFonts w:ascii="Arial" w:cs="Arial" w:eastAsia="Arial" w:hAnsi="Arial"/>
          <w:sz w:val="16"/>
          <w:szCs w:val="16"/>
          <w:color w:val="auto"/>
        </w:rPr>
        <w:t>dedicated to general research &amp; development activities in an effort to continue to develop new technologies and products.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(“SG&amp;A”) expenses increased 27% to $91.2 million in 2011 from $71.8 million in 2010. The strengthening of the Euro</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U.S. dollar resulted in an increase of $1.2 million. Excluding the currency effect, SG&amp;A expenses increased by $18.2 million, primarily due to an increase of $17.2 million of operating expenses from Enson, which included an increase of $2.1 million of intangibles’ amortization expense during 2011. In addition, total wages increased by $0.9 million and our newly established operating entity in Brazil increased operating expenses by $1.8 million. Partially offsetting these increases was a reduction in bonus expense of $1.8 million.</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Net interest </w:t>
      </w:r>
      <w:r>
        <w:rPr>
          <w:rFonts w:ascii="Arial" w:cs="Arial" w:eastAsia="Arial" w:hAnsi="Arial"/>
          <w:sz w:val="18"/>
          <w:szCs w:val="18"/>
          <w:color w:val="auto"/>
        </w:rPr>
        <w:t>was $270 thousand of expense in 2011 compared to $34 thousand of income in 2010. The increase in interest expense is due to the drawing 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line of credit during 2011.</w:t>
      </w:r>
    </w:p>
    <w:p>
      <w:pPr>
        <w:spacing w:after="0" w:line="132"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was $5.3 million in 2011 compared to $6.8 million in 2010. Our effective tax rate was 21.0% in 2011 compared to 31.0% in 2010.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our effective tax rate was due primarily to a higher percentage of income earned in lower tax rate jurisdictions, the statute of limitations expiring during 2011 on certain tax positions recorded in the United States, and lower interest expense resulting from fewer uncertain tax positions.</w:t>
      </w:r>
    </w:p>
    <w:p>
      <w:pPr>
        <w:spacing w:after="0" w:line="182" w:lineRule="exact"/>
        <w:rPr>
          <w:sz w:val="20"/>
          <w:szCs w:val="20"/>
          <w:color w:val="auto"/>
        </w:rPr>
      </w:pPr>
    </w:p>
    <w:p>
      <w:pPr>
        <w:ind w:right="5660"/>
        <w:spacing w:after="0" w:line="347" w:lineRule="auto"/>
        <w:rPr>
          <w:sz w:val="20"/>
          <w:szCs w:val="20"/>
          <w:color w:val="auto"/>
        </w:rPr>
      </w:pPr>
      <w:r>
        <w:rPr>
          <w:rFonts w:ascii="Arial" w:cs="Arial" w:eastAsia="Arial" w:hAnsi="Arial"/>
          <w:sz w:val="18"/>
          <w:szCs w:val="18"/>
          <w:b w:val="1"/>
          <w:bCs w:val="1"/>
          <w:color w:val="auto"/>
        </w:rPr>
        <w:t xml:space="preserve">Year Ended December 31, 2010 Compared to Year Ended December 31, 2009 </w:t>
      </w:r>
      <w:r>
        <w:rPr>
          <w:rFonts w:ascii="Arial" w:cs="Arial" w:eastAsia="Arial" w:hAnsi="Arial"/>
          <w:sz w:val="18"/>
          <w:szCs w:val="18"/>
          <w:i w:val="1"/>
          <w:iCs w:val="1"/>
          <w:color w:val="auto"/>
        </w:rPr>
        <w:t>Consolidated</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sales for the year ended December 31, 2010 were $331.8 million, an increase of 4% compared to $317.6 million for the same period last year. Net income for 2010 was $15.1 million or $1.07 per diluted share compared to $14.7 million or $1.05 per diluted share for 2009.</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2009</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6"/>
              </w:rPr>
              <w:t>(millions)</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(millions)</w:t>
            </w:r>
          </w:p>
        </w:tc>
        <w:tc>
          <w:tcPr>
            <w:tcW w:w="48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282.9</w:t>
            </w:r>
          </w:p>
        </w:tc>
        <w:tc>
          <w:tcPr>
            <w:tcW w:w="5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85.3%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262.5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331.8</w:t>
            </w:r>
          </w:p>
        </w:tc>
        <w:tc>
          <w:tcPr>
            <w:tcW w:w="5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317.6</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85% of net sales for 2010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83% for 2009. Net sales in our business lines for 2010 increased by approximately 8% to $282.9 million from $262.5 million in 2009. This increase in net sales resulted primarily from the November 2010 acquisition of Enson, which added several significant customers and contributed $25.0 million in sales in 2010. Excluding the net sales which resulted from the acquisition of Enson, the business category decreased by $4.6 million. This was the result of a significant customer returning to a more traditional dual source arrangement during the first quarter of 2010 after purchasing the majority of its remotes from us during 2009. We were able to partially offset this loss by acquiring new customers both domestically and internationally.</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Net sales in our Consumer lines </w:t>
      </w:r>
      <w:r>
        <w:rPr>
          <w:rFonts w:ascii="Arial" w:cs="Arial" w:eastAsia="Arial" w:hAnsi="Arial"/>
          <w:sz w:val="16"/>
          <w:szCs w:val="16"/>
          <w:color w:val="auto"/>
        </w:rPr>
        <w:t>(</w:t>
      </w:r>
      <w:r>
        <w:rPr>
          <w:rFonts w:ascii="Arial" w:cs="Arial" w:eastAsia="Arial" w:hAnsi="Arial"/>
          <w:sz w:val="16"/>
          <w:szCs w:val="16"/>
          <w:i w:val="1"/>
          <w:iCs w:val="1"/>
          <w:color w:val="auto"/>
        </w:rPr>
        <w:t>One For All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retail, private label, custom installers, and direct import) were approximately 15% of net sales for 2010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approximately 17% for 2009. Net sales in our Consumer lines for 2010 decreased by 11% to $48.9 million from $55.1 million in 2009. Net sales in North American retail decreased by $4.0 million, or 46%, from $8.8 million in 2009 to $4.8 million in 2010. In addition, our custom installer sales decreased by $3.3 million, from $6.2 million in 2009 to $2.9 million in 2010. Partially offsetting these decreases was a $1.1 million increase in international retail sales, from $40.1 million in 2009 to $41.2 million in 2010. The 2010 net sales in our Consumer lines were negatively impacted by the weakening of the Euro and the British Pound compared to the U.S. dollar, which resulted in a decrease in net sales of approximately $1.4 million. Net of the unfavorable currency effect, international retail sales increased by $2.5 million due primarily to the analog to digital transition that took place in some European countries.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2010 was $103.8 million compared to $101.6 million for 2009. Gross profit as a percent of sales decreased to 31.3% in 2010 from 32.0% in 2009,</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the following:</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fair value adjustment made to inventory and fixed assets acquired in the Enson acquisition resulted in a decrease of 0.5% in the gross margin rate;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freight expense caused a decrease of 0.4% in the gross margin rate;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mix, as a higher percentage of our total sales was comprised of our lower margin Business category, resulted in a decrease of 0.3% in the gross margin rate;</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caused a decrease of 0.2% in the gross margin rate, driven by the weakening of the Euro and British Pound as compared to the U.S. dollar;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inventory scrap expense, resulting from a lower return rate, improved the gross margin rate by 0.4%;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sub-contract labor, resulting primarily from less rework, caused an increase of 0.3% in the gross margin.</w:t>
      </w:r>
    </w:p>
    <w:p>
      <w:pPr>
        <w:spacing w:after="0" w:line="171"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increased 23% from $8.7 million in 2009 to $10.7 million in 2010. The increase is primarily due to additional labor</w:t>
      </w:r>
      <w:r>
        <w:rPr>
          <w:rFonts w:ascii="Arial" w:cs="Arial" w:eastAsia="Arial" w:hAnsi="Arial"/>
          <w:sz w:val="16"/>
          <w:szCs w:val="16"/>
          <w:i w:val="1"/>
          <w:iCs w:val="1"/>
          <w:color w:val="auto"/>
        </w:rPr>
        <w:t xml:space="preserve"> </w:t>
      </w:r>
      <w:r>
        <w:rPr>
          <w:rFonts w:ascii="Arial" w:cs="Arial" w:eastAsia="Arial" w:hAnsi="Arial"/>
          <w:sz w:val="16"/>
          <w:szCs w:val="16"/>
          <w:color w:val="auto"/>
        </w:rPr>
        <w:t>dedicated to general research &amp; development activities in an effort to continue to develop new technologies and products.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increased 1% from $71.0 million in 2009 to $71.8 million in 2010. The weakening of the Euro compared to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dollar resulted in a decrease of $1.3 million; net of the currency effect, selling, general and administrative expenses increased by $2.1 million. This increase was driven primarily by an increase in employee bonus expense of $1.5 million. Additionally, travel expense increased $0.5 million; advertising expense increased by $0.4 million; and bad debt expense increased $0.4 million. Partially offsetting these increases was a decline in commission expense of $0.8 million, resulting from certain sales personnel not meeting or exceeding their sales targets during 2010.</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interest income </w:t>
      </w:r>
      <w:r>
        <w:rPr>
          <w:rFonts w:ascii="Arial" w:cs="Arial" w:eastAsia="Arial" w:hAnsi="Arial"/>
          <w:sz w:val="16"/>
          <w:szCs w:val="16"/>
          <w:color w:val="auto"/>
        </w:rPr>
        <w:t>was $34 thousand in 2010 compared to $0.5 million for 2009. The decrease in interest income is due to significantly lower interest rates.</w:t>
      </w:r>
    </w:p>
    <w:p>
      <w:pPr>
        <w:spacing w:after="0" w:line="19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was $6.8 million in 2010 compared to $7.5 million in 2009. Our effective tax rate was 31.0% in 2010 compared to 33.8% in 2009.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our effective tax rate was due primarily to a higher percentage of income earned in lower tax rate jurisdictions, the statute of limitations expiring during 2010 on certain tax positions recorded in the United States, and lower interest expense resulting from fewer uncertain tax positions.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Sources and Uses of Cash</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9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Increase</w:t>
            </w:r>
          </w:p>
        </w:tc>
        <w:tc>
          <w:tcPr>
            <w:tcW w:w="18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02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0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(Decrease)</w:t>
            </w:r>
          </w:p>
        </w:tc>
        <w:tc>
          <w:tcPr>
            <w:tcW w:w="88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3"/>
              </w:rPr>
              <w:t>(Decrease)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6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14,800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7"/>
              </w:rPr>
              <w:t>$ (23,339)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38,139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$ 14,152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23,987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Cash used for investing activities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(14,694)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20,149</w:t>
            </w:r>
          </w:p>
        </w:tc>
        <w:tc>
          <w:tcPr>
            <w:tcW w:w="220" w:type="dxa"/>
            <w:vAlign w:val="bottom"/>
          </w:tcPr>
          <w:p>
            <w:pPr>
              <w:spacing w:after="0"/>
              <w:rPr>
                <w:sz w:val="18"/>
                <w:szCs w:val="18"/>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(34,843)</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31,248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(66,091)</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for) provided by financing activities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(26,269)</w:t>
            </w:r>
          </w:p>
        </w:tc>
        <w:tc>
          <w:tcPr>
            <w:tcW w:w="11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(49,544)</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23,275</w:t>
            </w: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27,497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(4,222)</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1,286</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2,624</w:t>
            </w:r>
          </w:p>
        </w:tc>
        <w:tc>
          <w:tcPr>
            <w:tcW w:w="220" w:type="dxa"/>
            <w:vAlign w:val="bottom"/>
          </w:tcPr>
          <w:p>
            <w:pPr>
              <w:spacing w:after="0"/>
              <w:rPr>
                <w:sz w:val="19"/>
                <w:szCs w:val="19"/>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(1,338)</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332"/>
        </w:trPr>
        <w:tc>
          <w:tcPr>
            <w:tcW w:w="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Increase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186"/>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(Decrease)</w:t>
            </w:r>
          </w:p>
        </w:tc>
        <w:tc>
          <w:tcPr>
            <w:tcW w:w="10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29,372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(24,877)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54,249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Working capital</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84,761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19,158</w:t>
            </w:r>
          </w:p>
        </w:tc>
        <w:tc>
          <w:tcPr>
            <w:tcW w:w="22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65,603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decreased $23.3 million for the twelve months ended December 31, 2011 compared to the twelve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2010. Cash flows decreased by $25.5 million during 2011 due to increased inventories. In the second quarter of 2011, we altered our shipping terms with a significant customer that results in us holding title to inventories until the shipments are received by this particular customer. We also increased our investment in safety stock on certain products as a result of the timing of the Chinese New Year. In addition, cash inflows related to accounts receivable decreased $10.1 million, from $13.2 million for the twelve months ended December 31, 2010 to $3.1 million for the twelve months ended December 31, 2011 due primarily to net sales increasing from $102.5 million for the fourth quarter of 2010 to $117.6 million for the fourth quarter 2011. Partially offsetting these decreases to cash flow from operations was an increase to net income of $4.9 million and an increase in depreciation and amortization of $9.3 million. The increase in depreciation and amortization is a direct result of the acquisition of Enson Assets Limited.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in 2010 was $38.1 million compared to $24.0 million during 2009. The improvement in cash flow from operations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to 2010 is due primarily to the strong collection of receivables that were acquired in the acquisition of Enson Assets Limited. We acquired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$37.6 million of receivables from Enson Assets Limited on November 4, 2010; however, Enson’s receivable balance as of December 31, 2010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$26.0 million, reflecting cash inflows of approximately $11.6 million for the aforementioned two month period. Inventories increased from December 31, 2009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as a result of anticipated increased demand in 2011. In addition, our fourth quarter 2010 net sales were towards the lower end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expectations resulting in higher than expected inventories on December 31, 2010.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cash used for investing activities </w:t>
      </w:r>
      <w:r>
        <w:rPr>
          <w:rFonts w:ascii="Arial" w:cs="Arial" w:eastAsia="Arial" w:hAnsi="Arial"/>
          <w:sz w:val="16"/>
          <w:szCs w:val="16"/>
          <w:color w:val="auto"/>
        </w:rPr>
        <w:t>during 2011 was $14.7 million compared to $34.8 million and $66.1 million of net cash used during 2010 and 2009,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During 2011, cash used for investing consisted of our investments in property, plant, and equipment as well as internally developed patents.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our $49.2 million time deposit investment matured, which was initially entered into during 2009. The cash proceeds from the time deposit were used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Enson during 2010, which amounted to a $74.1 million cash outflow net of cash acquired. During 2009, we acquired intangible assets and goodwill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 million from Zilog. Please refer to “ITEM 8. FINANCIAL STATEMENTS AND SUPPLEMENTARY DATA — Notes to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Notes 7 and 21” for additional disclosure regarding our acquisition of Enson and purchase of goodwill and intangible assets from Zilog.</w:t>
      </w:r>
    </w:p>
    <w:p>
      <w:pPr>
        <w:spacing w:after="0" w:line="16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was $26.3 million during 2011 compared to net cash provided by financing activities of $23.3 million during 2010 and net</w:t>
      </w:r>
      <w:r>
        <w:rPr>
          <w:rFonts w:ascii="Arial" w:cs="Arial" w:eastAsia="Arial" w:hAnsi="Arial"/>
          <w:sz w:val="16"/>
          <w:szCs w:val="16"/>
          <w:i w:val="1"/>
          <w:iCs w:val="1"/>
          <w:color w:val="auto"/>
        </w:rPr>
        <w:t xml:space="preserve"> </w:t>
      </w:r>
      <w:r>
        <w:rPr>
          <w:rFonts w:ascii="Arial" w:cs="Arial" w:eastAsia="Arial" w:hAnsi="Arial"/>
          <w:sz w:val="16"/>
          <w:szCs w:val="16"/>
          <w:color w:val="auto"/>
        </w:rPr>
        <w:t>cash used for financing activities of 4.2 million during 2009. During 2011, we made debt payments totaling $22.8 million of the $41.0 million of debt we incurred during 2010 to fund the acquisition of Enson Assets Limited. We drew $4.2 million from our line of credit during the second half of 2011. Proceeds from stock option exercises were $1.7 million during 2011 compared to proceeds of $2.0 million and $3.3 million during 2010 and 2009, respectively. In addition, we purchased 456,964 shares of our common stock at a cost of $9.8 million during 2011, compared to 505,692 and 404,643 shares at a cost of $10.1 million and $7.7 million during 2010 and 2009, respectively.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February 11, 2010, our Board of Directors authorized management to continue repurchasing up to 1,000,000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2011, we have repurchased 930,090 shares of our common stock under this authorization, leaving 69,910 shares available for repurchase.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On October 26, 2011, our Board of Directors authorized management to repurchase an additional 1,000,000 shares of our issued and outstanding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shares under the Board authorization approved on October 26, 2011 as of December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and the effect these obligations are expected to have on our liquidity and cash flow in future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79"/>
              </w:rPr>
              <w:t>Less than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rPr>
              <w:t>1 - 3</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rPr>
              <w:t>4 - 5</w:t>
            </w:r>
          </w:p>
        </w:tc>
        <w:tc>
          <w:tcPr>
            <w:tcW w:w="30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years</w:t>
            </w:r>
          </w:p>
        </w:tc>
        <w:tc>
          <w:tcPr>
            <w:tcW w:w="10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7,452</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$ 2,366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3,311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1,696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55,926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14,400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Total contractual obligations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63,378</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$ 4,292</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17,711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41,296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Purchase obligations primarily include contractual payments to purchase tooling assets and inventory.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We believe our current cash balances and anticipated cash flow to be generated from operations will be sufficient to cover cash outlays expected during 2012.</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are able to supplement this near-term liquidity, if necessary, with credit line facilities made available to us. Our liquidity is subject to various risks including the market risks identified in the section entitled “Qualitative and Quantitative Disclosures about Market Risk” in Item 7A.</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On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$29,372</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$54,249</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Term deposit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49,246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35,000</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Available borrowing resources</w:t>
            </w:r>
          </w:p>
        </w:tc>
        <w:tc>
          <w:tcPr>
            <w:tcW w:w="580" w:type="dxa"/>
            <w:vAlign w:val="bottom"/>
          </w:tcPr>
          <w:p>
            <w:pPr>
              <w:jc w:val="right"/>
              <w:spacing w:after="0"/>
              <w:rPr>
                <w:sz w:val="20"/>
                <w:szCs w:val="20"/>
                <w:color w:val="auto"/>
              </w:rPr>
            </w:pPr>
            <w:r>
              <w:rPr>
                <w:rFonts w:ascii="Arial" w:cs="Arial" w:eastAsia="Arial" w:hAnsi="Arial"/>
                <w:sz w:val="18"/>
                <w:szCs w:val="18"/>
                <w:color w:val="auto"/>
              </w:rPr>
              <w:t>18,000</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33,766</w:t>
            </w:r>
          </w:p>
        </w:tc>
        <w:tc>
          <w:tcPr>
            <w:tcW w:w="5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On December 31, 2011, we had an outstanding balance of $14.4 million related to our U.S. Bank 1-year term loan facility. Our term loan, along with our line of credit and available cash, were utilized to finance the acquisition of Enson and to pay related transaction costs, fees, and expenses. Amounts paid or prepaid on the term loan may not be re-borrowed. The minimum principal payments for the term loan are $2.2 million each quarter, and began on January 5, 2011. On October 31, 2011, we extended the maturity date of this term loan to November 1, 2012.</w:t>
      </w:r>
    </w:p>
    <w:p>
      <w:pPr>
        <w:spacing w:after="0" w:line="113"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During 2011, the maximum balance on our line of credit was $2.2 million and the average principal outstanding was $0.6 million. We had a drawing of $2.2 million during September 2011. The interest rate was constant at 3.25% during the 23 calendar days the $2.2 million was outstanding. We paid the $2.2 million back during September 2011. We had a drawing of $2.0 million during October 2011 and paid it back during the first quarter of 2012. The average interest rate was 2.05% during the 87 calendar days the $2.0 million was outstanding. These drawings were utilized to supplement our cash flows from operations.</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U.S. Bank credit agreement is secured by sixty-five percent of Enson Assets Limited. Amounts available for borrowing are reduced by the balance of any outstanding import letters of credit and are subject to certain quarterly financial covenants related to our cash flow, fixed charges, quick ratio, and net income. On March 2, 2012, we entered into an amendment adjusting the quick ratio effective December 31, 2011. We were not in breach of our debt covenants on December 31,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Our working capital needs have typically been greatest during the third and fourth quarters when accounts receivable and inventories increase in connection with the fourth quarter holiday selling season. At December 31, 2011, we had $84.8 million of working capital compared to $65.6 million at December 31, 2010. The increase in working capital was a direct result of net income for the year ended December 31, 2011 of $19.9 million.</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December 31, 2011, we had approximately $4.1 million, $7.6 million, $16.5 million, $0.1 million, and $1.1 million of cash and cash equivalents in the United States, Europe, Asia, Cayman Islands and South America, respectively. We attempt to mitigate our exposure to liquidity, credit and other relevant risks by placing our cash and cash equivalents with financial institutions we believe are high quality.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regarding our credit facilities, see “ITEM 7A. QUANTITATIVE AND QUALITATIVE DISCLOSURES ABOUT MARKET RISK.”</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the cash generated from our operations and funds from our credit facilities will be sufficient to support our current business operations as well as anticipated growth at least through the end of 2012; however, there can be no assurance that such funds will be adequate for that purpose.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new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are exposed to interest rate risk related to our debt. We may withdraw either U.S. dollars or foreign currencies from our credit facilities. Our market risk exposures in connection with the debt are primarily U.S. dollar LIBOR-based floating interest. We estimate that if the 1-month LIBOR or the bank’s prime rate fluctuates 1% from December 31, 2011, interest expense in the first quarter of 2012 would be between approximately $34 thousand and $116 thousand.</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31, 2011, we had an outstanding balance of $14.4 million related to our U.S. Bank 1-year term loan facility. The term loan maturity date is November 1, 2012, after extending the term for an additional 12 months effective October 31, 2011. Under the U.S. Bank term loan, we may elect to pay interest based on the bank’s prime rate or LIBOR plus a fixed margin of 1.5%. The applicable LIBOR (1, 3, 6, or 12-month LIBOR) corresponds with the loan period we select. On December 31, 2011, the 1-month LIBOR plus the fixed margin was approximately 1.78%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31, 2011, we had an outstanding balance of $2.0 million related to our U.S. Bank secured revolving credit line. Under the U.S. Bank secured revolving credit line, we may elect to pay interest based on the bank’s prime rate or LIBOR plus a fixed margin of 1.8%. The applicable LIBOR (1, 3, 6, or 12-month LIBOR) corresponds with the loan period we select. At December 31, 2011, the 12-month LIBOR plus the fixed margin was 2.90%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U.S. Bank credit agreement is secured by sixty-five percent of Enson Assets Limited. Amounts available for borrowing are reduced by the balance of any outstanding import letters of credit and are subject to certain quarterly financial covenants related to our cash flow, fixed charges, quick ratio, and net income. On March 2, 2012, we entered into an amendment adjusting the quick ratio effective December 31, 2011. We were not in breach of our debt covenants on December 31, 2011.</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At December 31, 2011 we had wholly owned subsidiaries in the Argentina, Brazil, Cayman Islands, France, Germany, Hong Kong, India, Italy, the Netherlands, People’s Republic of China,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during 2011 were the Euro, British Pound, Chinese Yuan Renminbi, Indian Rupee, Singapore dollar, and Brazilian Real.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December 31, 2011, we believe that movements in foreign currency rates may have a material effect on our financial position. We estimate that if the exchange rates for the Euro, British Pound, Chinese Yuan Renminbi, Indian Rupee, and Singapore dollar, and the Brazilian Real relative to the U.S. dollar fluctuate 10% from December 31, 2011, net income and total cash flows in the first quarter of 2012 would fluctuate by approximately $2.6 million and $2.8 million,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7"/>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7"/>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Consolidated Balance Sheets on December 31, 2011 and 2010</w:t>
              </w:r>
            </w:hyperlink>
          </w:p>
        </w:tc>
        <w:tc>
          <w:tcPr>
            <w:tcW w:w="666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Consolidated Income Statements for the years ended December 31, 2011, 2010 and 2009</w:t>
              </w:r>
            </w:hyperlink>
          </w:p>
        </w:tc>
        <w:tc>
          <w:tcPr>
            <w:tcW w:w="47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Stockholders’ Equity for the years ended December 31, 2011, 2010 and 2009</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44">
              <w:r>
                <w:rPr>
                  <w:rFonts w:ascii="Arial" w:cs="Arial" w:eastAsia="Arial" w:hAnsi="Arial"/>
                  <w:sz w:val="18"/>
                  <w:szCs w:val="18"/>
                  <w:color w:val="0000EE"/>
                  <w:w w:val="86"/>
                </w:rPr>
                <w:t>Consolidated Statements of Cash Flows for the years ended December 31, 2011, 2010 and 2009</w:t>
              </w:r>
            </w:hyperlink>
          </w:p>
        </w:tc>
        <w:tc>
          <w:tcPr>
            <w:tcW w:w="700" w:type="dxa"/>
            <w:vAlign w:val="bottom"/>
            <w:tcBorders>
              <w:top w:val="single" w:sz="8" w:color="0000EE"/>
            </w:tcBorders>
          </w:tcPr>
          <w:p>
            <w:pPr>
              <w:spacing w:after="0"/>
              <w:rPr>
                <w:sz w:val="17"/>
                <w:szCs w:val="17"/>
                <w:color w:val="auto"/>
              </w:rPr>
            </w:pPr>
          </w:p>
        </w:tc>
        <w:tc>
          <w:tcPr>
            <w:tcW w:w="36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040" w:type="dxa"/>
            <w:vAlign w:val="bottom"/>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5620" w:right="1600" w:hanging="5617"/>
        <w:spacing w:after="0" w:line="440"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 38</w:t>
      </w:r>
    </w:p>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as of December 31, 2011 and 2010, and the related consolidated statements of income, stockholders’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Universal Electronics Inc. as of December 31, 2011 and 2010, and the results of its operations and its cash flows for each of the three years in the period ended December 31, 2011, in conformity with accounting principles generally accepted in the United States of America.</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Universal Electronics Inc.’s internal control over financial reporting as of December 31, 2011, based on criteria established in Internal Control-Integrated Framework issued by the Committee of Sponsoring Organizations of the Treadway Commission (COSO) and our report dated March 14, 2012 expressed an unqualified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ind w:left="414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29,372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82,184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90,904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3,045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6,558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212,063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214,433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80,449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30,820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32,814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5,350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7,992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369,488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56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55,430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Line of credit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Accrued sales discounts, rebates and royalties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6,544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29,204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13,967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127,302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139,499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161,467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Common stock, $0.01 par value, 50,000,000 shares authorized; 21,142,915 and 20,877,248 shares issued on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December 31, 2011 and 2010, respectively</w:t>
            </w: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173,701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154,016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134,070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328,866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300,730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Less cost of common stock in treasury, 6,353,035 and 5,926,071 shares on December 31, 2011 and 2010, respectively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(98,877)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229,989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211,204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369,488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468,630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317,550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338,569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227,931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103,849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101,612</w:t>
            </w:r>
          </w:p>
        </w:tc>
        <w:tc>
          <w:tcPr>
            <w:tcW w:w="0" w:type="dxa"/>
            <w:vAlign w:val="bottom"/>
          </w:tcPr>
          <w:p>
            <w:pPr>
              <w:spacing w:after="0"/>
              <w:rPr>
                <w:sz w:val="1"/>
                <w:szCs w:val="1"/>
                <w:color w:val="auto"/>
              </w:rPr>
            </w:pPr>
          </w:p>
        </w:tc>
      </w:tr>
      <w:tr>
        <w:trPr>
          <w:trHeight w:val="322"/>
        </w:trPr>
        <w:tc>
          <w:tcPr>
            <w:tcW w:w="86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12,267</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91,218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26,576</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21,301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5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68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Common Stock</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94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85"/>
              </w:rPr>
              <w:t>Issued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Treasury</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Capital</w:t>
            </w:r>
          </w:p>
        </w:tc>
        <w:tc>
          <w:tcPr>
            <w:tcW w:w="106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2"/>
                <w:szCs w:val="12"/>
                <w:color w:val="auto"/>
              </w:rPr>
            </w:pPr>
          </w:p>
        </w:tc>
        <w:tc>
          <w:tcPr>
            <w:tcW w:w="8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1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Totals</w:t>
            </w: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18,716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(72,449)</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$120,551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$153,353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14,675</w:t>
            </w:r>
          </w:p>
        </w:tc>
        <w:tc>
          <w:tcPr>
            <w:tcW w:w="1220" w:type="dxa"/>
            <w:vAlign w:val="bottom"/>
            <w:gridSpan w:val="4"/>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15,388</w:t>
            </w: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0"/>
              </w:rPr>
              <w:t>Shares issued for employee benefit plan and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(7,747)</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(7,747)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8"/>
              </w:rPr>
              <w:t>Tax benefit from exercise of non-qualified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stock options and vested restricted stock</w:t>
            </w: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19,140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(5,450)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(79,826)</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128,913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$ 118,989</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169,730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15,081</w:t>
            </w:r>
          </w:p>
        </w:tc>
        <w:tc>
          <w:tcPr>
            <w:tcW w:w="122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Shares issued for employee benefit plan and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Shares issued for purchase of Enson</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30,763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(10,145)</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(10,145)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8"/>
              </w:rPr>
              <w:t>Tax benefit from exercise of non-qualified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stock options and vested restricted stock</w:t>
            </w: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20,877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209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(5,926)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(89,526)</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166,940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134,070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$ 211,204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19,946</w:t>
            </w:r>
          </w:p>
        </w:tc>
        <w:tc>
          <w:tcPr>
            <w:tcW w:w="1220" w:type="dxa"/>
            <w:vAlign w:val="bottom"/>
            <w:gridSpan w:val="4"/>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Shares issued for employee benefit plan and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(9,785)</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(9,785)</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Shares issued to Directors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434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w w:val="98"/>
              </w:rPr>
              <w:t>Tax benefit from exercise of non-qualified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w w:val="93"/>
              </w:rPr>
              <w:t>stock options and vested restricted stock</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21,143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211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(6,353)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(98,877)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173,701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229,989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7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6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$ 19,946</w:t>
            </w:r>
          </w:p>
        </w:tc>
        <w:tc>
          <w:tcPr>
            <w:tcW w:w="2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$ 15,081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$ 14,675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8"/>
                <w:szCs w:val="18"/>
                <w:color w:val="auto"/>
              </w:rPr>
              <w:t>17,335</w:t>
            </w:r>
          </w:p>
        </w:tc>
        <w:tc>
          <w:tcPr>
            <w:tcW w:w="2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8,059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Provision for inventory write-downs</w:t>
            </w:r>
          </w:p>
        </w:tc>
        <w:tc>
          <w:tcPr>
            <w:tcW w:w="640" w:type="dxa"/>
            <w:vAlign w:val="bottom"/>
          </w:tcPr>
          <w:p>
            <w:pPr>
              <w:jc w:val="right"/>
              <w:spacing w:after="0"/>
              <w:rPr>
                <w:sz w:val="20"/>
                <w:szCs w:val="20"/>
                <w:color w:val="auto"/>
              </w:rPr>
            </w:pPr>
            <w:r>
              <w:rPr>
                <w:rFonts w:ascii="Arial" w:cs="Arial" w:eastAsia="Arial" w:hAnsi="Arial"/>
                <w:sz w:val="18"/>
                <w:szCs w:val="18"/>
                <w:color w:val="auto"/>
              </w:rPr>
              <w:t>5,625</w:t>
            </w:r>
          </w:p>
        </w:tc>
        <w:tc>
          <w:tcPr>
            <w:tcW w:w="2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3,514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64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231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Shares issued for employee benefit plan</w:t>
            </w:r>
          </w:p>
        </w:tc>
        <w:tc>
          <w:tcPr>
            <w:tcW w:w="64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566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4,966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 net of acquired assets and assumed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13,192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(30,597)</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(5,102)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(4,319)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922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income and other taxes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(4,322)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Acquisition of Enson, net of cash acquired</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(74,271)</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deposit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49,246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(13,630)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(8,440)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intangible assets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Acquisition of assets from Zilog</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for investing activities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(14,694)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(34,843)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(66,091)</w:t>
            </w:r>
          </w:p>
        </w:tc>
        <w:tc>
          <w:tcPr>
            <w:tcW w:w="0" w:type="dxa"/>
            <w:vAlign w:val="bottom"/>
          </w:tcPr>
          <w:p>
            <w:pPr>
              <w:spacing w:after="0"/>
              <w:rPr>
                <w:sz w:val="1"/>
                <w:szCs w:val="1"/>
                <w:color w:val="auto"/>
              </w:rPr>
            </w:pPr>
          </w:p>
        </w:tc>
      </w:tr>
      <w:tr>
        <w:trPr>
          <w:trHeight w:val="222"/>
        </w:trPr>
        <w:tc>
          <w:tcPr>
            <w:tcW w:w="8720" w:type="dxa"/>
            <w:vAlign w:val="bottom"/>
            <w:gridSpan w:val="2"/>
          </w:tcPr>
          <w:p>
            <w:pPr>
              <w:spacing w:after="0"/>
              <w:rPr>
                <w:sz w:val="20"/>
                <w:szCs w:val="20"/>
                <w:color w:val="auto"/>
              </w:rPr>
            </w:pPr>
            <w:r>
              <w:rPr>
                <w:rFonts w:ascii="Arial" w:cs="Arial" w:eastAsia="Arial" w:hAnsi="Arial"/>
                <w:sz w:val="18"/>
                <w:szCs w:val="18"/>
                <w:color w:val="auto"/>
              </w:rPr>
              <w:t>Cash (used for) provided by financing activities:</w:t>
            </w: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debt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Payment of debt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(22,800)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Treasury stock purchased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(9,785)</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(10,145)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Net cash (used for) provided by financing activities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(26,269)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23,275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gridSpan w:val="2"/>
            <w:vMerge w:val="continue"/>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(24,877)</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25,233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(46,222)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$ 29,372</w:t>
            </w:r>
          </w:p>
        </w:tc>
        <w:tc>
          <w:tcPr>
            <w:tcW w:w="20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$ 54,249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$ 29,016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 xml:space="preserve">Supplemental Cash Flow Information — </w:t>
      </w:r>
      <w:r>
        <w:rPr>
          <w:rFonts w:ascii="Arial" w:cs="Arial" w:eastAsia="Arial" w:hAnsi="Arial"/>
          <w:sz w:val="18"/>
          <w:szCs w:val="18"/>
          <w:i w:val="1"/>
          <w:iCs w:val="1"/>
          <w:color w:val="auto"/>
        </w:rPr>
        <w:t>Income taxes paid were $8.1 million, $11.7 million, and $8.1 million in 2011, 2010, and 2009, respectively. We had</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payments of $0.4 million in 2011 and $0 in both 2010 and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concerning our purchases from a related party vendor.</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Universal Electronics Inc., based in Southern California, develops and manufactures a broad line of easy-to-use, pre-programmed universal wireless control products and audio-video accessories as well as software designed to enable consumers to wirelessly connect, control and interact with an increasingly complex home entertainment environment. In addition, over the past 24 years we have developed a broad portfolio of patented technologies and a database of home connectivity software that we license to our customers, including many leading Fortune 500 companies.</w:t>
      </w:r>
    </w:p>
    <w:p>
      <w:pPr>
        <w:spacing w:after="0" w:line="11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 xml:space="preserve">Our primary markets include cable and satellite television service provider, original equipment manufacturer (“OEM”), retail, custom installer, private label, and personal computing companies. We sell directly to our customers, and for retail and custom installers we also sell through distributors in Europe, Australia, New Zealand, South Africa, the Middle East, Mexico, and selected countries in Asia and Latin America under the </w:t>
      </w:r>
      <w:r>
        <w:rPr>
          <w:rFonts w:ascii="Arial" w:cs="Arial" w:eastAsia="Arial" w:hAnsi="Arial"/>
          <w:sz w:val="16"/>
          <w:szCs w:val="16"/>
          <w:i w:val="1"/>
          <w:iCs w:val="1"/>
          <w:color w:val="auto"/>
        </w:rPr>
        <w:t>One For All</w:t>
      </w:r>
      <w:r>
        <w:rPr>
          <w:rFonts w:ascii="Arial" w:cs="Arial" w:eastAsia="Arial" w:hAnsi="Arial"/>
          <w:sz w:val="10"/>
          <w:szCs w:val="10"/>
          <w:color w:val="auto"/>
        </w:rPr>
        <w:t>®</w:t>
      </w:r>
      <w:r>
        <w:rPr>
          <w:rFonts w:ascii="Arial" w:cs="Arial" w:eastAsia="Arial" w:hAnsi="Arial"/>
          <w:sz w:val="16"/>
          <w:szCs w:val="16"/>
          <w:color w:val="auto"/>
        </w:rPr>
        <w:t xml:space="preserve"> and Nevo</w:t>
      </w:r>
      <w:r>
        <w:rPr>
          <w:rFonts w:ascii="Arial" w:cs="Arial" w:eastAsia="Arial" w:hAnsi="Arial"/>
          <w:sz w:val="10"/>
          <w:szCs w:val="10"/>
          <w:color w:val="auto"/>
        </w:rPr>
        <w:t>®</w:t>
      </w:r>
      <w:r>
        <w:rPr>
          <w:rFonts w:ascii="Arial" w:cs="Arial" w:eastAsia="Arial" w:hAnsi="Arial"/>
          <w:sz w:val="16"/>
          <w:szCs w:val="16"/>
          <w:color w:val="auto"/>
        </w:rPr>
        <w:t xml:space="preserve"> brand names.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the terms “we”, “us” and “our” refer to Universal Electronics Inc. and its subsidiaries unless the context indicates to the contrary.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the intercompany accounts and transactions have been eliminated in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Certain prior period amounts in the accompanying consolidated financial statements have been reclassified to conform to the current year presentation. These reclassifications had no effect on previously reported net income or shareholders’ equity.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9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sales returns and doubtful accounts, warranties, inventory valuation, business combination purchase price allocations, our review for impairment of long-lived assets, intangible assets and goodwill, income taxes and compensation expense. Actual results may differ from these assumptions and estimates, and they may be adjusted as more information becomes available. Any adjustment may be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Sales Allowances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8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provision recorded for estimated sales returns is deducted from gross sales to arrive at net sales in the period the related revenue is recorded. These estimates are based on historical sales returns, analysis of credit memo data and other known factors. We have no obligations after delivery of our products other than the associated warranties. See Note 13 for further information concerning our warranty obligations.</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offer discounts and rebates that are recorded based on historical experience and our expectation regarding future sales by a customer.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recognize revenue for the sale of tooling when the related services have been provided, customer acceptance documentation has been obtained, the sales price is fixed or determinable, and collectability is reasonably assured.</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14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may from time to time initiate the sale of certain intellectual property, including patented technologies, trademarks, or a particular database of infrared codes. When a fixed upfront fee is received in exchange for the conveyance of a patent, trademark, or database delivered that represents the culmination of the earnings process, we record revenue when delivery has occurred, persuasive evidence of an arrangement exists, the sales price is fixed or determinable and collectability is reasonably assured.</w:t>
      </w:r>
    </w:p>
    <w:p>
      <w:pPr>
        <w:spacing w:after="0" w:line="14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43"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Accounting standards prescribe a recognition threshold and a measurement attribute for the financial statement recognition and measurement of the positions taken or expected to be taken in a tax return. For those benefits to be recognized, a tax position must be more likely than not to be sustained upon examination by taxing authorities. A “more likely than not” tax position is measured as the largest amount of benefit that is greater than fifty percent likely of being realized upon ultimate settlement, or else a full reserve is established against the tax asset or a liability is recorded. See Note 9 for further information concerning income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Advertising costs are expensed as incurred. Advertising expense totaled $1.2 million, $1.7 million, and $1.3 million for the years ended December 31, 2011, 2010 and 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$9.7 million, $7.5 million and $7.9 million for the years ended December 31, 2011, 2010 and 2009,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recognize the grant date fair value of stock-based compensation awards as expense, net of estimated forfeitures, in proportion to vesting during the requisite service period, which ranges from one to four years.</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determine the fair value of the restricted stock awards utilizing the average of the high and low trade prices of our Company’s shares on the date they were granted.</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evaluated the available option pricing models and the assumptions we may utilize to estimate the grant date fair value of stock options granted to employees and directors. We have elected to utilize the Black-Scholes option pricing model. The assumptions utilized in the Black-Scholes model include the following:</w:t>
      </w:r>
    </w:p>
    <w:p>
      <w:pPr>
        <w:spacing w:after="0" w:line="59"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risk-free interest rate;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volatility;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life in years.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risk-free interest rate over the expected term is equal to the prevailing U.S. Treasury note rate over the same period. As part of our assessment of possible expected volatility assumptions, management determined that historical volatility calculated based on our actively traded common stock is a better indicator of expected volatility and future stock price trends than implied volatility. Therefore, we calculate the expected volatility of our common stock utilizing its historical volatility over a period of time equal to the expected term of the stock option. To determine our expected life assumption, we examined the historical pattern of stock option exercises in an effort to determine if there were any discernible patterns based on employee classification. From this analysis, we identified two classifications: (1) Executives and Board of Directors and (2) Non-Executives. Our estimate of expected life is computed utilizing historical exercise patterns and post-vesting behavior within each of the two identified classifications. See Notes 14 and 16 for further information regarding stock-based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90"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05"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We recorded a foreign currency translation gain of $1.4 million, a loss of $2.0 million and a gain of $0.7 million for the years ended December 31, 2011, 2010 and 2009, respectively. The foreign currency translation gain of $1.4 million for the year ended December 31, 2011 was driven by the weakening of the U.S. dollar versus the Chinese Yuan Renminbi. The U.S. dollar/Chinese Yuan Renminbi spot rate was 0.159 and 0.152 at December 31, 2011 and 2010, respectively.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foreign currency translation loss of $2.0 million for the year ended December 31, 2010 was driven by the strengthening of the U.S. dollar versus the Euro.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U.S. dollar/Euro spot rate was 1.34 and 1.43 at December 31, 2010 and 2009, respectively.</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foreign currency translation gain of $0.7 million for the year ended December 31, 2009 was driven by the weakening of the U.S. dollar versus the Euro. The U.S. dollar/Euro spot rate was 1.43 and 1.39 at December 31, 2009 and 2008, respectively.</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(expense) income, net. See Note 17 for further information concerning transaction gains and losses.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financial instruments consist primarily of investments in cash and cash equivalents, accounts receivable, accounts payable and accrued liabilities. The carrying value of our financial instruments approximates fair value as a result of their short maturities. See Notes 3, 4, 5, 8, 10, and 11 for further information concerning our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3 months or less.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Inventories consist of remote controls, audio-video accessories as well as the related component parts and raw materials.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 See Note 5 for further information concerning our inventories and suppliers.</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estimated net realizable value. These estimates are based upon management’s judgment about future demand and market conditions. Actual results may differ from management’s judgments and additional write-downs may be required. Our total excess and obsolete inventory reserve on December 31, 2011 and 2010 was $3.4 million and $2.1 million, respectively, or 3.8% and 3.3 % of our total inventory balance.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must have a useful life greater than one year and a cost greater than $1,000 for individual assets or $5,000 for assets purchased in bulk.</w:t>
      </w:r>
    </w:p>
    <w:p>
      <w:pPr>
        <w:spacing w:after="0" w:line="8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 in operating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Estimated useful lives consist of the following:</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Tooling and equipment</w:t>
            </w:r>
          </w:p>
        </w:tc>
        <w:tc>
          <w:tcPr>
            <w:tcW w:w="3280" w:type="dxa"/>
            <w:vAlign w:val="bottom"/>
          </w:tcPr>
          <w:p>
            <w:pPr>
              <w:ind w:left="560"/>
              <w:spacing w:after="0"/>
              <w:rPr>
                <w:sz w:val="20"/>
                <w:szCs w:val="20"/>
                <w:color w:val="auto"/>
              </w:rPr>
            </w:pPr>
            <w:r>
              <w:rPr>
                <w:rFonts w:ascii="Arial" w:cs="Arial" w:eastAsia="Arial" w:hAnsi="Arial"/>
                <w:sz w:val="18"/>
                <w:szCs w:val="18"/>
                <w:color w:val="auto"/>
              </w:rPr>
              <w:t>2-7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3-7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Software</w:t>
            </w:r>
          </w:p>
        </w:tc>
        <w:tc>
          <w:tcPr>
            <w:tcW w:w="3280" w:type="dxa"/>
            <w:vAlign w:val="bottom"/>
          </w:tcPr>
          <w:p>
            <w:pPr>
              <w:ind w:left="56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80" w:type="dxa"/>
            <w:vAlign w:val="bottom"/>
          </w:tcPr>
          <w:p>
            <w:pPr>
              <w:ind w:left="560"/>
              <w:spacing w:after="0"/>
              <w:rPr>
                <w:sz w:val="20"/>
                <w:szCs w:val="20"/>
                <w:color w:val="auto"/>
              </w:rPr>
            </w:pPr>
            <w:r>
              <w:rPr>
                <w:rFonts w:ascii="Arial" w:cs="Arial" w:eastAsia="Arial" w:hAnsi="Arial"/>
                <w:sz w:val="18"/>
                <w:szCs w:val="18"/>
                <w:color w:val="auto"/>
              </w:rPr>
              <w:t>Lesser of lease term or useful life</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280" w:type="dxa"/>
            <w:vAlign w:val="bottom"/>
          </w:tcPr>
          <w:p>
            <w:pPr>
              <w:ind w:left="560"/>
              <w:spacing w:after="0"/>
              <w:rPr>
                <w:sz w:val="20"/>
                <w:szCs w:val="20"/>
                <w:color w:val="auto"/>
              </w:rPr>
            </w:pPr>
            <w:r>
              <w:rPr>
                <w:rFonts w:ascii="Arial" w:cs="Arial" w:eastAsia="Arial" w:hAnsi="Arial"/>
                <w:sz w:val="18"/>
                <w:szCs w:val="18"/>
                <w:color w:val="auto"/>
              </w:rPr>
              <w:t>(approximately 2 to 6 years)</w:t>
            </w:r>
          </w:p>
        </w:tc>
        <w:tc>
          <w:tcPr>
            <w:tcW w:w="0" w:type="dxa"/>
            <w:vAlign w:val="bottom"/>
          </w:tcPr>
          <w:p>
            <w:pPr>
              <w:spacing w:after="0"/>
              <w:rPr>
                <w:sz w:val="1"/>
                <w:szCs w:val="1"/>
                <w:color w:val="auto"/>
              </w:rPr>
            </w:pPr>
          </w:p>
        </w:tc>
      </w:tr>
      <w:tr>
        <w:trPr>
          <w:trHeight w:val="392"/>
        </w:trPr>
        <w:tc>
          <w:tcPr>
            <w:tcW w:w="6320" w:type="dxa"/>
            <w:vAlign w:val="bottom"/>
            <w:gridSpan w:val="2"/>
          </w:tcPr>
          <w:p>
            <w:pPr>
              <w:spacing w:after="0"/>
              <w:rPr>
                <w:sz w:val="20"/>
                <w:szCs w:val="20"/>
                <w:color w:val="auto"/>
              </w:rPr>
            </w:pPr>
            <w:r>
              <w:rPr>
                <w:rFonts w:ascii="Arial" w:cs="Arial" w:eastAsia="Arial" w:hAnsi="Arial"/>
                <w:sz w:val="18"/>
                <w:szCs w:val="18"/>
                <w:color w:val="auto"/>
                <w:w w:val="97"/>
              </w:rPr>
              <w:t>See Note 6 for further information concerning our property, plant, and equipment.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w:t>
      </w:r>
    </w:p>
    <w:p>
      <w:pPr>
        <w:spacing w:after="0" w:line="11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To evaluate whether goodwill is impaired,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must perform the second step of the impairment test in order to determine the implied fair value of the reporting unit’s goodwill. If the carrying value of a reporting unit’s goodwill exceeds its implied fair value, then we record an impairment loss equal to the difference.</w:t>
      </w:r>
    </w:p>
    <w:p>
      <w:pPr>
        <w:spacing w:after="0" w:line="10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when the carrying amount of goodwill exceeds its implied fair value.</w:t>
      </w:r>
    </w:p>
    <w:p>
      <w:pPr>
        <w:spacing w:after="0" w:line="10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conducted annual goodwill impairment reviews on December 31, 2011, 2010 and 2009. Based on the analysis performed, we determined that the fair values of our reporting unit exceeded its carrying amount, including goodwill, and therefore it was not impaired. See Notes 7 and 21 for further information concerning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 xml:space="preserve">Intangible assets consist principally of distribution rights, patents, trademarks, trade names, developed and core technologies, capitalized software development costs (see also Note 2 under the caption </w:t>
      </w:r>
      <w:r>
        <w:rPr>
          <w:rFonts w:ascii="Arial" w:cs="Arial" w:eastAsia="Arial" w:hAnsi="Arial"/>
          <w:sz w:val="18"/>
          <w:szCs w:val="18"/>
          <w:i w:val="1"/>
          <w:iCs w:val="1"/>
          <w:color w:val="auto"/>
        </w:rPr>
        <w:t>Capitalized Software Development Costs</w:t>
      </w:r>
      <w:r>
        <w:rPr>
          <w:rFonts w:ascii="Arial" w:cs="Arial" w:eastAsia="Arial" w:hAnsi="Arial"/>
          <w:sz w:val="18"/>
          <w:szCs w:val="18"/>
          <w:color w:val="auto"/>
        </w:rPr>
        <w:t>) and customer relationships. Capitalized amounts related to patents represent external legal costs for the application and maintenance of patents. Intangible assets are amortized using the straight-line method over their estimated period of benefit, ranging from one to fifteen years.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expected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143"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impairment loss is the amount by which the carrying value of the asset exceeds its fair value. We estimate fair value utilizing the projected discounted cash flow method and a discount rate determined by our management to be commensurate with the risk inherent in our current business model. When calculating fair value, we must make assumptions regarding estimated future cash flows, discount rates and other factors.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See Notes 6 and 15 for further information concerning long-lived assets. See Notes 7 and 21 for further information concerning intangible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Costs incurred to develop software for resale are expensed when incurred as research and development until technological feasibility has been established. We have determined that technological feasibility for our products is established when a working prototype is complete. Once technological feasibility is established, software development costs are capitalized until the product is available for general release to customers.</w:t>
      </w:r>
    </w:p>
    <w:p>
      <w:pPr>
        <w:spacing w:after="0" w:line="10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Capitalized software development costs are amortized on a product-by-product basis. Amortization is recorded in cost of sales and is the greater amount computed using:</w:t>
      </w:r>
    </w:p>
    <w:p>
      <w:pPr>
        <w:spacing w:after="0" w:line="51" w:lineRule="exact"/>
        <w:rPr>
          <w:sz w:val="20"/>
          <w:szCs w:val="20"/>
          <w:color w:val="auto"/>
        </w:rPr>
      </w:pPr>
    </w:p>
    <w:p>
      <w:pPr>
        <w:ind w:left="900" w:right="4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straight-line method over the remaining estimated economic life of the product including the period being reported on.</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amortization of capitalized software development costs begins when the related product is available for general release to customers. The amortization periods normally range from one to two years.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purposes and the amount of the write-down is not subsequently restored. See Note 7 for further information concerning capitalized software development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foreign currency exposures are primarily concentrated in the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derivatives we enter into have not qualified for hedge accounting. 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measure fair value using the framework established by the FASB accounting guidance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Quoted prices (unadjusted) for identical instruments in active markets.</w:t>
      </w:r>
    </w:p>
    <w:p>
      <w:pPr>
        <w:spacing w:after="0" w:line="117" w:lineRule="exact"/>
        <w:rPr>
          <w:sz w:val="20"/>
          <w:szCs w:val="20"/>
          <w:color w:val="auto"/>
        </w:rPr>
      </w:pPr>
    </w:p>
    <w:p>
      <w:pPr>
        <w:jc w:val="both"/>
        <w:ind w:left="820" w:right="260" w:hanging="809"/>
        <w:spacing w:after="0" w:line="259" w:lineRule="auto"/>
        <w:tabs>
          <w:tab w:leader="none" w:pos="800" w:val="left"/>
        </w:tabs>
        <w:rPr>
          <w:sz w:val="20"/>
          <w:szCs w:val="20"/>
          <w:color w:val="auto"/>
        </w:rPr>
      </w:pPr>
      <w:r>
        <w:rPr>
          <w:rFonts w:ascii="Arial" w:cs="Arial" w:eastAsia="Arial" w:hAnsi="Arial"/>
          <w:sz w:val="18"/>
          <w:szCs w:val="18"/>
          <w:color w:val="auto"/>
        </w:rPr>
        <w:t>Level 2:</w:t>
        <w:tab/>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Prices or valuations that require management inputs that are both significant to the fair value measurement and unobservable.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December 2011, the Financial Accounting Standards Board (“FASB”) issued Accounting Standards Update (“ASU”) 2011-12, “Deferral of the Effective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Date for Amendments to the Presentation of Reclassifications of Items Out of Accumulated Other Comprehensive Income in Accounting Standards Update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2011-05.” Under the amendments in ASU 2011-05 “Presentation of Comprehensive Income,” entities are required to present reclassification adjustments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effect of those reclassification adjustments on the face of the financial statements where net income is presented, by component of net income, and on the face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financial statements where other comprehensive income is presented, by component of other comprehensive income. In addition, the amendments in ASU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2011-05 require that reclassification adjustments be presented in interim financial periods. The amendments in ASU 2011-12 supersede changes to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paragraphs in ASU 2011-05 that pertain to how, when, and where reclassification adjustments are presented. ASU 2011-12 is issued to allow FASB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redeliberate whether to present on the face of the financial statements the effects of reclassifications out of accumulated other comprehensive income on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components of net income and other comprehensive income for all periods presented. The adoption of ASU 2011-12 will result in changes to our presentation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disclosure only and will not have an impact on our consolidated results of operations and financial condition.</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December 2011, the FASB issued ASU 2011-11, “Disclosures about Offsetting Assets and Liabilities.” The amendments in ASU 2011-11 require an entity to disclose information about offsetting and related arrangements to enable users of its financial statements to understand the effect of those arrangements on its financial position. The adoption of ASU 2011-11 will result in changes to our presentation and disclosure only and will not have an impact on our consolidated results of operations and financial condition.</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September 2011, the FASB issued ASU 2011-08, “Testing Goodwill for Impairment.” The amendments in ASU 2011-08 are intended to reduce the cost and complexity associated with goodwill impairment tests required under the Accounting Standard Codification Topic 350 Intangibles – Goodwill and Other. The update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percent. The amendments in this update are effective for annual and interim goodwill impairment tests performed for fiscal years beginning after December 15, 2011. The adoption of ASU 2011-08 is not expected to have a significant impact to our consolidated financial position or results of operations.</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June 2011, the FASB issued ASU 2011-05, “Presentation of Comprehensive Income.” ASU 2011-05 eliminates the option to report other comprehensive income and its components in the statement of changes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The adoption of ASU 2011-05 will result in changes to our presentation and disclosure only and will not have an impact on our consolidated results of operations and financial condition.</w:t>
      </w:r>
    </w:p>
    <w:p>
      <w:pPr>
        <w:spacing w:after="0" w:line="113" w:lineRule="exact"/>
        <w:rPr>
          <w:sz w:val="20"/>
          <w:szCs w:val="20"/>
          <w:color w:val="auto"/>
        </w:rPr>
      </w:pPr>
    </w:p>
    <w:p>
      <w:pPr>
        <w:jc w:val="both"/>
        <w:ind w:right="20"/>
        <w:spacing w:after="0" w:line="318" w:lineRule="auto"/>
        <w:rPr>
          <w:sz w:val="20"/>
          <w:szCs w:val="20"/>
          <w:color w:val="auto"/>
        </w:rPr>
      </w:pPr>
      <w:r>
        <w:rPr>
          <w:rFonts w:ascii="Arial" w:cs="Arial" w:eastAsia="Arial" w:hAnsi="Arial"/>
          <w:sz w:val="15"/>
          <w:szCs w:val="15"/>
          <w:color w:val="auto"/>
        </w:rPr>
        <w:t>During May 2011, the FASB issued ASU No. 2011-04, “Amendments to Achieve Common Fair Value Measurement and Disclosure Requirements in U.S. GAAP and International Financial Reporting Standards (“IFRS”).” This 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This pronouncement is effective for reporting periods beginning on or after December 15, 2011. The adoption of ASU 2011-04 is not expected to have a significant impact to our consolidated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adopted the following accounting standards during 2011, none of which had a material effect on our consolidated financial position and results of operations:</w:t>
      </w:r>
    </w:p>
    <w:p>
      <w:pPr>
        <w:spacing w:after="0" w:line="113" w:lineRule="exact"/>
        <w:rPr>
          <w:sz w:val="20"/>
          <w:szCs w:val="20"/>
          <w:color w:val="auto"/>
        </w:rPr>
      </w:pPr>
    </w:p>
    <w:p>
      <w:pPr>
        <w:ind w:left="460" w:right="4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January 2010, the FASB issued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We adopted this ASU beginning January 1, 2011.</w:t>
      </w:r>
    </w:p>
    <w:p>
      <w:pPr>
        <w:spacing w:after="0" w:line="59"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December 2010, the FASB issued ASU No. 2010-29 to address diversity in practice regarding the interpretation of the pro forma revenue and earnings disclosure requirements for business combinations. We adopted this ASU beginning January 1, 2011.</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October 2009, the FASB issued ASU No. 2009-14 to address accounting for arrangements that contain tangible products and software. We adopted this ASU beginning January 1, 2011.</w:t>
      </w:r>
    </w:p>
    <w:p>
      <w:pPr>
        <w:spacing w:after="0" w:line="50"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October 2009, the FASB issued ASU No. 2009-13 to address the accounting for multiple-deliverable arrangements to enable vendors to account for products or services (deliverables) separately rather than as a combined accounting unit. We adopted this ASU beginning January 1,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and cash equivalents that were accounted for at fair value on a recurring basis on December 31, 2011 and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December 31, 2011</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December 31, 2010</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2220" w:type="dxa"/>
            <w:vAlign w:val="bottom"/>
            <w:tcBorders>
              <w:bottom w:val="single" w:sz="8" w:color="auto"/>
            </w:tcBorders>
            <w:gridSpan w:val="5"/>
          </w:tcPr>
          <w:p>
            <w:pPr>
              <w:ind w:left="200"/>
              <w:spacing w:after="0" w:line="142" w:lineRule="exact"/>
              <w:rPr>
                <w:sz w:val="20"/>
                <w:szCs w:val="20"/>
                <w:color w:val="auto"/>
              </w:rPr>
            </w:pPr>
            <w:r>
              <w:rPr>
                <w:rFonts w:ascii="Arial" w:cs="Arial" w:eastAsia="Arial" w:hAnsi="Arial"/>
                <w:sz w:val="14"/>
                <w:szCs w:val="14"/>
                <w:b w:val="1"/>
                <w:bCs w:val="1"/>
                <w:color w:val="auto"/>
                <w:w w:val="98"/>
              </w:rPr>
              <w:t>Fair Value Measurement Using</w:t>
            </w:r>
          </w:p>
        </w:tc>
        <w:tc>
          <w:tcPr>
            <w:tcW w:w="2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2"/>
                <w:szCs w:val="12"/>
                <w:color w:val="auto"/>
              </w:rPr>
            </w:pPr>
          </w:p>
        </w:tc>
        <w:tc>
          <w:tcPr>
            <w:tcW w:w="2220" w:type="dxa"/>
            <w:vAlign w:val="bottom"/>
            <w:tcBorders>
              <w:bottom w:val="single" w:sz="8" w:color="auto"/>
            </w:tcBorders>
            <w:gridSpan w:val="5"/>
          </w:tcPr>
          <w:p>
            <w:pPr>
              <w:ind w:left="220"/>
              <w:spacing w:after="0" w:line="142" w:lineRule="exact"/>
              <w:rPr>
                <w:sz w:val="20"/>
                <w:szCs w:val="20"/>
                <w:color w:val="auto"/>
              </w:rPr>
            </w:pPr>
            <w:r>
              <w:rPr>
                <w:rFonts w:ascii="Arial" w:cs="Arial" w:eastAsia="Arial" w:hAnsi="Arial"/>
                <w:sz w:val="14"/>
                <w:szCs w:val="14"/>
                <w:b w:val="1"/>
                <w:bCs w:val="1"/>
                <w:color w:val="auto"/>
                <w:w w:val="97"/>
              </w:rPr>
              <w:t>Fair Value Measurement Using</w:t>
            </w:r>
          </w:p>
        </w:tc>
        <w:tc>
          <w:tcPr>
            <w:tcW w:w="30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150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(Level 1)</w:t>
            </w:r>
          </w:p>
        </w:tc>
        <w:tc>
          <w:tcPr>
            <w:tcW w:w="28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(Level 2)</w:t>
            </w:r>
          </w:p>
        </w:tc>
        <w:tc>
          <w:tcPr>
            <w:tcW w:w="28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(Level 3)</w:t>
            </w:r>
          </w:p>
        </w:tc>
        <w:tc>
          <w:tcPr>
            <w:tcW w:w="2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Balance</w:t>
            </w:r>
          </w:p>
        </w:tc>
        <w:tc>
          <w:tcPr>
            <w:tcW w:w="28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(Level 1)</w:t>
            </w:r>
          </w:p>
        </w:tc>
        <w:tc>
          <w:tcPr>
            <w:tcW w:w="2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12"/>
                <w:szCs w:val="12"/>
                <w:color w:val="auto"/>
              </w:rPr>
            </w:pPr>
          </w:p>
        </w:tc>
        <w:tc>
          <w:tcPr>
            <w:tcW w:w="6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$ 29,372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$29,372</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$ 54,249</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December 31, 2011, we had approximately $4.1 million, $7.6 million, $16.5 million, $0.1 million, and $1.1 million of cash and cash equivalents in the United States, Europe, Asia, Cayman Islands and South America, respectively.</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On December 31, 2010, we had approximately $6.5 million, $15.0 million, $27.8 million, $4.0 million, and $0.9 million of cash and cash equivalents in the United States, Europe, Asia, Cayman Islands and South America,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for further information regarding our accounting principles.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 and Revenue Concentrations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December 31, 2011 and 2010:</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20"/>
                <w:szCs w:val="20"/>
                <w:color w:val="auto"/>
              </w:rPr>
            </w:pPr>
            <w:r>
              <w:rPr>
                <w:rFonts w:ascii="Arial" w:cs="Arial" w:eastAsia="Arial" w:hAnsi="Arial"/>
                <w:sz w:val="14"/>
                <w:szCs w:val="14"/>
                <w:color w:val="auto"/>
              </w:rPr>
              <w:t>(in thousands)</w:t>
            </w: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 receivables, gross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$82,305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$88,485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(1,021)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(878)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(1,366)</w:t>
            </w:r>
          </w:p>
        </w:tc>
      </w:tr>
      <w:tr>
        <w:trPr>
          <w:trHeight w:val="221"/>
        </w:trPr>
        <w:tc>
          <w:tcPr>
            <w:tcW w:w="6880" w:type="dxa"/>
            <w:vAlign w:val="bottom"/>
          </w:tcPr>
          <w:p>
            <w:pPr>
              <w:ind w:left="440"/>
              <w:spacing w:after="0"/>
              <w:rPr>
                <w:sz w:val="20"/>
                <w:szCs w:val="20"/>
                <w:color w:val="auto"/>
              </w:rPr>
            </w:pPr>
            <w:r>
              <w:rPr>
                <w:rFonts w:ascii="Arial" w:cs="Arial" w:eastAsia="Arial" w:hAnsi="Arial"/>
                <w:sz w:val="18"/>
                <w:szCs w:val="18"/>
                <w:color w:val="auto"/>
              </w:rPr>
              <w:t>Net trade receivables</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80,303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86,241</w:t>
            </w:r>
          </w:p>
        </w:tc>
        <w:tc>
          <w:tcPr>
            <w:tcW w:w="120" w:type="dxa"/>
            <w:vAlign w:val="bottom"/>
          </w:tcPr>
          <w:p>
            <w:pPr>
              <w:spacing w:after="0"/>
              <w:rPr>
                <w:sz w:val="19"/>
                <w:szCs w:val="19"/>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r>
      <w:tr>
        <w:trPr>
          <w:trHeight w:val="222"/>
        </w:trPr>
        <w:tc>
          <w:tcPr>
            <w:tcW w:w="68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82,184</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86,304</w:t>
            </w:r>
          </w:p>
        </w:tc>
        <w:tc>
          <w:tcPr>
            <w:tcW w:w="1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allowance for doubtful accounts during the years ended December 31, 2011, 2010, and 2009:</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to Costs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34"/>
        </w:trPr>
        <w:tc>
          <w:tcPr>
            <w:tcW w:w="5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1"/>
                <w:szCs w:val="11"/>
                <w:color w:val="auto"/>
              </w:rPr>
            </w:pPr>
          </w:p>
        </w:tc>
        <w:tc>
          <w:tcPr>
            <w:tcW w:w="76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1"/>
                <w:szCs w:val="11"/>
                <w:color w:val="auto"/>
              </w:rPr>
            </w:pPr>
          </w:p>
        </w:tc>
        <w:tc>
          <w:tcPr>
            <w:tcW w:w="13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49"/>
        </w:trPr>
        <w:tc>
          <w:tcPr>
            <w:tcW w:w="5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116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7"/>
              </w:rPr>
              <w:t>Period</w:t>
            </w: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Expenses</w:t>
            </w:r>
          </w:p>
        </w:tc>
        <w:tc>
          <w:tcPr>
            <w:tcW w:w="320" w:type="dxa"/>
            <w:vAlign w:val="bottom"/>
          </w:tcPr>
          <w:p>
            <w:pPr>
              <w:spacing w:after="0"/>
              <w:rPr>
                <w:sz w:val="12"/>
                <w:szCs w:val="12"/>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FX Effects</w:t>
            </w:r>
          </w:p>
        </w:tc>
        <w:tc>
          <w:tcPr>
            <w:tcW w:w="100" w:type="dxa"/>
            <w:vAlign w:val="bottom"/>
          </w:tcPr>
          <w:p>
            <w:pPr>
              <w:spacing w:after="0"/>
              <w:rPr>
                <w:sz w:val="12"/>
                <w:szCs w:val="12"/>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878</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Year Ended December 31,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931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allowance for sales returns at December 31, 2011 and 2010 contained reserves for items returned prior to year-end that were not completely processed, and therefore had not yet been removed from the allowance for sales returns balance. If these returns had been fully processed, the allowance for sales returns balance would have been approximately $0.7 million and $0.9 million on December 31, 2011 and 2010, respectively. The value of these returned goods was included in our inventory balance at December 31, 2011 and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the year ended December 31, 2011, we had net sales to two significant customers (DIRECTV and Sony), that when combined with their sub-contractors, each totaled 10% or more of our net sales. Our sales to Sony and its sub-contractors collectively did not exceed 10% of our net sales for the years ended December 31, 2010 and 2009. During the years ended December 31, 2010 and 2009, we had net sales to two significant customers (DIRECTV and Comcast), that when combined with their sub-contractors, each totaled more than 10% of our net sales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87"/>
              </w:rPr>
              <w:t>Year Ended 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200" w:type="dxa"/>
            <w:vAlign w:val="bottom"/>
            <w:tcBorders>
              <w:bottom w:val="single" w:sz="8" w:color="CCEEFF"/>
            </w:tcBorders>
          </w:tcPr>
          <w:p>
            <w:pPr>
              <w:spacing w:after="0"/>
              <w:rPr>
                <w:sz w:val="12"/>
                <w:szCs w:val="12"/>
                <w:color w:val="auto"/>
              </w:rPr>
            </w:pPr>
          </w:p>
        </w:tc>
      </w:tr>
      <w:tr>
        <w:trPr>
          <w:trHeight w:val="210"/>
        </w:trPr>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DIRECTV</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57,371</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Comcast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42,716</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35,382</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Sony</w:t>
            </w:r>
          </w:p>
        </w:tc>
        <w:tc>
          <w:tcPr>
            <w:tcW w:w="15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48,483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with these customers were the following on December 31, 2011 and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4"/>
          </w:tcPr>
          <w:p>
            <w:pPr>
              <w:jc w:val="right"/>
              <w:ind w:right="1500"/>
              <w:spacing w:after="0"/>
              <w:rPr>
                <w:sz w:val="20"/>
                <w:szCs w:val="20"/>
                <w:color w:val="auto"/>
              </w:rPr>
            </w:pPr>
            <w:r>
              <w:rPr>
                <w:rFonts w:ascii="Arial" w:cs="Arial" w:eastAsia="Arial" w:hAnsi="Arial"/>
                <w:sz w:val="14"/>
                <w:szCs w:val="14"/>
                <w:b w:val="1"/>
                <w:bCs w:val="1"/>
                <w:color w:val="auto"/>
              </w:rPr>
              <w:t>December 31, 2011</w:t>
            </w:r>
          </w:p>
        </w:tc>
        <w:tc>
          <w:tcPr>
            <w:tcW w:w="100" w:type="dxa"/>
            <w:vAlign w:val="bottom"/>
          </w:tcPr>
          <w:p>
            <w:pPr>
              <w:spacing w:after="0"/>
              <w:rPr>
                <w:sz w:val="14"/>
                <w:szCs w:val="14"/>
                <w:color w:val="auto"/>
              </w:rPr>
            </w:pPr>
          </w:p>
        </w:tc>
        <w:tc>
          <w:tcPr>
            <w:tcW w:w="25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4"/>
              </w:rPr>
              <w:t>% of Accounts</w:t>
            </w:r>
          </w:p>
        </w:tc>
        <w:tc>
          <w:tcPr>
            <w:tcW w:w="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7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84"/>
              </w:rPr>
              <w:t>receivable, net</w:t>
            </w:r>
          </w:p>
        </w:tc>
        <w:tc>
          <w:tcPr>
            <w:tcW w:w="8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(thousands)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Receivable, net</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DIRECTV</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76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76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Comcast</w:t>
            </w:r>
          </w:p>
        </w:tc>
        <w:tc>
          <w:tcPr>
            <w:tcW w:w="10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4,786</w:t>
            </w:r>
          </w:p>
        </w:tc>
        <w:tc>
          <w:tcPr>
            <w:tcW w:w="7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Sony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7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Echostar accounted for greater than 10% of accounts receivable, net on December 31, 2010, but did not account for greater than 10% of net sales for the year then ended. Trade receivables with this customer amounted to $10,458 thousand, or 12.1%, of our accounts receivable, net on December 31, 2010.</w:t>
      </w:r>
    </w:p>
    <w:p>
      <w:pPr>
        <w:spacing w:after="0" w:line="85"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 xml:space="preserve">The loss of any of these customers or any other customer, either in the United States or abroad, due to their financial weakness or bankruptcy, or our inability to obtain orders or maintain our order volume with them, may have a material adverse effect on our financial condition, results of operations and cash flows. Please see Note 2 under the captions </w:t>
      </w:r>
      <w:r>
        <w:rPr>
          <w:rFonts w:ascii="Arial" w:cs="Arial" w:eastAsia="Arial" w:hAnsi="Arial"/>
          <w:sz w:val="15"/>
          <w:szCs w:val="15"/>
          <w:i w:val="1"/>
          <w:iCs w:val="1"/>
          <w:color w:val="auto"/>
        </w:rPr>
        <w:t>Revenue Recognition and Sales Allowances</w:t>
      </w:r>
      <w:r>
        <w:rPr>
          <w:rFonts w:ascii="Arial" w:cs="Arial" w:eastAsia="Arial" w:hAnsi="Arial"/>
          <w:sz w:val="15"/>
          <w:szCs w:val="15"/>
          <w:color w:val="auto"/>
        </w:rPr>
        <w:t xml:space="preserve"> and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for further information regarding our accounting principles.</w:t>
      </w:r>
    </w:p>
    <w:p>
      <w:pPr>
        <w:sectPr>
          <w:pgSz w:w="11900" w:h="16838" w:orient="portrait"/>
          <w:cols w:equalWidth="0" w:num="1">
            <w:col w:w="11420"/>
          </w:cols>
          <w:pgMar w:left="240" w:top="459" w:right="239" w:bottom="144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 and Significant Suppliers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December 31, 2011 and 2010:</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20"/>
                <w:szCs w:val="20"/>
                <w:color w:val="auto"/>
              </w:rPr>
            </w:pPr>
            <w:r>
              <w:rPr>
                <w:rFonts w:ascii="Arial" w:cs="Arial" w:eastAsia="Arial" w:hAnsi="Arial"/>
                <w:sz w:val="14"/>
                <w:szCs w:val="14"/>
                <w:color w:val="auto"/>
              </w:rPr>
              <w:t>(in thousands)</w:t>
            </w: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$17,014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Components</w:t>
            </w:r>
            <w:r>
              <w:rPr>
                <w:rFonts w:ascii="Arial" w:cs="Arial" w:eastAsia="Arial" w:hAnsi="Arial"/>
                <w:sz w:val="11"/>
                <w:szCs w:val="11"/>
                <w:color w:val="auto"/>
              </w:rPr>
              <w:t>(1)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21,819</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Finished goods</w:t>
            </w:r>
            <w:r>
              <w:rPr>
                <w:rFonts w:ascii="Arial" w:cs="Arial" w:eastAsia="Arial" w:hAnsi="Arial"/>
                <w:sz w:val="11"/>
                <w:szCs w:val="11"/>
                <w:color w:val="auto"/>
              </w:rPr>
              <w:t>(2)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54,447</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90,904</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320" w:hanging="452"/>
        <w:spacing w:after="0" w:line="228"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During 2011, we increased our investment in safety stock for certain components, including integrated circuits, as a result of uncertainties regarding the effect that the Tsunami in Japan and the 2012 Chinese New Year holiday would have on our supply chain.</w:t>
      </w:r>
    </w:p>
    <w:p>
      <w:pPr>
        <w:spacing w:after="0" w:line="1" w:lineRule="exact"/>
        <w:rPr>
          <w:rFonts w:ascii="Arial" w:cs="Arial" w:eastAsia="Arial" w:hAnsi="Arial"/>
          <w:sz w:val="22"/>
          <w:szCs w:val="22"/>
          <w:color w:val="auto"/>
          <w:vertAlign w:val="superscript"/>
        </w:rPr>
      </w:pPr>
    </w:p>
    <w:p>
      <w:pPr>
        <w:ind w:left="460" w:right="160" w:hanging="452"/>
        <w:spacing w:after="0" w:line="294" w:lineRule="auto"/>
        <w:tabs>
          <w:tab w:leader="none" w:pos="46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Finished goods increased $16 million, or 42%, from $38.4 million on December 31, 2010 to $54.4 million on December 31, 2011. During the second quarter of 2011, we altered our shipping terms with a significant customer which resulted in us holding title to inventories until shipments are received by them. Prior to altering our shipping terms, title transferred to this significant customer at the shipping point. In addition, we increased our investment in safety stock for certain products, as a result of uncertainties regarding the effect that the 2012 Chinese New Year holiday would have on our supply chain.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reserve for excess and obsolete inventory during the years ended December 30, 2011, 2010 and 2009 were composed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7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 to</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34"/>
        </w:trPr>
        <w:tc>
          <w:tcPr>
            <w:tcW w:w="476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Beginning</w:t>
            </w:r>
          </w:p>
        </w:tc>
        <w:tc>
          <w:tcPr>
            <w:tcW w:w="10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Costs and</w:t>
            </w:r>
          </w:p>
        </w:tc>
        <w:tc>
          <w:tcPr>
            <w:tcW w:w="140" w:type="dxa"/>
            <w:vAlign w:val="bottom"/>
          </w:tcPr>
          <w:p>
            <w:pPr>
              <w:spacing w:after="0"/>
              <w:rPr>
                <w:sz w:val="11"/>
                <w:szCs w:val="11"/>
                <w:color w:val="auto"/>
              </w:rPr>
            </w:pPr>
          </w:p>
        </w:tc>
        <w:tc>
          <w:tcPr>
            <w:tcW w:w="74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Sell</w:t>
            </w:r>
          </w:p>
        </w:tc>
        <w:tc>
          <w:tcPr>
            <w:tcW w:w="1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Write-offs/FX</w:t>
            </w:r>
          </w:p>
        </w:tc>
        <w:tc>
          <w:tcPr>
            <w:tcW w:w="16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49"/>
        </w:trPr>
        <w:tc>
          <w:tcPr>
            <w:tcW w:w="4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740" w:type="dxa"/>
            <w:vAlign w:val="bottom"/>
          </w:tcPr>
          <w:p>
            <w:pPr>
              <w:spacing w:after="0"/>
              <w:rPr>
                <w:sz w:val="12"/>
                <w:szCs w:val="12"/>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of Period</w:t>
            </w:r>
          </w:p>
        </w:tc>
        <w:tc>
          <w:tcPr>
            <w:tcW w:w="1060" w:type="dxa"/>
            <w:vAlign w:val="bottom"/>
            <w:gridSpan w:val="3"/>
          </w:tcPr>
          <w:p>
            <w:pPr>
              <w:ind w:left="20"/>
              <w:spacing w:after="0" w:line="129" w:lineRule="exact"/>
              <w:rPr>
                <w:sz w:val="20"/>
                <w:szCs w:val="20"/>
                <w:color w:val="auto"/>
              </w:rPr>
            </w:pPr>
            <w:r>
              <w:rPr>
                <w:rFonts w:ascii="Arial" w:cs="Arial" w:eastAsia="Arial" w:hAnsi="Arial"/>
                <w:sz w:val="10"/>
                <w:szCs w:val="10"/>
                <w:b w:val="1"/>
                <w:bCs w:val="1"/>
                <w:color w:val="auto"/>
              </w:rPr>
              <w:t>Expenses</w:t>
            </w:r>
            <w:r>
              <w:rPr>
                <w:rFonts w:ascii="Arial" w:cs="Arial" w:eastAsia="Arial" w:hAnsi="Arial"/>
                <w:sz w:val="14"/>
                <w:szCs w:val="14"/>
                <w:b w:val="1"/>
                <w:bCs w:val="1"/>
                <w:color w:val="auto"/>
                <w:vertAlign w:val="superscript"/>
              </w:rPr>
              <w:t>(1)</w:t>
            </w:r>
          </w:p>
        </w:tc>
        <w:tc>
          <w:tcPr>
            <w:tcW w:w="880" w:type="dxa"/>
            <w:vAlign w:val="bottom"/>
            <w:gridSpan w:val="3"/>
          </w:tcPr>
          <w:p>
            <w:pPr>
              <w:spacing w:after="0" w:line="129" w:lineRule="exact"/>
              <w:rPr>
                <w:sz w:val="20"/>
                <w:szCs w:val="20"/>
                <w:color w:val="auto"/>
              </w:rPr>
            </w:pPr>
            <w:r>
              <w:rPr>
                <w:rFonts w:ascii="Arial" w:cs="Arial" w:eastAsia="Arial" w:hAnsi="Arial"/>
                <w:sz w:val="10"/>
                <w:szCs w:val="10"/>
                <w:b w:val="1"/>
                <w:bCs w:val="1"/>
                <w:color w:val="auto"/>
              </w:rPr>
              <w:t>Through</w:t>
            </w:r>
            <w:r>
              <w:rPr>
                <w:rFonts w:ascii="Arial" w:cs="Arial" w:eastAsia="Arial" w:hAnsi="Arial"/>
                <w:sz w:val="14"/>
                <w:szCs w:val="14"/>
                <w:b w:val="1"/>
                <w:bCs w:val="1"/>
                <w:color w:val="auto"/>
                <w:vertAlign w:val="superscript"/>
              </w:rPr>
              <w:t>(2)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9"/>
              </w:rPr>
              <w:t>Effects</w:t>
            </w:r>
          </w:p>
        </w:tc>
        <w:tc>
          <w:tcPr>
            <w:tcW w:w="160" w:type="dxa"/>
            <w:vAlign w:val="bottom"/>
          </w:tcPr>
          <w:p>
            <w:pPr>
              <w:spacing w:after="0"/>
              <w:rPr>
                <w:sz w:val="12"/>
                <w:szCs w:val="12"/>
                <w:color w:val="auto"/>
              </w:rPr>
            </w:pPr>
          </w:p>
        </w:tc>
        <w:tc>
          <w:tcPr>
            <w:tcW w:w="6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of 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Reserve for excess and obsolete inventory:</w:t>
            </w:r>
          </w:p>
        </w:tc>
        <w:tc>
          <w:tcPr>
            <w:tcW w:w="1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440"/>
              <w:spacing w:after="0"/>
              <w:rPr>
                <w:sz w:val="20"/>
                <w:szCs w:val="20"/>
                <w:color w:val="auto"/>
              </w:rPr>
            </w:pPr>
            <w:r>
              <w:rPr>
                <w:rFonts w:ascii="Arial" w:cs="Arial" w:eastAsia="Arial" w:hAnsi="Arial"/>
                <w:sz w:val="18"/>
                <w:szCs w:val="18"/>
                <w:color w:val="auto"/>
              </w:rPr>
              <w:t>Year Ended December 31, 2011</w:t>
            </w: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2,135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4,568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(1,295)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(1,961)</w:t>
            </w:r>
          </w:p>
        </w:tc>
        <w:tc>
          <w:tcPr>
            <w:tcW w:w="70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$ 3,447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Year Ended December 31, 2010</w:t>
            </w: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1,750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(1,043)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w:t>
            </w:r>
          </w:p>
        </w:tc>
        <w:tc>
          <w:tcPr>
            <w:tcW w:w="7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$ 2,135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2"/>
          </w:tcPr>
          <w:p>
            <w:pPr>
              <w:ind w:left="440"/>
              <w:spacing w:after="0"/>
              <w:rPr>
                <w:sz w:val="20"/>
                <w:szCs w:val="20"/>
                <w:color w:val="auto"/>
              </w:rPr>
            </w:pPr>
            <w:r>
              <w:rPr>
                <w:rFonts w:ascii="Arial" w:cs="Arial" w:eastAsia="Arial" w:hAnsi="Arial"/>
                <w:sz w:val="18"/>
                <w:szCs w:val="18"/>
                <w:color w:val="auto"/>
              </w:rPr>
              <w:t>Year Ended December 31, 2009</w:t>
            </w: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1,535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3,340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(865)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(2,260)</w:t>
            </w:r>
          </w:p>
        </w:tc>
        <w:tc>
          <w:tcPr>
            <w:tcW w:w="70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$ 1,750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35"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$1.0 million, $0.6 million, and $0.8 million for the years ended December 31, 2011, 2010, and 2009. These amounts are production waste and are not included in management’s reserve for excess and obsolete inventory.</w:t>
      </w:r>
    </w:p>
    <w:p>
      <w:pPr>
        <w:spacing w:after="0" w:line="1" w:lineRule="exact"/>
        <w:rPr>
          <w:rFonts w:ascii="Arial" w:cs="Arial" w:eastAsia="Arial" w:hAnsi="Arial"/>
          <w:sz w:val="22"/>
          <w:szCs w:val="22"/>
          <w:color w:val="auto"/>
          <w:vertAlign w:val="superscript"/>
        </w:rPr>
      </w:pPr>
    </w:p>
    <w:p>
      <w:pPr>
        <w:ind w:left="460" w:right="200" w:hanging="452"/>
        <w:spacing w:after="0" w:line="233"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for further information regarding our accounting principles.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purchase integrated circuits, used principally in our wireless control products, from two main suppliers. The total purchased from one of these suppliers was greater than 10% of our total inventory purchases for each of the years ended December 31, 2011, 2010, and 2009. In addition, our purchases from one component and finished good supplier amounted to greater than 10% of our total inventory purchases for the year ended December 31, 2010. Our purchases from three component and finished good suppliers each amounted to greater than 10% of our total inventory purchases for the year ended December 31, 2009.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2011, 2010 and 2009, the amounts purchased from these four suppliers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Inventory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Inventory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Inventory</w:t>
            </w: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1"/>
              </w:rPr>
              <w:t>Purchases</w:t>
            </w:r>
          </w:p>
        </w:tc>
        <w:tc>
          <w:tcPr>
            <w:tcW w:w="300" w:type="dxa"/>
            <w:vAlign w:val="bottom"/>
          </w:tcPr>
          <w:p>
            <w:pPr>
              <w:spacing w:after="0"/>
              <w:rPr>
                <w:sz w:val="14"/>
                <w:szCs w:val="14"/>
                <w:color w:val="auto"/>
              </w:rPr>
            </w:pPr>
          </w:p>
        </w:tc>
        <w:tc>
          <w:tcPr>
            <w:tcW w:w="26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(thousands)</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Purchases</w:t>
            </w:r>
          </w:p>
        </w:tc>
        <w:tc>
          <w:tcPr>
            <w:tcW w:w="260" w:type="dxa"/>
            <w:vAlign w:val="bottom"/>
            <w:gridSpan w:val="2"/>
          </w:tcPr>
          <w:p>
            <w:pPr>
              <w:ind w:left="16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(thousands)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Purchases</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Integrated circuit supplier A</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w:t>
            </w:r>
          </w:p>
        </w:tc>
        <w:tc>
          <w:tcPr>
            <w:tcW w:w="3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30,047</w:t>
            </w:r>
          </w:p>
        </w:tc>
        <w:tc>
          <w:tcPr>
            <w:tcW w:w="3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28,290</w:t>
            </w:r>
          </w:p>
        </w:tc>
        <w:tc>
          <w:tcPr>
            <w:tcW w:w="3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8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36,966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44,590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46,004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80" w:type="dxa"/>
            <w:vAlign w:val="bottom"/>
          </w:tcPr>
          <w:p>
            <w:pPr>
              <w:spacing w:after="0"/>
              <w:rPr>
                <w:sz w:val="19"/>
                <w:szCs w:val="19"/>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28,879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each of these suppliers on December 31, 2011 and 2010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Pr>
          <w:p>
            <w:pPr>
              <w:spacing w:after="0"/>
              <w:rPr>
                <w:sz w:val="14"/>
                <w:szCs w:val="14"/>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5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7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Accounts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Accounts</w:t>
            </w:r>
          </w:p>
        </w:tc>
      </w:tr>
      <w:tr>
        <w:trPr>
          <w:trHeight w:val="161"/>
        </w:trPr>
        <w:tc>
          <w:tcPr>
            <w:tcW w:w="5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(thousands)</w:t>
            </w: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Payable</w:t>
            </w: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(thousands)</w:t>
            </w: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Payable</w:t>
            </w:r>
          </w:p>
        </w:tc>
        <w:tc>
          <w:tcPr>
            <w:tcW w:w="200" w:type="dxa"/>
            <w:vAlign w:val="bottom"/>
            <w:tcBorders>
              <w:bottom w:val="single" w:sz="8" w:color="CCEEFF"/>
            </w:tcBorders>
          </w:tcPr>
          <w:p>
            <w:pPr>
              <w:spacing w:after="0"/>
              <w:rPr>
                <w:sz w:val="14"/>
                <w:szCs w:val="14"/>
                <w:color w:val="auto"/>
              </w:rPr>
            </w:pPr>
          </w:p>
        </w:tc>
      </w:tr>
      <w:tr>
        <w:trPr>
          <w:trHeight w:val="210"/>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Integrated circuit supplier 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219"/>
              <w:spacing w:after="0"/>
              <w:rPr>
                <w:sz w:val="20"/>
                <w:szCs w:val="20"/>
                <w:color w:val="auto"/>
              </w:rPr>
            </w:pPr>
            <w:r>
              <w:rPr>
                <w:rFonts w:ascii="Arial" w:cs="Arial" w:eastAsia="Arial" w:hAnsi="Arial"/>
                <w:sz w:val="18"/>
                <w:szCs w:val="18"/>
                <w:color w:val="auto"/>
                <w:w w:val="88"/>
              </w:rPr>
              <w:t>1,725</w:t>
            </w: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center"/>
              <w:ind w:left="219"/>
              <w:spacing w:after="0"/>
              <w:rPr>
                <w:sz w:val="20"/>
                <w:szCs w:val="20"/>
                <w:color w:val="auto"/>
              </w:rPr>
            </w:pPr>
            <w:r>
              <w:rPr>
                <w:rFonts w:ascii="Arial" w:cs="Arial" w:eastAsia="Arial" w:hAnsi="Arial"/>
                <w:sz w:val="18"/>
                <w:szCs w:val="18"/>
                <w:color w:val="auto"/>
                <w:w w:val="88"/>
              </w:rPr>
              <w:t>3,731</w:t>
            </w: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center"/>
              <w:ind w:left="219"/>
              <w:spacing w:after="0"/>
              <w:rPr>
                <w:sz w:val="20"/>
                <w:szCs w:val="20"/>
                <w:color w:val="auto"/>
              </w:rPr>
            </w:pPr>
            <w:r>
              <w:rPr>
                <w:rFonts w:ascii="Arial" w:cs="Arial" w:eastAsia="Arial" w:hAnsi="Arial"/>
                <w:sz w:val="18"/>
                <w:szCs w:val="18"/>
                <w:color w:val="auto"/>
                <w:w w:val="88"/>
              </w:rPr>
              <w:t>9,172</w:t>
            </w:r>
          </w:p>
        </w:tc>
        <w:tc>
          <w:tcPr>
            <w:tcW w:w="6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Component and finished good supplier C</w:t>
            </w:r>
          </w:p>
        </w:tc>
        <w:tc>
          <w:tcPr>
            <w:tcW w:w="8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21"/>
          <w:szCs w:val="21"/>
          <w:color w:val="auto"/>
          <w:vertAlign w:val="superscript"/>
        </w:rPr>
      </w:pPr>
      <w:r>
        <w:rPr>
          <w:rFonts w:ascii="Arial" w:cs="Arial" w:eastAsia="Arial" w:hAnsi="Arial"/>
          <w:sz w:val="17"/>
          <w:szCs w:val="17"/>
          <w:color w:val="auto"/>
        </w:rPr>
        <w:t>Component and finished good supplier B is Enson and its subsidiaries. See Note 21 for further information regarding our acquisition of Enson.</w:t>
      </w:r>
    </w:p>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purchase certain printed circuit board assemblies (“PCBAs”) from a related party vendor. The vendor is considered a related party for financial reporting purposes because the Senior Vice President of Manufacturing of Enson owns 40% of this vendor. Our purchases from this vendor for the year ended December 31, 2011 totaled approximately $8.7 million, or 3.0% of total inventory purchases. Our purchases from this vendor for the year ended December 31, 2010 totaled $1.3 million, or 0.7% of total inventory purchases. Payable amounts outstanding to this vendor were approximately $1.9 million and $1.6 million on December 31, 2011 and 2010, respectively. Our payable terms and pricing with this vendor are consistent with the terms offered by other vendors in the ordinary course of business. The accounting policies that we apply to our transactions with our related party are consistent with those applied in transactions with independent third parties. Corporate management routinely monitors purchases from our related party vendor to ensure these purchases remain consistent with our business objectives.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 at December 31, 2011 and 2010:</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41,679</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Tooling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21,287</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6,489</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14,654</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35,348</w:t>
            </w:r>
          </w:p>
        </w:tc>
        <w:tc>
          <w:tcPr>
            <w:tcW w:w="120" w:type="dxa"/>
            <w:vAlign w:val="bottom"/>
            <w:shd w:val="clear" w:color="auto" w:fill="CCEEFF"/>
          </w:tcPr>
          <w:p>
            <w:pPr>
              <w:spacing w:after="0"/>
              <w:rPr>
                <w:sz w:val="18"/>
                <w:szCs w:val="18"/>
                <w:color w:val="auto"/>
              </w:rPr>
            </w:pPr>
          </w:p>
        </w:tc>
      </w:tr>
      <w:tr>
        <w:trPr>
          <w:trHeight w:val="221"/>
        </w:trPr>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137,688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126,624</w:t>
            </w:r>
          </w:p>
        </w:tc>
        <w:tc>
          <w:tcPr>
            <w:tcW w:w="120" w:type="dxa"/>
            <w:vAlign w:val="bottom"/>
          </w:tcPr>
          <w:p>
            <w:pPr>
              <w:spacing w:after="0"/>
              <w:rPr>
                <w:sz w:val="19"/>
                <w:szCs w:val="19"/>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(66,291)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(54,868)</w:t>
            </w:r>
          </w:p>
        </w:tc>
      </w:tr>
      <w:tr>
        <w:trPr>
          <w:trHeight w:val="221"/>
        </w:trPr>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71,397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71,756</w:t>
            </w:r>
          </w:p>
        </w:tc>
        <w:tc>
          <w:tcPr>
            <w:tcW w:w="120" w:type="dxa"/>
            <w:vAlign w:val="bottom"/>
          </w:tcPr>
          <w:p>
            <w:pPr>
              <w:spacing w:after="0"/>
              <w:rPr>
                <w:sz w:val="19"/>
                <w:szCs w:val="19"/>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20" w:type="dxa"/>
            <w:vAlign w:val="bottom"/>
            <w:shd w:val="clear" w:color="auto" w:fill="CCEEFF"/>
          </w:tcPr>
          <w:p>
            <w:pPr>
              <w:spacing w:after="0"/>
              <w:rPr>
                <w:sz w:val="18"/>
                <w:szCs w:val="18"/>
                <w:color w:val="auto"/>
              </w:rPr>
            </w:pPr>
          </w:p>
        </w:tc>
      </w:tr>
      <w:tr>
        <w:trPr>
          <w:trHeight w:val="222"/>
        </w:trPr>
        <w:tc>
          <w:tcPr>
            <w:tcW w:w="6620" w:type="dxa"/>
            <w:vAlign w:val="bottom"/>
          </w:tcPr>
          <w:p>
            <w:pPr>
              <w:ind w:left="440"/>
              <w:spacing w:after="0"/>
              <w:rPr>
                <w:sz w:val="20"/>
                <w:szCs w:val="20"/>
                <w:color w:val="auto"/>
              </w:rPr>
            </w:pPr>
            <w:r>
              <w:rPr>
                <w:rFonts w:ascii="Arial" w:cs="Arial" w:eastAsia="Arial" w:hAnsi="Arial"/>
                <w:sz w:val="18"/>
                <w:szCs w:val="18"/>
                <w:color w:val="auto"/>
              </w:rPr>
              <w:t>Total property, plant, and equipment, net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80,449</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78,097</w:t>
            </w:r>
          </w:p>
        </w:tc>
        <w:tc>
          <w:tcPr>
            <w:tcW w:w="12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Depreciation expense, including tooling depreciation which is recorded in cost of goods sold, was $13.1 million, $5.9 million and $5.0 million for the years ended December 31, 2011, 2010, and 2009, respectively.</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net book value of property, plant, and equipment located within the People’s Republic of China was $71.0 million and $70.3 million on December 31, 2011 and 2010, respectively.</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31, 2011, construction in progress included $6.9 million of building and building improvements, $0.4 million of tooling, $0.4 million of internal use software costs and $1.4 million of machinery and equipment. We expect that approximately 96% of the construction in progress costs will be placed in service during the first and second quarters of 2012. We will begin to depreciate these assets once the assets are placed in service. On December 31, 2010, construction in progress included $2.2 million of building and building improvements, $0.8 million of tooling, $1.7 million of internal use software costs and $1.6 million of machinery and equipment</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Long-Lived and Intangible Assets Impairment</w:t>
      </w:r>
      <w:r>
        <w:rPr>
          <w:rFonts w:ascii="Arial" w:cs="Arial" w:eastAsia="Arial" w:hAnsi="Arial"/>
          <w:sz w:val="18"/>
          <w:szCs w:val="18"/>
          <w:color w:val="auto"/>
        </w:rPr>
        <w:t xml:space="preserve"> for further information regarding our accounting principles.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Under the accounting guidance, the unit of accounting for goodwill is at a level of reporting referred to as a “reporting unit.” A reporting unit is either (1) an operating segment or (2) one level below an operating segment — referred to as a component. During the fourth quarter 2010, as a result of us flattening our management structure, we merged our international component with our domestic component. We no longer have segment management of the international component and the financial results of our international component are not separate. In addition, these components have similar economic characteristics. As a result of these changes, our domestic and international components have been merged into our single operating segment.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goodwill on December 31, 2011 and changes in the carrying amount of goodwill during the two years ended December 31, 2011 were the following:</w:t>
      </w:r>
    </w:p>
    <w:p>
      <w:pPr>
        <w:sectPr>
          <w:pgSz w:w="11900" w:h="16838" w:orient="portrait"/>
          <w:cols w:equalWidth="0" w:num="1">
            <w:col w:w="11420"/>
          </w:cols>
          <w:pgMar w:left="240" w:top="459" w:right="239" w:bottom="1440" w:gutter="0" w:footer="0" w:header="0"/>
        </w:sectPr>
      </w:pPr>
    </w:p>
    <w:p>
      <w:pPr>
        <w:spacing w:after="0" w:line="232"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Balance at December 31, 2009</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 xml:space="preserve">Goodwill acquired during the period </w:t>
      </w:r>
      <w:r>
        <w:rPr>
          <w:rFonts w:ascii="Arial" w:cs="Arial" w:eastAsia="Arial" w:hAnsi="Arial"/>
          <w:sz w:val="10"/>
          <w:szCs w:val="10"/>
          <w:color w:val="auto"/>
        </w:rPr>
        <w:t>(1)</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December 31, 2010</w:t>
      </w:r>
    </w:p>
    <w:p>
      <w:pPr>
        <w:spacing w:after="0" w:line="15"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Goodwill acquired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-114935</wp:posOffset>
            </wp:positionV>
            <wp:extent cx="49225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1"/>
          <w:szCs w:val="11"/>
          <w:color w:val="auto"/>
        </w:rPr>
        <w:t>(2)</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right"/>
        <w:ind w:left="100" w:right="1880" w:hanging="98"/>
        <w:spacing w:after="0" w:line="293" w:lineRule="auto"/>
        <w:rPr>
          <w:sz w:val="20"/>
          <w:szCs w:val="20"/>
          <w:color w:val="auto"/>
        </w:rPr>
      </w:pPr>
      <w:r>
        <w:rPr>
          <w:rFonts w:ascii="Arial" w:cs="Arial" w:eastAsia="Arial" w:hAnsi="Arial"/>
          <w:sz w:val="16"/>
          <w:szCs w:val="16"/>
          <w:color w:val="auto"/>
        </w:rPr>
        <w:t>$13,724 17,336 (183)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89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$30,877</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689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$30,820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3689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180" w:space="720"/>
            <w:col w:w="2520"/>
          </w:cols>
          <w:pgMar w:left="240" w:top="459" w:right="239" w:bottom="1440" w:gutter="0" w:footer="0" w:header="0"/>
          <w:type w:val="continuous"/>
        </w:sectPr>
      </w:pPr>
    </w:p>
    <w:p>
      <w:pPr>
        <w:spacing w:after="0" w:line="12" w:lineRule="exact"/>
        <w:rPr>
          <w:sz w:val="20"/>
          <w:szCs w:val="20"/>
          <w:color w:val="auto"/>
        </w:rPr>
      </w:pPr>
    </w:p>
    <w:p>
      <w:pPr>
        <w:ind w:left="460" w:right="220" w:hanging="452"/>
        <w:spacing w:after="0" w:line="228"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During the fourth quarter of 2010, we recorded $17.3 million of goodwill related to the Enson acquisition. Please refer to Note 21 for further information about this acquisition.</w:t>
      </w:r>
    </w:p>
    <w:p>
      <w:pPr>
        <w:spacing w:after="0" w:line="1" w:lineRule="exact"/>
        <w:rPr>
          <w:rFonts w:ascii="Arial" w:cs="Arial" w:eastAsia="Arial" w:hAnsi="Arial"/>
          <w:sz w:val="22"/>
          <w:szCs w:val="22"/>
          <w:color w:val="auto"/>
          <w:vertAlign w:val="superscript"/>
        </w:rPr>
      </w:pPr>
    </w:p>
    <w:p>
      <w:pPr>
        <w:ind w:left="460" w:right="300" w:hanging="452"/>
        <w:spacing w:after="0" w:line="22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The adjustment included in international goodwill was the result of fluctuations in the foreign currency exchange rates used to translate the balance into U.S. dollars.</w:t>
      </w:r>
    </w:p>
    <w:p>
      <w:pPr>
        <w:sectPr>
          <w:pgSz w:w="11900" w:h="16838" w:orient="portrait"/>
          <w:cols w:equalWidth="0" w:num="1">
            <w:col w:w="11420"/>
          </w:cols>
          <w:pgMar w:left="240" w:top="459" w:right="239" w:bottom="1440" w:gutter="0" w:footer="0" w:header="0"/>
          <w:type w:val="continuous"/>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conducted annual goodwill impairment reviews on December 31, 2011, 2010, and 2009 utilizing significant unobservable inputs (level 3). Based on the analysis performed, we determined that our goodwill was not impaired.</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for further information regarding our accounting principles and the valuation methodology utilized.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at December 31, 2011 and December 31, 2010 are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Distribution rights (10 years)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(10 years)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 xml:space="preserve">Trademark and trade names (10 years)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Developed and core technology (5 -15 years)</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Capitalized software development costs (1-2 years)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 (10-15 years)</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23,058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Total carrying amount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44,079</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(11,265)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32,814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43,577</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(7,583)</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This table excludes the gross value of fully amortized intangible assets totaling $8.1 million and $7.6 million on December 31, 2011 and 2010, respectively.</w:t>
      </w:r>
    </w:p>
    <w:p>
      <w:pPr>
        <w:spacing w:after="0" w:line="7" w:lineRule="exact"/>
        <w:rPr>
          <w:rFonts w:ascii="Arial" w:cs="Arial" w:eastAsia="Arial" w:hAnsi="Arial"/>
          <w:sz w:val="20"/>
          <w:szCs w:val="20"/>
          <w:color w:val="auto"/>
          <w:vertAlign w:val="superscript"/>
        </w:rPr>
      </w:pPr>
    </w:p>
    <w:p>
      <w:pPr>
        <w:ind w:left="460" w:right="360" w:hanging="452"/>
        <w:spacing w:after="0" w:line="233" w:lineRule="auto"/>
        <w:tabs>
          <w:tab w:leader="none" w:pos="460" w:val="left"/>
        </w:tabs>
        <w:numPr>
          <w:ilvl w:val="0"/>
          <w:numId w:val="31"/>
        </w:numPr>
        <w:rPr>
          <w:rFonts w:ascii="Arial" w:cs="Arial" w:eastAsia="Arial" w:hAnsi="Arial"/>
          <w:sz w:val="21"/>
          <w:szCs w:val="21"/>
          <w:color w:val="auto"/>
          <w:vertAlign w:val="superscript"/>
        </w:rPr>
      </w:pPr>
      <w:r>
        <w:rPr>
          <w:rFonts w:ascii="Arial" w:cs="Arial" w:eastAsia="Arial" w:hAnsi="Arial"/>
          <w:sz w:val="17"/>
          <w:szCs w:val="17"/>
          <w:color w:val="auto"/>
        </w:rPr>
        <w:t>As part of our acquisition of Enson during the fourth quarter of 2010, we purchased trademark and trade names valued at $2.0 million, which are being amortized ratably over ten years. Refer to Note 21 for further information regarding our purchase of trademark and trade names.</w:t>
      </w:r>
    </w:p>
    <w:p>
      <w:pPr>
        <w:ind w:left="460" w:right="120" w:hanging="452"/>
        <w:spacing w:after="0" w:line="225"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During the first quarter of 2009, we purchased core technology from Zilog Inc. valued at $3.5 million, which is being amortized ratably over fifteen years. Refer to Note 21 for further information about this acquisition.</w:t>
      </w:r>
    </w:p>
    <w:p>
      <w:pPr>
        <w:jc w:val="both"/>
        <w:ind w:left="460" w:right="340" w:hanging="452"/>
        <w:spacing w:after="0" w:line="269" w:lineRule="auto"/>
        <w:tabs>
          <w:tab w:leader="none" w:pos="46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During the first quarter of 2009, we purchased customer relationships from Zilog valued at $3.1 million, which are being amortized ratably over fifteen years. During the fourth quarter of 2010 as part of the Enson acquisition we purchased customer relationships valued at $23.3 million, which are being amortized ratably over ten years. Refer to Note 21 for further information regarding our purchase of these customer relationships.</w:t>
      </w:r>
    </w:p>
    <w:p>
      <w:pPr>
        <w:spacing w:after="0" w:line="13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Amortization expense is recorded in selling, general and administrative expenses, except amortization expense related to capitalized software development costs which is recorded in cost of sales. Amortization expense by income statement caption during the years ended December 31, 2011, 2010 and 2009 is the following:</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vMerge w:val="continue"/>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2010</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3,795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4,246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520" w:type="dxa"/>
            <w:vAlign w:val="bottom"/>
            <w:vMerge w:val="restart"/>
          </w:tcPr>
          <w:p>
            <w:pPr>
              <w:jc w:val="right"/>
              <w:ind w:right="2132"/>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6620" w:type="dxa"/>
            <w:vAlign w:val="bottom"/>
          </w:tcPr>
          <w:p>
            <w:pPr>
              <w:jc w:val="center"/>
              <w:ind w:left="1052"/>
              <w:spacing w:after="0"/>
              <w:rPr>
                <w:sz w:val="20"/>
                <w:szCs w:val="20"/>
                <w:color w:val="auto"/>
              </w:rPr>
            </w:pPr>
            <w:r>
              <w:rPr>
                <w:rFonts w:ascii="Arial" w:cs="Arial" w:eastAsia="Arial" w:hAnsi="Arial"/>
                <w:sz w:val="18"/>
                <w:szCs w:val="18"/>
                <w:b w:val="1"/>
                <w:bCs w:val="1"/>
                <w:color w:val="auto"/>
                <w:w w:val="98"/>
              </w:rPr>
              <w:t>UNIVERSAL ELECTRONICS INC.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jc w:val="center"/>
              <w:ind w:left="105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1840" w:type="dxa"/>
            <w:vAlign w:val="bottom"/>
          </w:tcPr>
          <w:p>
            <w:pPr>
              <w:spacing w:after="0"/>
              <w:rPr>
                <w:sz w:val="19"/>
                <w:szCs w:val="19"/>
                <w:color w:val="auto"/>
              </w:rPr>
            </w:pPr>
          </w:p>
        </w:tc>
        <w:tc>
          <w:tcPr>
            <w:tcW w:w="6620" w:type="dxa"/>
            <w:vAlign w:val="bottom"/>
          </w:tcPr>
          <w:p>
            <w:pPr>
              <w:jc w:val="center"/>
              <w:ind w:left="1032"/>
              <w:spacing w:after="0"/>
              <w:rPr>
                <w:sz w:val="20"/>
                <w:szCs w:val="20"/>
                <w:color w:val="auto"/>
              </w:rPr>
            </w:pPr>
            <w:r>
              <w:rPr>
                <w:rFonts w:ascii="Arial" w:cs="Arial" w:eastAsia="Arial" w:hAnsi="Arial"/>
                <w:sz w:val="18"/>
                <w:szCs w:val="18"/>
                <w:b w:val="1"/>
                <w:bCs w:val="1"/>
                <w:color w:val="auto"/>
                <w:w w:val="93"/>
              </w:rPr>
              <w:t>DECEMBER 31, 2011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5"/>
        </w:trPr>
        <w:tc>
          <w:tcPr>
            <w:tcW w:w="8460" w:type="dxa"/>
            <w:vAlign w:val="bottom"/>
            <w:gridSpan w:val="2"/>
          </w:tcPr>
          <w:p>
            <w:pPr>
              <w:spacing w:after="0"/>
              <w:rPr>
                <w:sz w:val="20"/>
                <w:szCs w:val="20"/>
                <w:color w:val="auto"/>
              </w:rPr>
            </w:pPr>
            <w:r>
              <w:rPr>
                <w:rFonts w:ascii="Arial" w:cs="Arial" w:eastAsia="Arial" w:hAnsi="Arial"/>
                <w:sz w:val="18"/>
                <w:szCs w:val="18"/>
                <w:color w:val="auto"/>
                <w:w w:val="96"/>
              </w:rPr>
              <w:t>Estimated future amortization expense related to our intangible assets at December 31, 2011, is the following:</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8460" w:type="dxa"/>
            <w:vAlign w:val="bottom"/>
            <w:gridSpan w:val="2"/>
          </w:tcPr>
          <w:p>
            <w:pPr>
              <w:ind w:left="1840"/>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00" w:type="dxa"/>
            <w:vAlign w:val="bottom"/>
            <w:shd w:val="clear" w:color="auto" w:fill="CCEEFF"/>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13,195</w:t>
            </w:r>
          </w:p>
        </w:tc>
        <w:tc>
          <w:tcPr>
            <w:tcW w:w="10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32,814</w:t>
            </w:r>
          </w:p>
        </w:tc>
        <w:tc>
          <w:tcPr>
            <w:tcW w:w="100" w:type="dxa"/>
            <w:vAlign w:val="bottom"/>
            <w:shd w:val="clear" w:color="auto" w:fill="CCEEFF"/>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is 8.8 years.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recorded impairment charges related to our intangible assets of $0.01 million, $0.02 million and $0.01 million for the years ended December 31, 2011, 2010, and 2009, respectively. Impairment charges are recorded in selling, general and administrative expenses as a component of amortization expense, except impairment charges related to capitalized software development costs which are recorded in cost of sales. The fair value adjustments for intangible assets measured at fair value on a nonrecurring basis during the year ended December 31, 2011 were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tcBorders>
              <w:bottom w:val="single" w:sz="8" w:color="auto"/>
            </w:tcBorders>
            <w:gridSpan w:val="5"/>
          </w:tcPr>
          <w:p>
            <w:pPr>
              <w:jc w:val="center"/>
              <w:ind w:left="630"/>
              <w:spacing w:after="0"/>
              <w:rPr>
                <w:sz w:val="20"/>
                <w:szCs w:val="20"/>
                <w:color w:val="auto"/>
              </w:rPr>
            </w:pPr>
            <w:r>
              <w:rPr>
                <w:rFonts w:ascii="Arial" w:cs="Arial" w:eastAsia="Arial" w:hAnsi="Arial"/>
                <w:sz w:val="14"/>
                <w:szCs w:val="14"/>
                <w:b w:val="1"/>
                <w:bCs w:val="1"/>
                <w:color w:val="auto"/>
                <w:w w:val="88"/>
              </w:rPr>
              <w:t>Fair Value Measurement Using</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 Active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Significant</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Markets</w:t>
            </w:r>
          </w:p>
        </w:tc>
        <w:tc>
          <w:tcPr>
            <w:tcW w:w="120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6"/>
              </w:rPr>
              <w:t>Unobservable</w:t>
            </w: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4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20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6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9"/>
        </w:trPr>
        <w:tc>
          <w:tcPr>
            <w:tcW w:w="41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120" w:type="dxa"/>
            <w:vAlign w:val="bottom"/>
            <w:gridSpan w:val="2"/>
            <w:vMerge w:val="continue"/>
          </w:tcPr>
          <w:p>
            <w:pPr>
              <w:spacing w:after="0"/>
              <w:rPr>
                <w:sz w:val="11"/>
                <w:szCs w:val="11"/>
                <w:color w:val="auto"/>
              </w:rPr>
            </w:pPr>
          </w:p>
        </w:tc>
        <w:tc>
          <w:tcPr>
            <w:tcW w:w="15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78"/>
              </w:rPr>
              <w:t>Assets</w:t>
            </w:r>
          </w:p>
        </w:tc>
        <w:tc>
          <w:tcPr>
            <w:tcW w:w="12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149"/>
        </w:trPr>
        <w:tc>
          <w:tcPr>
            <w:tcW w:w="4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202"/>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(Level 1)</w:t>
            </w:r>
          </w:p>
        </w:tc>
        <w:tc>
          <w:tcPr>
            <w:tcW w:w="12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2"/>
                <w:szCs w:val="12"/>
                <w:color w:val="auto"/>
              </w:rPr>
            </w:pPr>
          </w:p>
        </w:tc>
        <w:tc>
          <w:tcPr>
            <w:tcW w:w="9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(Level 3)</w:t>
            </w:r>
          </w:p>
        </w:tc>
        <w:tc>
          <w:tcPr>
            <w:tcW w:w="260" w:type="dxa"/>
            <w:vAlign w:val="bottom"/>
          </w:tcPr>
          <w:p>
            <w:pPr>
              <w:spacing w:after="0"/>
              <w:rPr>
                <w:sz w:val="12"/>
                <w:szCs w:val="12"/>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Patents, trademarks and trade names</w:t>
            </w: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6,198</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6,198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  (10)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disposed of five patents and sixteen trademarks with an aggregate carrying amount of $10 thousand resulting in impairment charges of $10 thousand during 2011. We disposed of thirteen patents and eight trademarks with an aggregate carrying amount of $21 thousand resulting in impairment charges of $21 thousand during 2010. We disposed of patents and trademarks with a carrying amount of $13 thousand in 2009. These assets no longer held any probable future economic benefits and were written-off.</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Long-Lived and Intangible Assets Impairment, Capitalized Software Development Costs,</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for further information regarding our accounting principles and the valuation methodology utilized.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Notes Payable and Line of Credit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Notes payable and line of credit on December 31, 2011 and 2010 were comprised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20" w:type="dxa"/>
            <w:vAlign w:val="bottom"/>
          </w:tcPr>
          <w:p>
            <w:pPr>
              <w:spacing w:after="0"/>
              <w:rPr>
                <w:sz w:val="14"/>
                <w:szCs w:val="14"/>
                <w:color w:val="auto"/>
              </w:rPr>
            </w:pPr>
          </w:p>
        </w:tc>
        <w:tc>
          <w:tcPr>
            <w:tcW w:w="170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 Outstanding</w:t>
            </w: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22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tcBorders>
            <w:gridSpan w:val="2"/>
          </w:tcPr>
          <w:p>
            <w:pPr>
              <w:jc w:val="center"/>
              <w:ind w:left="34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 Bank Term Loan Facility</w:t>
            </w:r>
            <w:r>
              <w:rPr>
                <w:rFonts w:ascii="Arial" w:cs="Arial" w:eastAsia="Arial" w:hAnsi="Arial"/>
                <w:sz w:val="11"/>
                <w:szCs w:val="11"/>
                <w:color w:val="auto"/>
              </w:rPr>
              <w:t>(1)</w:t>
            </w:r>
          </w:p>
        </w:tc>
        <w:tc>
          <w:tcPr>
            <w:tcW w:w="2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$14,400</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 xml:space="preserve">U.S. Bank Revolving Credit Line </w:t>
            </w:r>
            <w:r>
              <w:rPr>
                <w:rFonts w:ascii="Arial" w:cs="Arial" w:eastAsia="Arial" w:hAnsi="Arial"/>
                <w:sz w:val="11"/>
                <w:szCs w:val="11"/>
                <w:color w:val="auto"/>
              </w:rPr>
              <w:t>(2)</w:t>
            </w:r>
          </w:p>
        </w:tc>
        <w:tc>
          <w:tcPr>
            <w:tcW w:w="2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16,400</w:t>
            </w:r>
          </w:p>
        </w:tc>
        <w:tc>
          <w:tcPr>
            <w:tcW w:w="1020" w:type="dxa"/>
            <w:vAlign w:val="bottom"/>
            <w:gridSpan w:val="2"/>
            <w:shd w:val="clear" w:color="auto" w:fill="CCEEFF"/>
          </w:tcPr>
          <w:p>
            <w:pPr>
              <w:jc w:val="center"/>
              <w:ind w:left="36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54" w:lineRule="auto"/>
        <w:tabs>
          <w:tab w:leader="none" w:pos="460" w:val="left"/>
        </w:tabs>
        <w:numPr>
          <w:ilvl w:val="0"/>
          <w:numId w:val="32"/>
        </w:numPr>
        <w:rPr>
          <w:rFonts w:ascii="Arial" w:cs="Arial" w:eastAsia="Arial" w:hAnsi="Arial"/>
          <w:sz w:val="21"/>
          <w:szCs w:val="21"/>
          <w:color w:val="auto"/>
          <w:vertAlign w:val="superscript"/>
        </w:rPr>
      </w:pPr>
      <w:r>
        <w:rPr>
          <w:rFonts w:ascii="Arial" w:cs="Arial" w:eastAsia="Arial" w:hAnsi="Arial"/>
          <w:sz w:val="17"/>
          <w:szCs w:val="17"/>
          <w:color w:val="auto"/>
        </w:rPr>
        <w:t>Under the U.S. Bank term loan, we may elect to pay interest based on the bank’s prime rate or LIBOR plus a fixed margin of 1.5%. The applicable LIBOR (1, 3, 6, or 12-month LIBOR) corresponds with the loan period we select. On December 31, 2011, the 1-month LIBOR plus the fixed margin was approximately 1.78%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3" w:lineRule="exact"/>
        <w:rPr>
          <w:rFonts w:ascii="Arial" w:cs="Arial" w:eastAsia="Arial" w:hAnsi="Arial"/>
          <w:sz w:val="21"/>
          <w:szCs w:val="21"/>
          <w:color w:val="auto"/>
          <w:vertAlign w:val="superscript"/>
        </w:rPr>
      </w:pPr>
    </w:p>
    <w:p>
      <w:pPr>
        <w:ind w:left="460" w:right="100" w:hanging="452"/>
        <w:spacing w:after="0" w:line="256" w:lineRule="auto"/>
        <w:tabs>
          <w:tab w:leader="none" w:pos="460" w:val="left"/>
        </w:tabs>
        <w:numPr>
          <w:ilvl w:val="0"/>
          <w:numId w:val="32"/>
        </w:numPr>
        <w:rPr>
          <w:rFonts w:ascii="Arial" w:cs="Arial" w:eastAsia="Arial" w:hAnsi="Arial"/>
          <w:sz w:val="21"/>
          <w:szCs w:val="21"/>
          <w:color w:val="auto"/>
          <w:vertAlign w:val="superscript"/>
        </w:rPr>
      </w:pPr>
      <w:r>
        <w:rPr>
          <w:rFonts w:ascii="Arial" w:cs="Arial" w:eastAsia="Arial" w:hAnsi="Arial"/>
          <w:sz w:val="17"/>
          <w:szCs w:val="17"/>
          <w:color w:val="auto"/>
        </w:rPr>
        <w:t>Under the U.S. Bank secured revolving credit line, we may elect to pay interest based on the bank’s prime rate or LIBOR plus a fixed margin of 1.8%. The applicable LIBOR (1, 3, 6, or 12-month LIBOR) corresponds with the loan period we select. At December 31, 2011, the 12-month LIBOR plus the fixed margin was 2.90%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Our total interest expense on borrowings was $0.4 million and $0.1 million during the years ended December 31, 2011 and 2010,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Bank Credit Facility</w:t>
      </w:r>
    </w:p>
    <w:p>
      <w:pPr>
        <w:spacing w:after="0" w:line="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November 1, 2010, we amended and restated our existing credit agreement with U.S. Bank. The amendments added a new $35.0 million secured term loan facility (“Term Loan”) for the purpose of financing a portion of our acquisition of Enson Assets Limited. In addition, our existing $15.0 million unsecured revolving credit line with U.S. Bank (“Credit Facility”) became a secured facility, the amount available for borrowing was increased to $20.0 million, and the expiration date was extended from October 31, 2011 to November 1, 2013.</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U.S. Bank credit agreement is secured by sixty-five percent of Enson Assets Limited. Amounts available for borrowing are reduced by the balance of any outstanding import letters of credit and are subject to certain quarterly financial covenants related to our cash flow, fixed charges, quick ratio, and net income. On March 2, 2012, we entered into an amendment adjusting the quick ratio effective December 31, 2011. We were not in breach of our debt covenants on December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1-year Term Loan</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December 31, 2011, we had an outstanding balance of $14.4 million related to our U.S. Bank 1-year term loan facility. Our term loan, along with our line of credit and available cash, was utilized to finance the acquisition of Enson and to pay related transaction costs, fees, and expenses. Amounts paid or prepaid on the term loan may not be re-borrowed. The minimum principal payments for the term loan are $2.2 million each quarter, and began on January 5, 2011. On October 31, 2011, we extended the maturity date of this term loan to November 1,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Line</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December 31, 2011, we had an outstanding balance of $2.0 million related to our U.S. Bank secured revolving credit line. The drawing on our credit line was utilized to supplement our cash flows from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2011, 2010, and 2009, pre-tax income was attributed to the following jurisdictions: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40" w:type="dxa"/>
            <w:vAlign w:val="bottom"/>
            <w:gridSpan w:val="2"/>
          </w:tcPr>
          <w:p>
            <w:pPr>
              <w:jc w:val="center"/>
              <w:ind w:left="412"/>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$10,878</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Foreign operations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21,952</w:t>
            </w:r>
          </w:p>
        </w:tc>
        <w:tc>
          <w:tcPr>
            <w:tcW w:w="4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10,980</w:t>
            </w:r>
          </w:p>
        </w:tc>
        <w:tc>
          <w:tcPr>
            <w:tcW w:w="580" w:type="dxa"/>
            <w:vAlign w:val="bottom"/>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25,231</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21,858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for the twelve months ended December 31, 2011, 2010 and 2009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1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1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6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2"/>
          </w:tcPr>
          <w:p>
            <w:pPr>
              <w:ind w:left="440"/>
              <w:spacing w:after="0"/>
              <w:rPr>
                <w:sz w:val="20"/>
                <w:szCs w:val="20"/>
                <w:color w:val="auto"/>
              </w:rPr>
            </w:pPr>
            <w:r>
              <w:rPr>
                <w:rFonts w:ascii="Arial" w:cs="Arial" w:eastAsia="Arial" w:hAnsi="Arial"/>
                <w:sz w:val="18"/>
                <w:szCs w:val="18"/>
                <w:color w:val="auto"/>
              </w:rPr>
              <w:t>U.S. federal</w:t>
            </w:r>
          </w:p>
        </w:tc>
        <w:tc>
          <w:tcPr>
            <w:tcW w:w="1640" w:type="dxa"/>
            <w:vAlign w:val="bottom"/>
            <w:gridSpan w:val="6"/>
          </w:tcPr>
          <w:p>
            <w:pPr>
              <w:jc w:val="right"/>
              <w:ind w:right="332"/>
              <w:spacing w:after="0"/>
              <w:rPr>
                <w:sz w:val="20"/>
                <w:szCs w:val="20"/>
                <w:color w:val="auto"/>
              </w:rPr>
            </w:pPr>
            <w:r>
              <w:rPr>
                <w:rFonts w:ascii="Arial" w:cs="Arial" w:eastAsia="Arial" w:hAnsi="Arial"/>
                <w:sz w:val="18"/>
                <w:szCs w:val="18"/>
                <w:color w:val="auto"/>
              </w:rPr>
              <w:t>$ 1,319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$3,814</w:t>
            </w:r>
          </w:p>
        </w:tc>
        <w:tc>
          <w:tcPr>
            <w:tcW w:w="100" w:type="dxa"/>
            <w:vAlign w:val="bottom"/>
          </w:tcPr>
          <w:p>
            <w:pPr>
              <w:spacing w:after="0"/>
              <w:rPr>
                <w:sz w:val="18"/>
                <w:szCs w:val="18"/>
                <w:color w:val="auto"/>
              </w:rPr>
            </w:pP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$ 7,003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1640" w:type="dxa"/>
            <w:vAlign w:val="bottom"/>
            <w:gridSpan w:val="6"/>
            <w:shd w:val="clear" w:color="auto" w:fill="CCEEFF"/>
          </w:tcPr>
          <w:p>
            <w:pPr>
              <w:jc w:val="right"/>
              <w:ind w:right="332"/>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00" w:type="dxa"/>
            <w:vAlign w:val="bottom"/>
            <w:gridSpan w:val="2"/>
          </w:tcPr>
          <w:p>
            <w:pPr>
              <w:ind w:left="440"/>
              <w:spacing w:after="0"/>
              <w:rPr>
                <w:sz w:val="20"/>
                <w:szCs w:val="20"/>
                <w:color w:val="auto"/>
              </w:rPr>
            </w:pPr>
            <w:r>
              <w:rPr>
                <w:rFonts w:ascii="Arial" w:cs="Arial" w:eastAsia="Arial" w:hAnsi="Arial"/>
                <w:sz w:val="18"/>
                <w:szCs w:val="18"/>
                <w:color w:val="auto"/>
              </w:rPr>
              <w:t>Foreign</w:t>
            </w:r>
          </w:p>
        </w:tc>
        <w:tc>
          <w:tcPr>
            <w:tcW w:w="680" w:type="dxa"/>
            <w:vAlign w:val="bottom"/>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5,122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w:t>
            </w:r>
          </w:p>
        </w:tc>
        <w:tc>
          <w:tcPr>
            <w:tcW w:w="1640" w:type="dxa"/>
            <w:vAlign w:val="bottom"/>
            <w:gridSpan w:val="6"/>
            <w:shd w:val="clear" w:color="auto" w:fill="CCEEFF"/>
          </w:tcPr>
          <w:p>
            <w:pPr>
              <w:jc w:val="right"/>
              <w:ind w:right="332"/>
              <w:spacing w:after="0"/>
              <w:rPr>
                <w:sz w:val="20"/>
                <w:szCs w:val="20"/>
                <w:color w:val="auto"/>
              </w:rPr>
            </w:pPr>
            <w:r>
              <w:rPr>
                <w:rFonts w:ascii="Arial" w:cs="Arial" w:eastAsia="Arial" w:hAnsi="Arial"/>
                <w:sz w:val="18"/>
                <w:szCs w:val="18"/>
                <w:color w:val="auto"/>
              </w:rPr>
              <w:t>6,453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Deferred tax (benefit) expense:</w:t>
            </w:r>
          </w:p>
        </w:tc>
        <w:tc>
          <w:tcPr>
            <w:tcW w:w="6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federal</w:t>
            </w:r>
          </w:p>
        </w:tc>
        <w:tc>
          <w:tcPr>
            <w:tcW w:w="1640" w:type="dxa"/>
            <w:vAlign w:val="bottom"/>
            <w:gridSpan w:val="6"/>
            <w:shd w:val="clear" w:color="auto" w:fill="CCEEFF"/>
          </w:tcPr>
          <w:p>
            <w:pPr>
              <w:jc w:val="right"/>
              <w:ind w:right="332"/>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1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2"/>
          </w:tcPr>
          <w:p>
            <w:pPr>
              <w:ind w:left="440"/>
              <w:spacing w:after="0"/>
              <w:rPr>
                <w:sz w:val="20"/>
                <w:szCs w:val="20"/>
                <w:color w:val="auto"/>
              </w:rPr>
            </w:pPr>
            <w:r>
              <w:rPr>
                <w:rFonts w:ascii="Arial" w:cs="Arial" w:eastAsia="Arial" w:hAnsi="Arial"/>
                <w:sz w:val="18"/>
                <w:szCs w:val="18"/>
                <w:color w:val="auto"/>
              </w:rPr>
              <w:t>State and local</w:t>
            </w:r>
          </w:p>
        </w:tc>
        <w:tc>
          <w:tcPr>
            <w:tcW w:w="1640" w:type="dxa"/>
            <w:vAlign w:val="bottom"/>
            <w:gridSpan w:val="6"/>
          </w:tcPr>
          <w:p>
            <w:pPr>
              <w:jc w:val="right"/>
              <w:ind w:right="272"/>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1100" w:type="dxa"/>
            <w:vAlign w:val="bottom"/>
            <w:gridSpan w:val="5"/>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6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72"/>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40" w:type="dxa"/>
            <w:vAlign w:val="bottom"/>
            <w:vMerge w:val="restart"/>
          </w:tcPr>
          <w:p>
            <w:pPr>
              <w:ind w:left="420"/>
              <w:spacing w:after="0"/>
              <w:rPr>
                <w:sz w:val="20"/>
                <w:szCs w:val="20"/>
                <w:color w:val="auto"/>
              </w:rPr>
            </w:pPr>
            <w:r>
              <w:rPr>
                <w:rFonts w:ascii="Arial" w:cs="Arial" w:eastAsia="Arial" w:hAnsi="Arial"/>
                <w:sz w:val="18"/>
                <w:szCs w:val="18"/>
                <w:color w:val="auto"/>
              </w:rPr>
              <w:t>Total deferred</w:t>
            </w: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gridSpan w:val="5"/>
          </w:tcPr>
          <w:p>
            <w:pPr>
              <w:jc w:val="right"/>
              <w:ind w:right="272"/>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1100" w:type="dxa"/>
            <w:vAlign w:val="bottom"/>
            <w:gridSpan w:val="5"/>
          </w:tcPr>
          <w:p>
            <w:pPr>
              <w:jc w:val="right"/>
              <w:ind w:right="4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for income taxes</w:t>
            </w:r>
          </w:p>
        </w:tc>
        <w:tc>
          <w:tcPr>
            <w:tcW w:w="6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$ 5,285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6,777</w:t>
            </w:r>
          </w:p>
        </w:tc>
        <w:tc>
          <w:tcPr>
            <w:tcW w:w="10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$ 7,502</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color w:val="auto"/>
                <w:w w:val="97"/>
              </w:rPr>
              <w:t>Net deferred tax assets were comprised of the following on December 31, 2011 and 2010:</w:t>
            </w: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2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6100" w:type="dxa"/>
            <w:vAlign w:val="bottom"/>
            <w:gridSpan w:val="2"/>
          </w:tcPr>
          <w:p>
            <w:pPr>
              <w:ind w:left="460"/>
              <w:spacing w:after="0"/>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96"/>
              </w:rPr>
              <w:t>2011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6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Inventory reserves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Capitalized research costs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inventory costs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Net operating losses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Income tax credits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2,335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assets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13,205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12,588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100" w:type="dxa"/>
            <w:vAlign w:val="bottom"/>
            <w:gridSpan w:val="2"/>
          </w:tcPr>
          <w:p>
            <w:pPr>
              <w:ind w:left="460"/>
              <w:spacing w:after="0"/>
              <w:rPr>
                <w:sz w:val="20"/>
                <w:szCs w:val="20"/>
                <w:color w:val="auto"/>
              </w:rPr>
            </w:pPr>
            <w:r>
              <w:rPr>
                <w:rFonts w:ascii="Arial" w:cs="Arial" w:eastAsia="Arial" w:hAnsi="Arial"/>
                <w:sz w:val="18"/>
                <w:szCs w:val="18"/>
                <w:color w:val="auto"/>
              </w:rPr>
              <w:t>Deferred tax liability:</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(4,883)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(3,190)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(3,565)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Acquired intangible assets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(1,522)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(1,214)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 tax liabilities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(9,625)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(10,173)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6100" w:type="dxa"/>
            <w:vAlign w:val="bottom"/>
            <w:gridSpan w:val="2"/>
          </w:tcPr>
          <w:p>
            <w:pPr>
              <w:ind w:left="460"/>
              <w:spacing w:after="0"/>
              <w:rPr>
                <w:sz w:val="20"/>
                <w:szCs w:val="20"/>
                <w:color w:val="auto"/>
              </w:rPr>
            </w:pPr>
            <w:r>
              <w:rPr>
                <w:rFonts w:ascii="Arial" w:cs="Arial" w:eastAsia="Arial" w:hAnsi="Arial"/>
                <w:sz w:val="18"/>
                <w:szCs w:val="18"/>
                <w:color w:val="auto"/>
              </w:rPr>
              <w:t>Net deferred tax assets before valuation allowance</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3,580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100" w:type="dxa"/>
            <w:vAlign w:val="bottom"/>
            <w:gridSpan w:val="2"/>
            <w:vMerge w:val="restart"/>
          </w:tcPr>
          <w:p>
            <w:pPr>
              <w:ind w:left="460"/>
              <w:spacing w:after="0"/>
              <w:rPr>
                <w:sz w:val="20"/>
                <w:szCs w:val="20"/>
                <w:color w:val="auto"/>
              </w:rPr>
            </w:pPr>
            <w:r>
              <w:rPr>
                <w:rFonts w:ascii="Arial" w:cs="Arial" w:eastAsia="Arial" w:hAnsi="Arial"/>
                <w:sz w:val="18"/>
                <w:szCs w:val="18"/>
                <w:color w:val="auto"/>
              </w:rPr>
              <w:t>Net deferred tax assets</w:t>
            </w: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100" w:type="dxa"/>
            <w:vAlign w:val="bottom"/>
            <w:gridSpan w:val="2"/>
            <w:vMerge w:val="continue"/>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December 31, 2011 and 2010, current deferred tax liabilities were $0.1 million and $0.1 million, respectively. The deferred tax valuation allowance was $0.1 million and $0.1 million on December 31, 2011 and 2010, respectively.</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5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Tax provision at statutory U.S. rate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$ 8,578</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$7,650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Increase (decrease) in tax provision resulting from:</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State and local taxes, net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000" w:type="dxa"/>
            <w:vAlign w:val="bottom"/>
          </w:tcPr>
          <w:p>
            <w:pPr>
              <w:ind w:left="880"/>
              <w:spacing w:after="0"/>
              <w:rPr>
                <w:sz w:val="20"/>
                <w:szCs w:val="20"/>
                <w:color w:val="auto"/>
              </w:rPr>
            </w:pPr>
            <w:r>
              <w:rPr>
                <w:rFonts w:ascii="Arial" w:cs="Arial" w:eastAsia="Arial" w:hAnsi="Arial"/>
                <w:sz w:val="18"/>
                <w:szCs w:val="18"/>
                <w:color w:val="auto"/>
              </w:rPr>
              <w:t>Foreign tax rate differential</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(3,528)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Nondeductible items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Federal research and development credits</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(503)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(723)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593</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$ 5,285</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6,777</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December 31, 2011, we had state Research and Experimentation (“R&amp;E”) income tax credit carry forwards of approximately $2.1 million. The state R&amp;E income tax credits do not have an expiration date.</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December 31, 2011, we had federal, state and foreign net operating losses of approximately $3.5 million, $5.0 million and $0.1 million, respectively. All of the federal and state net operating loss carry forwards were acquired as part of the acquisition of SimpleDevices. The federal and state net operating loss carry forwards begin to expire during 2020 and 2016, respectively. Approximately $0.2 million of the foreign net operating losses will begin to expire in 2020.</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Internal Revenue Code Section 382 places certain limitations on the annual amount of net operating loss carry forwards that may be utilized if certain changes to a company’s ownership occur. Our acquisition of SimpleDevices was a change in ownership pursuant to Section 382 of the Internal Revenue Code, and the federal and state net operating loss carry forwards of SimpleDevices are limited but considered realizable in future periods. The annual federal limitation is approximately $0.6 million for 2011 and thereafter. California has suspended utilization of net operating losses for 2010 and 2011.</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31, 2011, we believed it was more likely than not that certain deferred tax assets related to the impairment of our investment in a private company (a capital asset) would not be realized due to uncertainties as to the timing and amounts of future capital gains. Accordingly, a valuation allowance of approximately $0.1 million was recorded as of December 31, 2011 and 2010. Additionally, we recorded $20 thousand of various state and foreign valuation allowances at December 31, 2011 and 2010.</w:t>
      </w:r>
    </w:p>
    <w:p>
      <w:pPr>
        <w:spacing w:after="0" w:line="143"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During the years ended December 31, 2011, 2010 and 2009 we recognized a credit to paid-in capital and a reduction to income taxes payable of $0.3 million, 0.2 million and $0.4 million, respectively, related to the tax benefit from the exercises of non-qualified stock options and vesting of restricted stock under our stock-based incentive plans.</w:t>
      </w:r>
    </w:p>
    <w:p>
      <w:pPr>
        <w:spacing w:after="0" w:line="14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During 2010, we settled an audit in France by the French Tax Authorities for fiscal years 2005 and 2006 which resulted in the reversal of $0.1 million of previously recorded uncertain tax positions being credited into income.</w:t>
      </w:r>
    </w:p>
    <w:p>
      <w:pPr>
        <w:spacing w:after="0" w:line="132"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At December 31, 2011 and 2010, we had unrecognized tax benefits of approximately $5.6 million and $5.6 million, including interest and penalties, respectively. In accordance with accounting guidance, we have elected to classify interest and penalties as components of tax expense. Interest and penalties were $0.2 million for each of the years ended December 31, 2011, 2010 and 2009. Interest and penalties are included in the unrecognized tax benefits.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gross unrecognized tax benefits at December 31, 2011, 2010 and 2009, and the changes during those years then ended, are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$ 5,411</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$2,580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$ 7,504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Subtractions as a result of tax provisions taken during the prior year</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Foreign currency translation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Lapse in statute of limitations</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(5,232)</w:t>
            </w: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000" w:type="dxa"/>
            <w:vAlign w:val="bottom"/>
          </w:tcPr>
          <w:p>
            <w:pPr>
              <w:spacing w:after="0"/>
              <w:rPr>
                <w:sz w:val="20"/>
                <w:szCs w:val="20"/>
                <w:color w:val="auto"/>
              </w:rPr>
            </w:pPr>
            <w:r>
              <w:rPr>
                <w:rFonts w:ascii="Arial" w:cs="Arial" w:eastAsia="Arial" w:hAnsi="Arial"/>
                <w:sz w:val="18"/>
                <w:szCs w:val="18"/>
                <w:color w:val="auto"/>
              </w:rPr>
              <w:t>Ending balance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5,387</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$ 5,411</w:t>
            </w:r>
          </w:p>
        </w:tc>
        <w:tc>
          <w:tcPr>
            <w:tcW w:w="2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$ 2,580</w:t>
            </w:r>
          </w:p>
        </w:tc>
      </w:tr>
      <w:tr>
        <w:trPr>
          <w:trHeight w:val="20"/>
        </w:trPr>
        <w:tc>
          <w:tcPr>
            <w:tcW w:w="7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Approximately $5.0 million and $5.1 million of the total amount of gross unrecognized tax benefits at December 31, 2011 and 2010, respectively, would affect the annual effective tax rate, if recognized. Furthermore, we are unaware of any positions for which it is reasonably possible that the total amounts of unrecognized tax benefits will significantly increase within the next twelve months. We anticipate a decrease in gross unrecognized tax benefits of approximately $0.2 million within the next twelve months based on federal, state, and foreign statute expirations in various jurisdictions.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file income tax returns in the U.S. federal jurisdictions and in various state and foreign jurisdictions. At December 31, 2011 the open statutes of limitations for our significant tax jurisdictions are the following: federal and state are 2006 through 2011 and non-U.S. are 2002 through 2010. At December 31, 2011, our gross unrecognized tax benefits of $5.6 million, which included $0.2 million of interest, are classified as long term because we do not anticipate payment of cash related to those unrecognized tax benefits within one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further information regarding our accounting principles.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December 31, 2011 and 2010 are listed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$20,027</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Accrued salary/wages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vacation/holiday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Accrued bonus</w:t>
            </w:r>
            <w:r>
              <w:rPr>
                <w:rFonts w:ascii="Arial" w:cs="Arial" w:eastAsia="Arial" w:hAnsi="Arial"/>
                <w:sz w:val="11"/>
                <w:szCs w:val="11"/>
                <w:color w:val="auto"/>
              </w:rPr>
              <w:t>(2)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Accrued medical insurance claims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compensation</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ind w:left="440"/>
              <w:spacing w:after="0"/>
              <w:rPr>
                <w:sz w:val="20"/>
                <w:szCs w:val="20"/>
                <w:color w:val="auto"/>
              </w:rPr>
            </w:pPr>
            <w:r>
              <w:rPr>
                <w:rFonts w:ascii="Arial" w:cs="Arial" w:eastAsia="Arial" w:hAnsi="Arial"/>
                <w:sz w:val="18"/>
                <w:szCs w:val="18"/>
                <w:color w:val="auto"/>
              </w:rPr>
              <w:t>Total accrued compensation</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29,204</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30,634</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83" w:lineRule="auto"/>
        <w:tabs>
          <w:tab w:leader="none" w:pos="46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Effective January 1, 2008, the Chinese Labor Contract Law was enacted in the People’s Republic of China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2011 and 2010.</w:t>
      </w:r>
    </w:p>
    <w:p>
      <w:pPr>
        <w:spacing w:after="0" w:line="2" w:lineRule="exact"/>
        <w:rPr>
          <w:rFonts w:ascii="Arial" w:cs="Arial" w:eastAsia="Arial" w:hAnsi="Arial"/>
          <w:sz w:val="19"/>
          <w:szCs w:val="19"/>
          <w:color w:val="auto"/>
          <w:vertAlign w:val="superscript"/>
        </w:rPr>
      </w:pPr>
    </w:p>
    <w:p>
      <w:pPr>
        <w:ind w:left="460" w:right="160" w:hanging="452"/>
        <w:spacing w:after="0" w:line="237"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Accrued bonus contains an accrual for an extra month of salary (“13</w:t>
      </w:r>
      <w:r>
        <w:rPr>
          <w:rFonts w:ascii="Arial" w:cs="Arial" w:eastAsia="Arial" w:hAnsi="Arial"/>
          <w:sz w:val="11"/>
          <w:szCs w:val="11"/>
          <w:color w:val="auto"/>
        </w:rPr>
        <w:t>th</w:t>
      </w:r>
      <w:r>
        <w:rPr>
          <w:rFonts w:ascii="Arial" w:cs="Arial" w:eastAsia="Arial" w:hAnsi="Arial"/>
          <w:sz w:val="18"/>
          <w:szCs w:val="18"/>
          <w:color w:val="auto"/>
        </w:rPr>
        <w:t xml:space="preserve"> month salary”) to be paid to employees in certain geographies where it is the customary business practice. This 13</w:t>
      </w:r>
      <w:r>
        <w:rPr>
          <w:rFonts w:ascii="Arial" w:cs="Arial" w:eastAsia="Arial" w:hAnsi="Arial"/>
          <w:sz w:val="11"/>
          <w:szCs w:val="11"/>
          <w:color w:val="auto"/>
        </w:rPr>
        <w:t>th</w:t>
      </w:r>
      <w:r>
        <w:rPr>
          <w:rFonts w:ascii="Arial" w:cs="Arial" w:eastAsia="Arial" w:hAnsi="Arial"/>
          <w:sz w:val="18"/>
          <w:szCs w:val="18"/>
          <w:color w:val="auto"/>
        </w:rPr>
        <w:t xml:space="preserve"> month salary is paid to these employees if they remain employed with us through December 31, 2011. The total accrued for the 13</w:t>
      </w:r>
      <w:r>
        <w:rPr>
          <w:rFonts w:ascii="Arial" w:cs="Arial" w:eastAsia="Arial" w:hAnsi="Arial"/>
          <w:sz w:val="11"/>
          <w:szCs w:val="11"/>
          <w:color w:val="auto"/>
        </w:rPr>
        <w:t>th</w:t>
      </w:r>
      <w:r>
        <w:rPr>
          <w:rFonts w:ascii="Arial" w:cs="Arial" w:eastAsia="Arial" w:hAnsi="Arial"/>
          <w:sz w:val="18"/>
          <w:szCs w:val="18"/>
          <w:color w:val="auto"/>
        </w:rPr>
        <w:t xml:space="preserve"> month salary is $0.4 million. The remaining accrued bonus will to be paid to non-executive level employees. Executive management was not paid bonuses related to the year ended December 31, 2011.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December 31, 2011 and 2010 are listed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Amount due to CG International Holdings Limited</w:t>
            </w:r>
            <w:r>
              <w:rPr>
                <w:rFonts w:ascii="Arial" w:cs="Arial" w:eastAsia="Arial" w:hAnsi="Arial"/>
                <w:sz w:val="11"/>
                <w:szCs w:val="11"/>
                <w:color w:val="auto"/>
              </w:rPr>
              <w:t>(1)</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Accrued freight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Accrued duties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Accrued advertising and marketing</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1"/>
                <w:szCs w:val="11"/>
                <w:color w:val="auto"/>
              </w:rPr>
              <w:t>(2)</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Accrued third-party commissions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taxes, VAT and ICMS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1"/>
                <w:szCs w:val="11"/>
                <w:color w:val="auto"/>
              </w:rPr>
              <w:t>(2)</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other accrued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40" w:hanging="452"/>
        <w:spacing w:after="0" w:line="228"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We made a payment of $2.0 million to CG International Holdings Limited during January 2012. We made an additional payment of $1.0 million during February 2012. See Note 21 for further information regarding our acquisition of Enson.</w:t>
      </w:r>
    </w:p>
    <w:p>
      <w:pPr>
        <w:spacing w:after="0" w:line="1" w:lineRule="exact"/>
        <w:rPr>
          <w:rFonts w:ascii="Arial" w:cs="Arial" w:eastAsia="Arial" w:hAnsi="Arial"/>
          <w:sz w:val="22"/>
          <w:szCs w:val="22"/>
          <w:color w:val="auto"/>
          <w:vertAlign w:val="superscript"/>
        </w:rPr>
      </w:pPr>
    </w:p>
    <w:p>
      <w:pPr>
        <w:ind w:left="460" w:right="140" w:hanging="452"/>
        <w:spacing w:after="0" w:line="225"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The tooling and property, plant and equipment accrual balances relate to amounts capitalized within property, plant, and equipment, net on December 31, 2011 and 2010, respectively.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lease land, office and warehouse space, and certain office equipment under operating leases that expire at various dates through November 30, 2060.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$3.2 million, $2.5 million and $2.5 million for the years ended December 31, 2011, 2010 and 2009,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minimum non-cancelable operating lease payments at December 31, 2011:</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160" w:type="dxa"/>
            <w:vAlign w:val="bottom"/>
          </w:tcPr>
          <w:p>
            <w:pPr>
              <w:spacing w:after="0"/>
              <w:rPr>
                <w:sz w:val="20"/>
                <w:szCs w:val="20"/>
                <w:color w:val="auto"/>
              </w:rPr>
            </w:pPr>
            <w:r>
              <w:rPr>
                <w:rFonts w:ascii="Arial" w:cs="Arial" w:eastAsia="Arial" w:hAnsi="Arial"/>
                <w:sz w:val="14"/>
                <w:szCs w:val="14"/>
                <w:color w:val="auto"/>
              </w:rPr>
              <w:t>(in thousands)</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$2,366</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2016</w:t>
            </w:r>
          </w:p>
        </w:tc>
        <w:tc>
          <w:tcPr>
            <w:tcW w:w="50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Total operating lease commitments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7,452</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Non-level Rents and Lease Incentives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Some of our leases are subject to rent escalations. For these leases, we recognize rent expense for the total contractual obligation utilizing the straight-line method over the lease term, ranging from 12 to 60 months. The related short term liability is recorded in other accrued expenses (see Note 11) and the related long term liability is recorded in other long term liabilities. The total liability related to rent escalations was $0.03 million at both December 31, 2011 and 2010.</w:t>
      </w:r>
    </w:p>
    <w:p>
      <w:pPr>
        <w:spacing w:after="0" w:line="10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lease agreement for our corporate headquarters contains an allowance for tenant improvements of $0.4 million, which was paid to us upon completion of the renovation in 2008. This tenant improvement allowance is being amortized as a credit against rent expense over the 73-month term of the lease, which began on January 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Costs During Construction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Rental costs associated with building and ground operating leases incurred during a construction period are expensed.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Leases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Private ownership of land in the People’s Republic of China (“PRC”) is not allowed. All land in the PRC is owned by the government and cannot be sold to any individual or entity. Land use rights are allocated for free, granted or transferred for consideration by the PRC State Land Administration Bureau or its authorized branches. Our subsidiary Enson operates two factories within the PRC on which the land is leased from the government as of December 31, 2011. These land leases were prepaid to the PRC government at the time Enson occupied the land. We have obtained land-use right certificates for the land pertaining to these factories. In addition, Enson has obtained government approval to develop a parcel of land, for which we are in the process of obtaining a land-use right certificate. We have also prepaid the lease for this parcel of land.</w:t>
      </w:r>
    </w:p>
    <w:p>
      <w:pPr>
        <w:spacing w:after="0" w:line="12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first factory is located in the city of Guangzhou in the Guangdong province. The unamortized value of this prepaid lease is $1.6 million on December 31, 2011, and will be amortized on a straight-line basis over the remaining term of approximately 24 years. The buildings located on this land have a net book value of $16.0 million on December 31, 2011 and are being amortized over an estimated remaining life of approximately 20 years.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second factory is located in the city of Yangzhou in the Jiangsu province. The remaining net book value of this prepaid lease is $3.0 million on December 31, 2011, and will be amortized on a straight-line basis over the remaining term of approximately 47 years. The buildings located on this land have a net book value of $18.3 million on December 31, 2011 and are being amortized over an estimated remaining life of 27 years. In addition, the facility under construction located on this land has a net book value of $6.4 million on December 31, 2011 and will be amortized over an estimated remaining life of 25 years upon completion. We estimate this construction-in-process will be placed into service during the second quarter of 2012.</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4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4"/>
              </w:rPr>
              <w:t>Accruals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for</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Warranties</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Cash or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8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in Kind)</w:t>
            </w:r>
          </w:p>
        </w:tc>
        <w:tc>
          <w:tcPr>
            <w:tcW w:w="30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34"/>
        </w:trPr>
        <w:tc>
          <w:tcPr>
            <w:tcW w:w="4080" w:type="dxa"/>
            <w:vAlign w:val="bottom"/>
            <w:gridSpan w:val="2"/>
            <w:vMerge w:val="continue"/>
          </w:tcPr>
          <w:p>
            <w:pPr>
              <w:spacing w:after="0"/>
              <w:rPr>
                <w:sz w:val="11"/>
                <w:szCs w:val="11"/>
                <w:color w:val="auto"/>
              </w:rPr>
            </w:pPr>
          </w:p>
        </w:tc>
        <w:tc>
          <w:tcPr>
            <w:tcW w:w="182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Beginning</w:t>
            </w:r>
          </w:p>
        </w:tc>
        <w:tc>
          <w:tcPr>
            <w:tcW w:w="340" w:type="dxa"/>
            <w:vAlign w:val="bottom"/>
          </w:tcPr>
          <w:p>
            <w:pPr>
              <w:spacing w:after="0"/>
              <w:rPr>
                <w:sz w:val="11"/>
                <w:szCs w:val="11"/>
                <w:color w:val="auto"/>
              </w:rPr>
            </w:pPr>
          </w:p>
        </w:tc>
        <w:tc>
          <w:tcPr>
            <w:tcW w:w="1340" w:type="dxa"/>
            <w:vAlign w:val="bottom"/>
            <w:gridSpan w:val="3"/>
          </w:tcPr>
          <w:p>
            <w:pPr>
              <w:jc w:val="center"/>
              <w:ind w:right="680"/>
              <w:spacing w:after="0" w:line="135" w:lineRule="exact"/>
              <w:rPr>
                <w:sz w:val="20"/>
                <w:szCs w:val="20"/>
                <w:color w:val="auto"/>
              </w:rPr>
            </w:pPr>
            <w:r>
              <w:rPr>
                <w:rFonts w:ascii="Arial" w:cs="Arial" w:eastAsia="Arial" w:hAnsi="Arial"/>
                <w:sz w:val="14"/>
                <w:szCs w:val="14"/>
                <w:b w:val="1"/>
                <w:bCs w:val="1"/>
                <w:color w:val="auto"/>
                <w:w w:val="88"/>
              </w:rPr>
              <w:t>During the</w:t>
            </w: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During the</w:t>
            </w:r>
          </w:p>
        </w:tc>
        <w:tc>
          <w:tcPr>
            <w:tcW w:w="300" w:type="dxa"/>
            <w:vAlign w:val="bottom"/>
          </w:tcPr>
          <w:p>
            <w:pPr>
              <w:spacing w:after="0"/>
              <w:rPr>
                <w:sz w:val="11"/>
                <w:szCs w:val="11"/>
                <w:color w:val="auto"/>
              </w:rPr>
            </w:pPr>
          </w:p>
        </w:tc>
        <w:tc>
          <w:tcPr>
            <w:tcW w:w="6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820" w:type="dxa"/>
            <w:vAlign w:val="bottom"/>
          </w:tcPr>
          <w:p>
            <w:pPr>
              <w:spacing w:after="0"/>
              <w:rPr>
                <w:sz w:val="12"/>
                <w:szCs w:val="12"/>
                <w:color w:val="auto"/>
              </w:rPr>
            </w:pPr>
          </w:p>
        </w:tc>
        <w:tc>
          <w:tcPr>
            <w:tcW w:w="9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of Period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7"/>
              </w:rPr>
              <w:t>Period</w:t>
            </w:r>
          </w:p>
        </w:tc>
        <w:tc>
          <w:tcPr>
            <w:tcW w:w="80" w:type="dxa"/>
            <w:vAlign w:val="bottom"/>
          </w:tcPr>
          <w:p>
            <w:pPr>
              <w:spacing w:after="0"/>
              <w:rPr>
                <w:sz w:val="12"/>
                <w:szCs w:val="12"/>
                <w:color w:val="auto"/>
              </w:rPr>
            </w:pPr>
          </w:p>
        </w:tc>
        <w:tc>
          <w:tcPr>
            <w:tcW w:w="9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6"/>
              </w:rPr>
              <w:t>Period</w:t>
            </w:r>
          </w:p>
        </w:tc>
        <w:tc>
          <w:tcPr>
            <w:tcW w:w="300" w:type="dxa"/>
            <w:vAlign w:val="bottom"/>
          </w:tcPr>
          <w:p>
            <w:pPr>
              <w:spacing w:after="0"/>
              <w:rPr>
                <w:sz w:val="12"/>
                <w:szCs w:val="12"/>
                <w:color w:val="auto"/>
              </w:rPr>
            </w:pPr>
          </w:p>
        </w:tc>
        <w:tc>
          <w:tcPr>
            <w:tcW w:w="6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8"/>
              </w:rPr>
              <w:t>of 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2011</w:t>
            </w:r>
          </w:p>
        </w:tc>
        <w:tc>
          <w:tcPr>
            <w:tcW w:w="1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Year Ended December 31, 2010</w:t>
            </w:r>
          </w:p>
        </w:tc>
        <w:tc>
          <w:tcPr>
            <w:tcW w:w="208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208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July 15, 2011, we filed a lawsuit against Logitech, Inc., Logitech International S.A. and Logitech Europe S.A. in the United States District Court, Central District of California (Universal Electronics Inc. v. Logitech, Inc., Logitech International S.A. and Logitech Europe S.A., SACV 11-1056-JVS(ANx)) alleging that the Logitech companies are infringing seventeen of our patents related to remote control technology. We have alleged that this complaint relates to multiple Logitech remote control products, including the Harmony H300, H650, H700, H900, One, H1100, Logitech Revue (for Google TV), Harmony remote apps for iOS and Android platforms, and other applications and/or programming for touch screen mobile devices. We are seeking monetary relief for the infringement, including enhanced damages due to the willfulness of the Logitech companies’ actions, injunctive relief to enjoin the Logitech companies from further infringing, including contributory infringement and/or inducing infringement, and attorneys’ fees. In its answer, filed on November 3, 2011, the Logitech companies generally denied all of our allegations of infringement and counterclaimed that we are infringing five of their patents. On November 24, 2011, we answered the Logitech companies’ counterclaims, generally denying all of their allegations of infringement and we are vigorously defending ourselves against these counterclaims.</w:t>
      </w:r>
    </w:p>
    <w:p>
      <w:pPr>
        <w:spacing w:after="0" w:line="33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On March 2, 2012, we filed a lawsuit against Universal Remote Control, Inc. (“URC”) in the United States District Court, Central District of California (Universal Electronics Inc. v. Universal Remote Control, Inc., SACV12-0039 AG (JPRx)) alleging that URC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not yet answered our complaint.</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There are no other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or results of operations. Moreover, we believe that our products do not infringe any third parties’ patents or other intellectual property rights.</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the first quarter of 2009 our Compensation Committee awarded a discretionary cash bonus of $1.0 million, to be paid out quarterly during 2009 and 2010. The Compensation Committee made this decision after reviewing the economic environment and our relative financial and operating performance. Each participant’s earned award vested in eight equal quarterly installments beginning March 31, 2009 and ending December 31, 2010. Approximately $0.5 million and $0.3 million was paid and expensed, respectively, during each of the years ended December 31, 2010 and 2009. At December 31, 2010 and 2009, $0 and $0.3 million, respectively, have been included in accrued compensation for this discretionary bonus.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At December 31, 2011, the amounts deferred under the plan were immaterial to our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subsidiary in India maintains a defined benefit pension plan (“India Plan”) for local employees, which is consistent with local statutes and practices. The pension plan was adequately funded on December 31, 2011 based on its latest actuarial report. The India Plan has an independent external manager that advises us of the appropriate funding contribution requirements to which we comply. At December 31, 2011, approximately 20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2011 and 2010 for the India Plan is not material. During the years ended December 31, 2011, 2010, and 2009, the net periodic benefit costs were also not material.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9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During the years ended December 31, 2011, 2010, and 2009, we repurchased 456,964, 505,692, and 404,643 shares of our common stock at a cost of $9.8 million, $10.1 million and $7.7 million, respectively. Repurchased shares are recorded as shares held in treasury at cost. We hold these shares for future use as management and the Board of Directors deem appropriate, which has included compensating our outside directors. During the years ended December 31, 2011, 2010, and 2009, we issued 30,000, 29,583, and 25,000 shares from treasury, respectively, to outside directors for services performed (see Note 16). Repurchases may be made whenever we deem a repurchase is a good use of our cash and the price to be paid is at or below a threshold approved by our Board.</w:t>
      </w:r>
    </w:p>
    <w:p>
      <w:pPr>
        <w:spacing w:after="0" w:line="10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On February 11, 2010, our Board of Directors authorized management to repurchase up to 1,000,000 shares of our issued and outstanding common stock. As of December 31, 2011, we have repurchased 930,090 shares of our common stock under this authorization, leaving 69,910 shares available for repurchase.</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On October 26, 2011, our Board of Directors authorized management to repurchase an additional 1,000,000 shares of our issued and outstanding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shares under the Board authorization approved on October 26,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 to Outside Directors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issue restricted stock awards to our outside directors as compensation for services performed. We grant each of our outside directors 5,000 shares of our common stock annually each July 1st. When an additional outside director is appointed to our Board of Directors, they receive a prorated number of shares based on the number of months they will serve during the initial year. Compensation expense related to restricted stock awards is based on the grant date fair value the shares awarded. The fair value of these shares is amortized on a straight-line basis over the requisite service period of one year (see Note 2 under the caption </w:t>
      </w:r>
      <w:r>
        <w:rPr>
          <w:rFonts w:ascii="Arial" w:cs="Arial" w:eastAsia="Arial" w:hAnsi="Arial"/>
          <w:sz w:val="18"/>
          <w:szCs w:val="18"/>
          <w:i w:val="1"/>
          <w:iCs w:val="1"/>
          <w:color w:val="auto"/>
        </w:rPr>
        <w:t xml:space="preserve">Stock-Based </w:t>
      </w:r>
      <w:r>
        <w:rPr>
          <w:rFonts w:ascii="Arial" w:cs="Arial" w:eastAsia="Arial" w:hAnsi="Arial"/>
          <w:sz w:val="18"/>
          <w:szCs w:val="18"/>
          <w:color w:val="auto"/>
        </w:rPr>
        <w:t>Compensation and Note 16). The shares are issued from treasury stock using a first-in-first-out cost basis, which amounted to $0.4 million and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2011 and 2010, respectively.</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Business Segment and Foreign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for the years ended December 31, 2011, 2010, and 2009 were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20"/>
                <w:szCs w:val="20"/>
                <w:color w:val="auto"/>
              </w:rPr>
            </w:pPr>
            <w:r>
              <w:rPr>
                <w:rFonts w:ascii="Arial" w:cs="Arial" w:eastAsia="Arial" w:hAnsi="Arial"/>
                <w:sz w:val="14"/>
                <w:szCs w:val="14"/>
                <w:color w:val="auto"/>
              </w:rPr>
              <w:t>(in thousands)</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1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$137,654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$ 119,284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$142,876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People’s Republic of China</w:t>
            </w:r>
          </w:p>
        </w:tc>
        <w:tc>
          <w:tcPr>
            <w:tcW w:w="680" w:type="dxa"/>
            <w:vAlign w:val="bottom"/>
          </w:tcPr>
          <w:p>
            <w:pPr>
              <w:jc w:val="right"/>
              <w:spacing w:after="0"/>
              <w:rPr>
                <w:sz w:val="20"/>
                <w:szCs w:val="20"/>
                <w:color w:val="auto"/>
              </w:rPr>
            </w:pPr>
            <w:r>
              <w:rPr>
                <w:rFonts w:ascii="Arial" w:cs="Arial" w:eastAsia="Arial" w:hAnsi="Arial"/>
                <w:sz w:val="18"/>
                <w:szCs w:val="18"/>
                <w:color w:val="auto"/>
              </w:rPr>
              <w:t>106,080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34,222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United Kingdom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41,575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Argentina</w:t>
            </w:r>
          </w:p>
        </w:tc>
        <w:tc>
          <w:tcPr>
            <w:tcW w:w="680" w:type="dxa"/>
            <w:vAlign w:val="bottom"/>
          </w:tcPr>
          <w:p>
            <w:pPr>
              <w:jc w:val="right"/>
              <w:spacing w:after="0"/>
              <w:rPr>
                <w:sz w:val="20"/>
                <w:szCs w:val="20"/>
                <w:color w:val="auto"/>
              </w:rPr>
            </w:pPr>
            <w:r>
              <w:rPr>
                <w:rFonts w:ascii="Arial" w:cs="Arial" w:eastAsia="Arial" w:hAnsi="Arial"/>
                <w:sz w:val="18"/>
                <w:szCs w:val="18"/>
                <w:color w:val="auto"/>
              </w:rPr>
              <w:t>6,603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4,791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Australia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Brazil</w:t>
            </w:r>
          </w:p>
        </w:tc>
        <w:tc>
          <w:tcPr>
            <w:tcW w:w="680" w:type="dxa"/>
            <w:vAlign w:val="bottom"/>
          </w:tcPr>
          <w:p>
            <w:pPr>
              <w:jc w:val="right"/>
              <w:spacing w:after="0"/>
              <w:rPr>
                <w:sz w:val="20"/>
                <w:szCs w:val="20"/>
                <w:color w:val="auto"/>
              </w:rPr>
            </w:pPr>
            <w:r>
              <w:rPr>
                <w:rFonts w:ascii="Arial" w:cs="Arial" w:eastAsia="Arial" w:hAnsi="Arial"/>
                <w:sz w:val="18"/>
                <w:szCs w:val="18"/>
                <w:color w:val="auto"/>
              </w:rPr>
              <w:t>7,520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1,791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Canada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13,419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France</w:t>
            </w:r>
          </w:p>
        </w:tc>
        <w:tc>
          <w:tcPr>
            <w:tcW w:w="680" w:type="dxa"/>
            <w:vAlign w:val="bottom"/>
          </w:tcPr>
          <w:p>
            <w:pPr>
              <w:jc w:val="right"/>
              <w:spacing w:after="0"/>
              <w:rPr>
                <w:sz w:val="20"/>
                <w:szCs w:val="20"/>
                <w:color w:val="auto"/>
              </w:rPr>
            </w:pPr>
            <w:r>
              <w:rPr>
                <w:rFonts w:ascii="Arial" w:cs="Arial" w:eastAsia="Arial" w:hAnsi="Arial"/>
                <w:sz w:val="18"/>
                <w:szCs w:val="18"/>
                <w:color w:val="auto"/>
              </w:rPr>
              <w:t>3,683</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3,768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Germany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Israel</w:t>
            </w:r>
          </w:p>
        </w:tc>
        <w:tc>
          <w:tcPr>
            <w:tcW w:w="680" w:type="dxa"/>
            <w:vAlign w:val="bottom"/>
          </w:tcPr>
          <w:p>
            <w:pPr>
              <w:jc w:val="right"/>
              <w:spacing w:after="0"/>
              <w:rPr>
                <w:sz w:val="20"/>
                <w:szCs w:val="20"/>
                <w:color w:val="auto"/>
              </w:rPr>
            </w:pPr>
            <w:r>
              <w:rPr>
                <w:rFonts w:ascii="Arial" w:cs="Arial" w:eastAsia="Arial" w:hAnsi="Arial"/>
                <w:sz w:val="18"/>
                <w:szCs w:val="18"/>
                <w:color w:val="auto"/>
              </w:rPr>
              <w:t>3,419</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3,161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Italy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Japan</w:t>
            </w:r>
          </w:p>
        </w:tc>
        <w:tc>
          <w:tcPr>
            <w:tcW w:w="680" w:type="dxa"/>
            <w:vAlign w:val="bottom"/>
          </w:tcPr>
          <w:p>
            <w:pPr>
              <w:jc w:val="right"/>
              <w:spacing w:after="0"/>
              <w:rPr>
                <w:sz w:val="20"/>
                <w:szCs w:val="20"/>
                <w:color w:val="auto"/>
              </w:rPr>
            </w:pPr>
            <w:r>
              <w:rPr>
                <w:rFonts w:ascii="Arial" w:cs="Arial" w:eastAsia="Arial" w:hAnsi="Arial"/>
                <w:sz w:val="18"/>
                <w:szCs w:val="18"/>
                <w:color w:val="auto"/>
              </w:rPr>
              <w:t>42,908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10,724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Korea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Malaysia</w:t>
            </w:r>
          </w:p>
        </w:tc>
        <w:tc>
          <w:tcPr>
            <w:tcW w:w="680" w:type="dxa"/>
            <w:vAlign w:val="bottom"/>
          </w:tcPr>
          <w:p>
            <w:pPr>
              <w:jc w:val="right"/>
              <w:spacing w:after="0"/>
              <w:rPr>
                <w:sz w:val="20"/>
                <w:szCs w:val="20"/>
                <w:color w:val="auto"/>
              </w:rPr>
            </w:pPr>
            <w:r>
              <w:rPr>
                <w:rFonts w:ascii="Arial" w:cs="Arial" w:eastAsia="Arial" w:hAnsi="Arial"/>
                <w:sz w:val="18"/>
                <w:szCs w:val="18"/>
                <w:color w:val="auto"/>
              </w:rPr>
              <w:t>15,866</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1,806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Netherlands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Portugal</w:t>
            </w:r>
          </w:p>
        </w:tc>
        <w:tc>
          <w:tcPr>
            <w:tcW w:w="680" w:type="dxa"/>
            <w:vAlign w:val="bottom"/>
          </w:tcPr>
          <w:p>
            <w:pPr>
              <w:jc w:val="right"/>
              <w:spacing w:after="0"/>
              <w:rPr>
                <w:sz w:val="20"/>
                <w:szCs w:val="20"/>
                <w:color w:val="auto"/>
              </w:rPr>
            </w:pPr>
            <w:r>
              <w:rPr>
                <w:rFonts w:ascii="Arial" w:cs="Arial" w:eastAsia="Arial" w:hAnsi="Arial"/>
                <w:sz w:val="18"/>
                <w:szCs w:val="18"/>
                <w:color w:val="auto"/>
              </w:rPr>
              <w:t>1,642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4,641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Singapore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Spain</w:t>
            </w:r>
          </w:p>
        </w:tc>
        <w:tc>
          <w:tcPr>
            <w:tcW w:w="680" w:type="dxa"/>
            <w:vAlign w:val="bottom"/>
          </w:tcPr>
          <w:p>
            <w:pPr>
              <w:jc w:val="right"/>
              <w:spacing w:after="0"/>
              <w:rPr>
                <w:sz w:val="20"/>
                <w:szCs w:val="20"/>
                <w:color w:val="auto"/>
              </w:rPr>
            </w:pPr>
            <w:r>
              <w:rPr>
                <w:rFonts w:ascii="Arial" w:cs="Arial" w:eastAsia="Arial" w:hAnsi="Arial"/>
                <w:sz w:val="18"/>
                <w:szCs w:val="18"/>
                <w:color w:val="auto"/>
              </w:rPr>
              <w:t>3,800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4,480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South Africa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Taiwan</w:t>
            </w:r>
          </w:p>
        </w:tc>
        <w:tc>
          <w:tcPr>
            <w:tcW w:w="680" w:type="dxa"/>
            <w:vAlign w:val="bottom"/>
          </w:tcPr>
          <w:p>
            <w:pPr>
              <w:jc w:val="right"/>
              <w:spacing w:after="0"/>
              <w:rPr>
                <w:sz w:val="20"/>
                <w:szCs w:val="20"/>
                <w:color w:val="auto"/>
              </w:rPr>
            </w:pPr>
            <w:r>
              <w:rPr>
                <w:rFonts w:ascii="Arial" w:cs="Arial" w:eastAsia="Arial" w:hAnsi="Arial"/>
                <w:sz w:val="18"/>
                <w:szCs w:val="18"/>
                <w:color w:val="auto"/>
              </w:rPr>
              <w:t>20,278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12,426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Thailand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880"/>
              <w:spacing w:after="0"/>
              <w:rPr>
                <w:sz w:val="20"/>
                <w:szCs w:val="20"/>
                <w:color w:val="auto"/>
              </w:rPr>
            </w:pPr>
            <w:r>
              <w:rPr>
                <w:rFonts w:ascii="Arial" w:cs="Arial" w:eastAsia="Arial" w:hAnsi="Arial"/>
                <w:sz w:val="18"/>
                <w:szCs w:val="18"/>
                <w:color w:val="auto"/>
              </w:rPr>
              <w:t>All other</w:t>
            </w:r>
          </w:p>
        </w:tc>
        <w:tc>
          <w:tcPr>
            <w:tcW w:w="680" w:type="dxa"/>
            <w:vAlign w:val="bottom"/>
          </w:tcPr>
          <w:p>
            <w:pPr>
              <w:jc w:val="right"/>
              <w:spacing w:after="0"/>
              <w:rPr>
                <w:sz w:val="20"/>
                <w:szCs w:val="20"/>
                <w:color w:val="auto"/>
              </w:rPr>
            </w:pPr>
            <w:r>
              <w:rPr>
                <w:rFonts w:ascii="Arial" w:cs="Arial" w:eastAsia="Arial" w:hAnsi="Arial"/>
                <w:sz w:val="18"/>
                <w:szCs w:val="18"/>
                <w:color w:val="auto"/>
              </w:rPr>
              <w:t>23,099</w:t>
            </w: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22,451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330,976</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212,496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468,630</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331,780</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Specific identification of the customer billing location was the basis used for attributing revenues from external customers to individual countries.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on December 31, 2011 and 2010 were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tangible assets:</w:t>
            </w:r>
          </w:p>
        </w:tc>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People’s Republic of China</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78,466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75,053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40"/>
              <w:spacing w:after="0"/>
              <w:rPr>
                <w:sz w:val="20"/>
                <w:szCs w:val="20"/>
                <w:color w:val="auto"/>
              </w:rPr>
            </w:pPr>
            <w:r>
              <w:rPr>
                <w:rFonts w:ascii="Arial" w:cs="Arial" w:eastAsia="Arial" w:hAnsi="Arial"/>
                <w:sz w:val="18"/>
                <w:szCs w:val="18"/>
                <w:color w:val="auto"/>
              </w:rPr>
              <w:t>All other countries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85,799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320" w:type="dxa"/>
            <w:vAlign w:val="bottom"/>
            <w:vMerge w:val="restart"/>
          </w:tcPr>
          <w:p>
            <w:pPr>
              <w:jc w:val="right"/>
              <w:ind w:right="2892"/>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years ended December 31, 2011, 2010, and 2009 is the following:</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4,229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4,459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3,845</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4,511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4,966</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4,312</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general and administrative expense includes pre-tax stock-based compensation related to stock option awards granted to outside directors of $0.1 million, $0.3 million, and $0.3 million for the years ended December 31, 2011, 2010, and 2009, respectively. Selling, general and administrative expense includes stock-based compensation related to restricted stock awards granted to outside directors of $0.6 million, $0.6 million, and $0.5 million for the years ended December 31, 2011, 2010, and 2009, respectively.</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income tax benefit from the recognition of stock-based compensation was $1.5 million, $1.7 million, and $1.5 million for the years ended December 31, 2011, 2010, and 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year ended December 31, 2011, the Compensation Committee and Board of Directors awarded 107,600 stock options to our employees with an aggregate grant date fair value of $1.5 million under various stock incentive plans. The stock option granted to employees during 2011 consisted of the following:</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2320" w:type="dxa"/>
            <w:vAlign w:val="bottom"/>
            <w:gridSpan w:val="2"/>
          </w:tcPr>
          <w:p>
            <w:pPr>
              <w:spacing w:after="0"/>
              <w:rPr>
                <w:sz w:val="20"/>
                <w:szCs w:val="20"/>
                <w:color w:val="auto"/>
              </w:rPr>
            </w:pPr>
            <w:r>
              <w:rPr>
                <w:rFonts w:ascii="Arial" w:cs="Arial" w:eastAsia="Arial" w:hAnsi="Arial"/>
                <w:sz w:val="14"/>
                <w:szCs w:val="14"/>
                <w:color w:val="auto"/>
                <w:w w:val="98"/>
              </w:rPr>
              <w:t>(in thousands, except share amounts)</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Grant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w:t>
            </w: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4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Date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20" w:type="dxa"/>
            <w:vAlign w:val="bottom"/>
            <w:gridSpan w:val="2"/>
            <w:vMerge w:val="continue"/>
          </w:tcPr>
          <w:p>
            <w:pPr>
              <w:spacing w:after="0"/>
              <w:rPr>
                <w:sz w:val="11"/>
                <w:szCs w:val="11"/>
                <w:color w:val="auto"/>
              </w:rPr>
            </w:pPr>
          </w:p>
        </w:tc>
        <w:tc>
          <w:tcPr>
            <w:tcW w:w="112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11"/>
                <w:szCs w:val="11"/>
                <w:color w:val="auto"/>
              </w:rPr>
            </w:pPr>
          </w:p>
        </w:tc>
        <w:tc>
          <w:tcPr>
            <w:tcW w:w="42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Fair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11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42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Value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60" w:type="dxa"/>
            <w:vAlign w:val="bottom"/>
          </w:tcPr>
          <w:p>
            <w:pPr>
              <w:ind w:left="2060"/>
              <w:spacing w:after="0" w:line="129" w:lineRule="exact"/>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26, 2011</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4</w:t>
            </w:r>
          </w:p>
        </w:tc>
        <w:tc>
          <w:tcPr>
            <w:tcW w:w="5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-Year Vesting Period (25% each year)</w:t>
            </w: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color w:val="auto"/>
              </w:rPr>
              <w:t>April 6, 2011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92,600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1,286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60" w:type="dxa"/>
            <w:vAlign w:val="bottom"/>
          </w:tcPr>
          <w:p>
            <w:pPr>
              <w:ind w:left="20"/>
              <w:spacing w:after="0"/>
              <w:rPr>
                <w:sz w:val="20"/>
                <w:szCs w:val="20"/>
                <w:color w:val="auto"/>
              </w:rPr>
            </w:pPr>
            <w:r>
              <w:rPr>
                <w:rFonts w:ascii="Arial" w:cs="Arial" w:eastAsia="Arial" w:hAnsi="Arial"/>
                <w:sz w:val="18"/>
                <w:szCs w:val="18"/>
                <w:color w:val="auto"/>
              </w:rPr>
              <w:t>-Year Vesting Period (8.33% each quarter)</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107,600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2011, we recognized $0.3 million of pre-tax stock-based compensation expense related to our 2011 stock option grants.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we utilized in the Black-Scholes option pricing model and the resulting weighted average fair value of stock option grants were the following:</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3"/>
              </w:rPr>
              <w:t>December 31,</w:t>
            </w:r>
            <w:r>
              <w:rPr>
                <w:rFonts w:ascii="Arial" w:cs="Arial" w:eastAsia="Arial" w:hAnsi="Arial"/>
                <w:sz w:val="22"/>
                <w:szCs w:val="22"/>
                <w:b w:val="1"/>
                <w:bCs w:val="1"/>
                <w:color w:val="auto"/>
                <w:w w:val="93"/>
                <w:vertAlign w:val="superscript"/>
              </w:rPr>
              <w:t>(1)</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142"/>
        </w:trPr>
        <w:tc>
          <w:tcPr>
            <w:tcW w:w="4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8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 of grants</w:t>
            </w:r>
          </w:p>
        </w:tc>
        <w:tc>
          <w:tcPr>
            <w:tcW w:w="2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$13.74</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$10.83</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$ 7.20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gridSpan w:val="3"/>
          </w:tcPr>
          <w:p>
            <w:pPr>
              <w:jc w:val="right"/>
              <w:ind w:right="120"/>
              <w:spacing w:after="0"/>
              <w:rPr>
                <w:sz w:val="20"/>
                <w:szCs w:val="20"/>
                <w:color w:val="auto"/>
              </w:rPr>
            </w:pPr>
            <w:r>
              <w:rPr>
                <w:rFonts w:ascii="Arial" w:cs="Arial" w:eastAsia="Arial" w:hAnsi="Arial"/>
                <w:sz w:val="18"/>
                <w:szCs w:val="18"/>
                <w:color w:val="auto"/>
              </w:rPr>
              <w:t>2.29%</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2.27%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52.25%</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50.07%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49.54%</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780" w:type="dxa"/>
            <w:vAlign w:val="bottom"/>
            <w:gridSpan w:val="3"/>
          </w:tcPr>
          <w:p>
            <w:pPr>
              <w:jc w:val="right"/>
              <w:ind w:right="280"/>
              <w:spacing w:after="0"/>
              <w:rPr>
                <w:sz w:val="20"/>
                <w:szCs w:val="20"/>
                <w:color w:val="auto"/>
              </w:rPr>
            </w:pPr>
            <w:r>
              <w:rPr>
                <w:rFonts w:ascii="Arial" w:cs="Arial" w:eastAsia="Arial" w:hAnsi="Arial"/>
                <w:sz w:val="18"/>
                <w:szCs w:val="18"/>
                <w:color w:val="auto"/>
              </w:rPr>
              <w:t>5.03</w:t>
            </w: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4.95</w:t>
            </w:r>
          </w:p>
        </w:tc>
        <w:tc>
          <w:tcPr>
            <w:tcW w:w="50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5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recognize the compensation expense related to stock option awards net of estimated forfeitures over the service period of the award, which is the option vesting term of three to four years. On December 31, 2011, 2010, and 2009, we estimated the annual forfeiture rate for our executives and board of directors will be 2.45%, 2.53% and 2.65%, respectively, based upon our historical forfeitures. On December 31, 2011, 2010, and 2009, we estimated the annual forfeiture rate for our non-executive employees to be 6.86%, 6.59% and 6.51%, respectively, based on our historical forfeitures.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years ended December 31, 2011, 2010, and 2009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4"/>
                <w:szCs w:val="14"/>
                <w:b w:val="1"/>
                <w:bCs w:val="1"/>
                <w:color w:val="auto"/>
                <w:w w:val="83"/>
              </w:rPr>
              <w:t>2010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12"/>
                <w:szCs w:val="12"/>
                <w:color w:val="auto"/>
              </w:rPr>
            </w:pPr>
          </w:p>
        </w:tc>
        <w:tc>
          <w:tcPr>
            <w:tcW w:w="2900" w:type="dxa"/>
            <w:vAlign w:val="bottom"/>
            <w:gridSpan w:val="10"/>
          </w:tcPr>
          <w:p>
            <w:pPr>
              <w:jc w:val="right"/>
              <w:spacing w:after="0" w:line="149" w:lineRule="exact"/>
              <w:rPr>
                <w:sz w:val="20"/>
                <w:szCs w:val="20"/>
                <w:color w:val="auto"/>
              </w:rPr>
            </w:pPr>
            <w:r>
              <w:rPr>
                <w:rFonts w:ascii="Arial" w:cs="Arial" w:eastAsia="Arial" w:hAnsi="Arial"/>
                <w:sz w:val="14"/>
                <w:szCs w:val="14"/>
                <w:b w:val="1"/>
                <w:bCs w:val="1"/>
                <w:color w:val="auto"/>
                <w:w w:val="97"/>
              </w:rPr>
              <w:t>Remaining   Aggregate   Number   Weighted-</w:t>
            </w:r>
          </w:p>
        </w:tc>
        <w:tc>
          <w:tcPr>
            <w:tcW w:w="140" w:type="dxa"/>
            <w:vAlign w:val="bottom"/>
          </w:tcPr>
          <w:p>
            <w:pPr>
              <w:spacing w:after="0"/>
              <w:rPr>
                <w:sz w:val="12"/>
                <w:szCs w:val="12"/>
                <w:color w:val="auto"/>
              </w:rPr>
            </w:pPr>
          </w:p>
        </w:tc>
        <w:tc>
          <w:tcPr>
            <w:tcW w:w="4640" w:type="dxa"/>
            <w:vAlign w:val="bottom"/>
            <w:gridSpan w:val="17"/>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Remaining   Aggregate   Number   Weighted-   Remaining   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4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Intrinsic</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5"/>
              </w:rPr>
              <w:t>of</w:t>
            </w:r>
          </w:p>
        </w:tc>
        <w:tc>
          <w:tcPr>
            <w:tcW w:w="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8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Options</w:t>
            </w:r>
          </w:p>
        </w:tc>
        <w:tc>
          <w:tcPr>
            <w:tcW w:w="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Options</w:t>
            </w:r>
          </w:p>
        </w:tc>
        <w:tc>
          <w:tcPr>
            <w:tcW w:w="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w:t>
            </w: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(in 000’s)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14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(in 000’s)</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(in 000’s)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(in years)</w:t>
            </w:r>
          </w:p>
        </w:tc>
        <w:tc>
          <w:tcPr>
            <w:tcW w:w="8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(in 000’s)</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 000’s)</w:t>
            </w:r>
          </w:p>
        </w:tc>
        <w:tc>
          <w:tcPr>
            <w:tcW w:w="10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 years)</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(in 000’s)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0"/>
              </w:rPr>
              <w:t>Outstanding at beginning of the</w:t>
            </w: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Granted</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28.97</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16.26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Forfeited/cancelled/ expired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25.53</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22.43</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14,669</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w w:val="92"/>
              </w:rPr>
              <w:t>Vested and expected to vest at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3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end of year</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1,494</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1,971</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18.72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14,547</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18.30</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11,983</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aggregate intrinsic value in the table above represents the total pre-tax value (the difference between our closing stock price on the last trading day of 2011, 2010, and 2009 and the exercise price, multiplied by the number of in-the-money options) that would have been received by the option holders had they all exercised their options on December 31, 2011, 2010, and 2009. This amount will change based on the fair market value of our stock. The actual intrinsic value of stock options exercised in 2011, 2010, and 2009 was $0.8 million, $1.2 million and $2.3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During 2011, 2010, and 2009, there were no modifications made to outstanding stock options.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received from option exercises for the years ended December 31, 2011, 2010, and 2009 was $1.7 million, $2.0 million, and $3.3 million, respectively. The actual tax benefit realized from option exercises was $0.3 million, $0.2 million and $0.4 million for the years ended December 31, 2011, 2010, and 2009, respectively.</w:t>
      </w:r>
    </w:p>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As of December 31, 2011, we expect to recognize $2.2 million of total unrecognized pre-tax stock-based compensation expense related to non-vested stock options over a remaining weighted-average life of 2.0 years.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During the annual review cycle for 2011, the Compensation Committee granted our Named Executives 148,200 stock options. The options were granted as part of long-term incentive compensation to assist us in meeting our performance and retention objectives. The grant, dated February 8, 2012, is subject to a three-year vesting period (8.33% each quarter). The total grant date fair value of these awards was $1.4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the year ended December 31, 2011, the Compensation Committee and Board of Directors awarded 146,440 shares of restricted stock to our employees with an aggregate grant date fair value of $3.8 million under various stock incentive plans. The restricted stock awards granted to employees during 2011 consisted of the following:</w:t>
      </w:r>
    </w:p>
    <w:p>
      <w:pPr>
        <w:sectPr>
          <w:pgSz w:w="11900" w:h="16838" w:orient="portrait"/>
          <w:cols w:equalWidth="0" w:num="1">
            <w:col w:w="11420"/>
          </w:cols>
          <w:pgMar w:left="240" w:top="459" w:right="239" w:bottom="1440" w:gutter="0" w:footer="0" w:header="0"/>
        </w:sectPr>
      </w:pPr>
    </w:p>
    <w:bookmarkStart w:id="70" w:name="page71"/>
    <w:bookmarkEnd w:id="70"/>
    <w:p>
      <w:pPr>
        <w:ind w:left="920"/>
        <w:spacing w:after="0"/>
        <w:rPr>
          <w:sz w:val="20"/>
          <w:szCs w:val="20"/>
          <w:color w:val="auto"/>
        </w:rPr>
      </w:pPr>
      <w:r>
        <w:rPr>
          <w:rFonts w:ascii="Arial" w:cs="Arial" w:eastAsia="Arial" w:hAnsi="Arial"/>
          <w:sz w:val="11"/>
          <w:szCs w:val="11"/>
          <w:color w:val="auto"/>
        </w:rPr>
        <w:t>(in thousands, except share amounts)</w:t>
      </w:r>
    </w:p>
    <w:p>
      <w:pPr>
        <w:spacing w:after="0" w:line="39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Restricted Stock</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43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April 6, 2011</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July 15, 2011</w:t>
      </w:r>
    </w:p>
    <w:p>
      <w:pPr>
        <w:spacing w:after="0" w:line="15"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October 10, 2011</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3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Number of</w:t>
            </w:r>
          </w:p>
        </w:tc>
        <w:tc>
          <w:tcPr>
            <w:tcW w:w="3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380" w:type="dxa"/>
            <w:vAlign w:val="bottom"/>
          </w:tcPr>
          <w:p>
            <w:pPr>
              <w:spacing w:after="0"/>
              <w:rPr>
                <w:sz w:val="12"/>
                <w:szCs w:val="12"/>
                <w:color w:val="auto"/>
              </w:rPr>
            </w:pPr>
          </w:p>
        </w:tc>
        <w:tc>
          <w:tcPr>
            <w:tcW w:w="546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Vesting Period</w:t>
            </w:r>
          </w:p>
        </w:tc>
        <w:tc>
          <w:tcPr>
            <w:tcW w:w="0" w:type="dxa"/>
            <w:vAlign w:val="bottom"/>
          </w:tcPr>
          <w:p>
            <w:pPr>
              <w:spacing w:after="0"/>
              <w:rPr>
                <w:sz w:val="1"/>
                <w:szCs w:val="1"/>
                <w:color w:val="auto"/>
              </w:rPr>
            </w:pPr>
          </w:p>
        </w:tc>
      </w:tr>
      <w:tr>
        <w:trPr>
          <w:trHeight w:val="161"/>
        </w:trPr>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Granted</w:t>
            </w:r>
          </w:p>
        </w:tc>
        <w:tc>
          <w:tcPr>
            <w:tcW w:w="3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380" w:type="dxa"/>
            <w:vAlign w:val="bottom"/>
          </w:tcPr>
          <w:p>
            <w:pPr>
              <w:spacing w:after="0"/>
              <w:rPr>
                <w:sz w:val="14"/>
                <w:szCs w:val="14"/>
                <w:color w:val="auto"/>
              </w:rPr>
            </w:pPr>
          </w:p>
        </w:tc>
        <w:tc>
          <w:tcPr>
            <w:tcW w:w="5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43,900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$1,284</w:t>
            </w:r>
          </w:p>
        </w:tc>
        <w:tc>
          <w:tcPr>
            <w:tcW w:w="380" w:type="dxa"/>
            <w:vAlign w:val="bottom"/>
          </w:tcPr>
          <w:p>
            <w:pPr>
              <w:spacing w:after="0"/>
              <w:rPr>
                <w:sz w:val="17"/>
                <w:szCs w:val="17"/>
                <w:color w:val="auto"/>
              </w:rPr>
            </w:pPr>
          </w:p>
        </w:tc>
        <w:tc>
          <w:tcPr>
            <w:tcW w:w="5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3 -Year Vesting Period (8.33% each quarter)</w:t>
            </w:r>
          </w:p>
        </w:tc>
        <w:tc>
          <w:tcPr>
            <w:tcW w:w="0" w:type="dxa"/>
            <w:vAlign w:val="bottom"/>
          </w:tcPr>
          <w:p>
            <w:pPr>
              <w:spacing w:after="0"/>
              <w:rPr>
                <w:sz w:val="1"/>
                <w:szCs w:val="1"/>
                <w:color w:val="auto"/>
              </w:rPr>
            </w:pPr>
          </w:p>
        </w:tc>
      </w:tr>
      <w:tr>
        <w:trPr>
          <w:trHeight w:val="216"/>
        </w:trPr>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2,454</w:t>
            </w:r>
          </w:p>
        </w:tc>
        <w:tc>
          <w:tcPr>
            <w:tcW w:w="3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3 -Year Vesting Period (8.33% each quarter)</w:t>
            </w:r>
          </w:p>
        </w:tc>
        <w:tc>
          <w:tcPr>
            <w:tcW w:w="0" w:type="dxa"/>
            <w:vAlign w:val="bottom"/>
          </w:tcPr>
          <w:p>
            <w:pPr>
              <w:spacing w:after="0"/>
              <w:rPr>
                <w:sz w:val="1"/>
                <w:szCs w:val="1"/>
                <w:color w:val="auto"/>
              </w:rPr>
            </w:pPr>
          </w:p>
        </w:tc>
      </w:tr>
      <w:tr>
        <w:trPr>
          <w:trHeight w:val="223"/>
        </w:trPr>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2,540</w:t>
            </w: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3 -Year Vesting Period (8.33% each quarter)</w:t>
            </w:r>
          </w:p>
        </w:tc>
        <w:tc>
          <w:tcPr>
            <w:tcW w:w="0" w:type="dxa"/>
            <w:vAlign w:val="bottom"/>
          </w:tcPr>
          <w:p>
            <w:pPr>
              <w:spacing w:after="0"/>
              <w:rPr>
                <w:sz w:val="1"/>
                <w:szCs w:val="1"/>
                <w:color w:val="auto"/>
              </w:rPr>
            </w:pPr>
          </w:p>
        </w:tc>
      </w:tr>
      <w:tr>
        <w:trPr>
          <w:trHeight w:val="223"/>
        </w:trPr>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146,440</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3,783</w:t>
            </w:r>
          </w:p>
        </w:tc>
        <w:tc>
          <w:tcPr>
            <w:tcW w:w="3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-599440</wp:posOffset>
            </wp:positionV>
            <wp:extent cx="608012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-1405255</wp:posOffset>
            </wp:positionH>
            <wp:positionV relativeFrom="paragraph">
              <wp:posOffset>-316865</wp:posOffset>
            </wp:positionV>
            <wp:extent cx="608012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920" w:space="220"/>
            <w:col w:w="8220"/>
          </w:cols>
          <w:pgMar w:left="240" w:top="331" w:right="299" w:bottom="1440" w:gutter="0" w:footer="0" w:header="0"/>
        </w:sectPr>
      </w:pPr>
    </w:p>
    <w:p>
      <w:pPr>
        <w:spacing w:after="0" w:line="332" w:lineRule="auto"/>
        <w:rPr>
          <w:sz w:val="20"/>
          <w:szCs w:val="20"/>
          <w:color w:val="auto"/>
        </w:rPr>
      </w:pPr>
      <w:r>
        <w:rPr>
          <w:rFonts w:ascii="Arial" w:cs="Arial" w:eastAsia="Arial" w:hAnsi="Arial"/>
          <w:sz w:val="16"/>
          <w:szCs w:val="16"/>
          <w:color w:val="auto"/>
        </w:rPr>
        <w:t>In addition to the grants awarded to employees, 30,000 shares of restricted stock with a grant date fair value of $0.8 million were awarded to our outside directors on July 1, 2011 as a part of their annual compensation package. These shares are subject to a one-year vesting period (25% each quarter).</w:t>
      </w:r>
    </w:p>
    <w:p>
      <w:pPr>
        <w:spacing w:after="0" w:line="85" w:lineRule="exact"/>
        <w:rPr>
          <w:sz w:val="20"/>
          <w:szCs w:val="20"/>
          <w:color w:val="auto"/>
        </w:rPr>
      </w:pPr>
    </w:p>
    <w:p>
      <w:pPr>
        <w:jc w:val="center"/>
        <w:ind w:right="140"/>
        <w:spacing w:after="0" w:line="440" w:lineRule="auto"/>
        <w:rPr>
          <w:sz w:val="20"/>
          <w:szCs w:val="20"/>
          <w:color w:val="auto"/>
        </w:rPr>
      </w:pPr>
      <w:r>
        <w:rPr>
          <w:rFonts w:ascii="Arial" w:cs="Arial" w:eastAsia="Arial" w:hAnsi="Arial"/>
          <w:sz w:val="18"/>
          <w:szCs w:val="18"/>
          <w:color w:val="auto"/>
        </w:rPr>
        <w:t>During the year ended December 31, 2011, we recognized $1.1 million of pre-tax stock-based compensation expense related to our 2011 restricted stock grants. 69</w:t>
      </w:r>
    </w:p>
    <w:p>
      <w:pPr>
        <w:sectPr>
          <w:pgSz w:w="11900" w:h="16838" w:orient="portrait"/>
          <w:cols w:equalWidth="0" w:num="1">
            <w:col w:w="11360"/>
          </w:cols>
          <w:pgMar w:left="240" w:top="331" w:right="29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Non-vested restricted stock award activity during the years ended December 31, 2011, 2010, and 2009 (including restricted stock awarded to directors as described in Note 14) were the following:</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Granted</w:t>
            </w: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60" w:type="dxa"/>
            <w:vAlign w:val="bottom"/>
            <w:gridSpan w:val="3"/>
          </w:tcPr>
          <w:p>
            <w:pPr>
              <w:jc w:val="center"/>
              <w:ind w:left="1714"/>
              <w:spacing w:after="0"/>
              <w:rPr>
                <w:sz w:val="20"/>
                <w:szCs w:val="20"/>
                <w:color w:val="auto"/>
              </w:rPr>
            </w:pPr>
            <w:r>
              <w:rPr>
                <w:rFonts w:ascii="Arial" w:cs="Arial" w:eastAsia="Arial" w:hAnsi="Arial"/>
                <w:sz w:val="14"/>
                <w:szCs w:val="14"/>
                <w:b w:val="1"/>
                <w:bCs w:val="1"/>
                <w:color w:val="auto"/>
                <w:w w:val="88"/>
              </w:rPr>
              <w:t>(in 000’s)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December 31, 2008</w:t>
            </w:r>
          </w:p>
        </w:tc>
        <w:tc>
          <w:tcPr>
            <w:tcW w:w="2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Forfeited</w:t>
            </w:r>
          </w:p>
        </w:tc>
        <w:tc>
          <w:tcPr>
            <w:tcW w:w="2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Forfeited</w:t>
            </w:r>
          </w:p>
        </w:tc>
        <w:tc>
          <w:tcPr>
            <w:tcW w:w="306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Forfeited</w:t>
            </w:r>
          </w:p>
        </w:tc>
        <w:tc>
          <w:tcPr>
            <w:tcW w:w="21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2011</w:t>
            </w:r>
          </w:p>
        </w:tc>
        <w:tc>
          <w:tcPr>
            <w:tcW w:w="21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of December 31, 2011, we expect to recognize $4.3 million of total unrecognized pre-tax stock-based compensation expense related to non-vested restricted stock awards over a weighted-average life of 2.1 years. See Note 2 under the caption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for further information regarding our accounting principles.</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the annual review cycle for 2011, the Compensation Committee granted our Named Executives 71,300 restricted stock awards. The awards were granted as part of long-term incentive compensation to assist us in meeting our performance and retention objectives. The grant, dated February 8, 2012, is subject to a three-year vesting period (8.33% each quarter). The total grant date fair value of these awards was $1.4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active stock-based incentive plans include those adopted in 1993, 1996, 1998, 1999, 2002, 2003, 2006, and 2010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ratably, on an annual or quarterly basis, over three or four years. Stock options have a maximum ten-year term. Restricted stock awards vest in various proportions over a three or four year time period.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Initial 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Remaining Shares</w:t>
            </w:r>
          </w:p>
        </w:tc>
        <w:tc>
          <w:tcPr>
            <w:tcW w:w="68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Outstanding Shares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4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Available for Grant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Available for Grant</w:t>
            </w:r>
          </w:p>
        </w:tc>
        <w:tc>
          <w:tcPr>
            <w:tcW w:w="68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Granted Under the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152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w w:val="86"/>
              </w:rPr>
              <w:t>Approval Date</w:t>
            </w:r>
          </w:p>
        </w:tc>
        <w:tc>
          <w:tcPr>
            <w:tcW w:w="180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9"/>
              </w:rPr>
              <w:t>Under the Plan</w:t>
            </w: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Under the Plan</w:t>
            </w:r>
          </w:p>
        </w:tc>
        <w:tc>
          <w:tcPr>
            <w:tcW w:w="680" w:type="dxa"/>
            <w:vAlign w:val="bottom"/>
          </w:tcPr>
          <w:p>
            <w:pPr>
              <w:spacing w:after="0"/>
              <w:rPr>
                <w:sz w:val="14"/>
                <w:szCs w:val="14"/>
                <w:color w:val="auto"/>
              </w:rPr>
            </w:pPr>
          </w:p>
        </w:tc>
        <w:tc>
          <w:tcPr>
            <w:tcW w:w="12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1993 Stock Incentive Plan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1/19/1993</w:t>
            </w:r>
          </w:p>
        </w:tc>
        <w:tc>
          <w:tcPr>
            <w:tcW w:w="6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w:t>
            </w:r>
          </w:p>
        </w:tc>
        <w:tc>
          <w:tcPr>
            <w:tcW w:w="6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1996 Stock Incentive Plan</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12/1/1996</w:t>
            </w:r>
          </w:p>
        </w:tc>
        <w:tc>
          <w:tcPr>
            <w:tcW w:w="1800" w:type="dxa"/>
            <w:vAlign w:val="bottom"/>
            <w:gridSpan w:val="2"/>
          </w:tcPr>
          <w:p>
            <w:pPr>
              <w:jc w:val="right"/>
              <w:ind w:right="660"/>
              <w:spacing w:after="0"/>
              <w:rPr>
                <w:sz w:val="20"/>
                <w:szCs w:val="20"/>
                <w:color w:val="auto"/>
              </w:rPr>
            </w:pPr>
            <w:r>
              <w:rPr>
                <w:rFonts w:ascii="Arial" w:cs="Arial" w:eastAsia="Arial" w:hAnsi="Arial"/>
                <w:sz w:val="18"/>
                <w:szCs w:val="18"/>
                <w:color w:val="auto"/>
              </w:rPr>
              <w:t>800,000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1998 Stock Incentive Plan</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5/27/1998</w:t>
            </w: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1999 Stock Incentive Plan</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1/27/1999</w:t>
            </w:r>
          </w:p>
        </w:tc>
        <w:tc>
          <w:tcPr>
            <w:tcW w:w="1800" w:type="dxa"/>
            <w:vAlign w:val="bottom"/>
            <w:gridSpan w:val="2"/>
          </w:tcPr>
          <w:p>
            <w:pPr>
              <w:jc w:val="right"/>
              <w:ind w:right="660"/>
              <w:spacing w:after="0"/>
              <w:rPr>
                <w:sz w:val="20"/>
                <w:szCs w:val="20"/>
                <w:color w:val="auto"/>
              </w:rPr>
            </w:pPr>
            <w:r>
              <w:rPr>
                <w:rFonts w:ascii="Arial" w:cs="Arial" w:eastAsia="Arial" w:hAnsi="Arial"/>
                <w:sz w:val="18"/>
                <w:szCs w:val="18"/>
                <w:color w:val="auto"/>
              </w:rPr>
              <w:t>630,000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1999A Stock Incentive Plan</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10/7/1999</w:t>
            </w: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2002 Stock Incentive Plan</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2/5/2002</w:t>
            </w:r>
          </w:p>
        </w:tc>
        <w:tc>
          <w:tcPr>
            <w:tcW w:w="180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140" w:type="dxa"/>
            <w:vAlign w:val="bottom"/>
          </w:tcPr>
          <w:p>
            <w:pPr>
              <w:jc w:val="right"/>
              <w:spacing w:after="0"/>
              <w:rPr>
                <w:sz w:val="20"/>
                <w:szCs w:val="20"/>
                <w:color w:val="auto"/>
              </w:rPr>
            </w:pPr>
            <w:r>
              <w:rPr>
                <w:rFonts w:ascii="Arial" w:cs="Arial" w:eastAsia="Arial" w:hAnsi="Arial"/>
                <w:sz w:val="18"/>
                <w:szCs w:val="18"/>
                <w:color w:val="auto"/>
              </w:rPr>
              <w:t>9,251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245,700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 Stock Incentive Plan</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6/18/2003</w:t>
            </w: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2006 Stock Incentive Plan</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6/13/2006</w:t>
            </w:r>
          </w:p>
        </w:tc>
        <w:tc>
          <w:tcPr>
            <w:tcW w:w="180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140" w:type="dxa"/>
            <w:vAlign w:val="bottom"/>
          </w:tcPr>
          <w:p>
            <w:pPr>
              <w:jc w:val="right"/>
              <w:spacing w:after="0"/>
              <w:rPr>
                <w:sz w:val="20"/>
                <w:szCs w:val="20"/>
                <w:color w:val="auto"/>
              </w:rPr>
            </w:pPr>
            <w:r>
              <w:rPr>
                <w:rFonts w:ascii="Arial" w:cs="Arial" w:eastAsia="Arial" w:hAnsi="Arial"/>
                <w:sz w:val="18"/>
                <w:szCs w:val="18"/>
                <w:color w:val="auto"/>
              </w:rPr>
              <w:t>5,460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595,823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Stock Incentive Plan</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6/15/2010</w:t>
            </w:r>
          </w:p>
        </w:tc>
        <w:tc>
          <w:tcPr>
            <w:tcW w:w="18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1,000,000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841,650</w:t>
            </w:r>
          </w:p>
        </w:tc>
        <w:tc>
          <w:tcPr>
            <w:tcW w:w="6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867,924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1,703,689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Significant option groups outstanding at December 31, 2011 and the related weighted average exercise price and life information are listed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40" w:type="dxa"/>
            <w:vAlign w:val="bottom"/>
            <w:gridSpan w:val="5"/>
          </w:tcPr>
          <w:p>
            <w:pPr>
              <w:ind w:left="6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5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spacing w:after="0"/>
              <w:rPr>
                <w:sz w:val="12"/>
                <w:szCs w:val="12"/>
                <w:color w:val="auto"/>
              </w:rPr>
            </w:pPr>
          </w:p>
        </w:tc>
        <w:tc>
          <w:tcPr>
            <w:tcW w:w="1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26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At 12/31/2011</w:t>
            </w:r>
          </w:p>
        </w:tc>
        <w:tc>
          <w:tcPr>
            <w:tcW w:w="580" w:type="dxa"/>
            <w:vAlign w:val="bottom"/>
          </w:tcPr>
          <w:p>
            <w:pPr>
              <w:spacing w:after="0"/>
              <w:rPr>
                <w:sz w:val="12"/>
                <w:szCs w:val="12"/>
                <w:color w:val="auto"/>
              </w:rPr>
            </w:pPr>
          </w:p>
        </w:tc>
        <w:tc>
          <w:tcPr>
            <w:tcW w:w="17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4"/>
              </w:rPr>
              <w:t>Remaining Years of</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Weighted-Average</w:t>
            </w: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At 12/31/2011</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(in 000’s)</w:t>
            </w:r>
          </w:p>
        </w:tc>
        <w:tc>
          <w:tcPr>
            <w:tcW w:w="580" w:type="dxa"/>
            <w:vAlign w:val="bottom"/>
          </w:tcPr>
          <w:p>
            <w:pPr>
              <w:spacing w:after="0"/>
              <w:rPr>
                <w:sz w:val="14"/>
                <w:szCs w:val="14"/>
                <w:color w:val="auto"/>
              </w:rPr>
            </w:pPr>
          </w:p>
        </w:tc>
        <w:tc>
          <w:tcPr>
            <w:tcW w:w="17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Contractual Life</w:t>
            </w:r>
          </w:p>
        </w:tc>
        <w:tc>
          <w:tcPr>
            <w:tcW w:w="100" w:type="dxa"/>
            <w:vAlign w:val="bottom"/>
          </w:tcPr>
          <w:p>
            <w:pPr>
              <w:spacing w:after="0"/>
              <w:rPr>
                <w:sz w:val="14"/>
                <w:szCs w:val="14"/>
                <w:color w:val="auto"/>
              </w:rPr>
            </w:pPr>
          </w:p>
        </w:tc>
        <w:tc>
          <w:tcPr>
            <w:tcW w:w="15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Exercise Price</w:t>
            </w:r>
          </w:p>
        </w:tc>
        <w:tc>
          <w:tcPr>
            <w:tcW w:w="138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5"/>
              </w:rPr>
              <w:t>(in 000’s)</w:t>
            </w:r>
          </w:p>
        </w:tc>
        <w:tc>
          <w:tcPr>
            <w:tcW w:w="100" w:type="dxa"/>
            <w:vAlign w:val="bottom"/>
          </w:tcPr>
          <w:p>
            <w:pPr>
              <w:spacing w:after="0"/>
              <w:rPr>
                <w:sz w:val="14"/>
                <w:szCs w:val="14"/>
                <w:color w:val="auto"/>
              </w:rPr>
            </w:pPr>
          </w:p>
        </w:tc>
        <w:tc>
          <w:tcPr>
            <w:tcW w:w="10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$8.45 to $9.83</w:t>
            </w:r>
          </w:p>
        </w:tc>
        <w:tc>
          <w:tcPr>
            <w:tcW w:w="2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w:t>
            </w:r>
          </w:p>
        </w:tc>
        <w:tc>
          <w:tcPr>
            <w:tcW w:w="5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0.89</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8.62</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12.58 to 13.27</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12.62</w:t>
            </w:r>
          </w:p>
        </w:tc>
        <w:tc>
          <w:tcPr>
            <w:tcW w:w="5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14.85 to 16.67</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17.38 to 17.62</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17.59</w:t>
            </w:r>
          </w:p>
        </w:tc>
        <w:tc>
          <w:tcPr>
            <w:tcW w:w="5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18.03 to 21.95</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23.66 to 29.25</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27.33</w:t>
            </w:r>
          </w:p>
        </w:tc>
        <w:tc>
          <w:tcPr>
            <w:tcW w:w="5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32.40 to 35.35</w:t>
            </w:r>
          </w:p>
        </w:tc>
        <w:tc>
          <w:tcPr>
            <w:tcW w:w="26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5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520" w:type="dxa"/>
            <w:vAlign w:val="bottom"/>
          </w:tcPr>
          <w:p>
            <w:pPr>
              <w:spacing w:after="0"/>
              <w:rPr>
                <w:sz w:val="20"/>
                <w:szCs w:val="20"/>
                <w:color w:val="auto"/>
              </w:rPr>
            </w:pPr>
            <w:r>
              <w:rPr>
                <w:rFonts w:ascii="Arial" w:cs="Arial" w:eastAsia="Arial" w:hAnsi="Arial"/>
                <w:sz w:val="18"/>
                <w:szCs w:val="18"/>
                <w:color w:val="auto"/>
              </w:rPr>
              <w:t>$8.45 to $35.35</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5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19.53</w:t>
            </w:r>
          </w:p>
        </w:tc>
        <w:tc>
          <w:tcPr>
            <w:tcW w:w="58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(Expense) Income,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net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gain on foreign currency exchange contracts</w:t>
            </w:r>
            <w:r>
              <w:rPr>
                <w:rFonts w:ascii="Arial" w:cs="Arial" w:eastAsia="Arial" w:hAnsi="Arial"/>
                <w:sz w:val="11"/>
                <w:szCs w:val="11"/>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$(329)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$(653)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(loss) gain on foreign currency exchange transactions</w:t>
            </w:r>
          </w:p>
        </w:tc>
        <w:tc>
          <w:tcPr>
            <w:tcW w:w="10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(1,141)</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$ 568</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w w:val="87"/>
              </w:rPr>
              <w:t>(1,075)</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$ 523</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w:t>
            </w: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This represents the losses incurred on foreign currency hedging derivatives (see Note 19 for further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 and restricted stock awards, outstanding during the period. Dilutive potential common shares for all periods presented are computed utilizing the treasury stock method.</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the computation of diluted earnings per common share for the years ended December 31, 2011, 2010, and 2009, we have excluded 592,874, 517,827 and 785,186 stock options, respectively, with exercise prices greater than the average market price of the underlying common stock, because their inclusion would have been anti-dilutive. Furthermore, for the years ended December 31, 2011, 2010, and 2009, we have excluded 119,659, 159,889 and 235,887 shares of restricted stock, respectively, whose combined unamortized fair value and excess tax benefits were greater in each of those periods than the average market price of the underlying common stock, as their effect would be anti-dilutive.</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years ended December 31, 2011, 2010, and 2009 were calculated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 except per-share amounts)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19,946</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15,081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13,764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19,946</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15,081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13,764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14,106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exposed to market risks from foreign currency exchange rates, which may adversely affect our operating results and financial position. Our foreign currency exposures are primarily concentrated in the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4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have determined that the fair value of our derivatives are derived from level 2 inputs in the fair value hierarchy. See Note 2 under the captions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Fair-Value </w:t>
      </w:r>
      <w:r>
        <w:rPr>
          <w:rFonts w:ascii="Arial" w:cs="Arial" w:eastAsia="Arial" w:hAnsi="Arial"/>
          <w:sz w:val="18"/>
          <w:szCs w:val="18"/>
          <w:color w:val="auto"/>
        </w:rPr>
        <w:t>Measurements for further information concerning the accounting principles and valuation methodology utilized. The following table sets forth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that were accounted for at fair value on a recurring basis on December 31, 2011:</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5"/>
              </w:rPr>
              <w:t>Fair Value Measurement Using</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20" w:type="dxa"/>
            <w:vAlign w:val="bottom"/>
          </w:tcPr>
          <w:p>
            <w:pPr>
              <w:spacing w:after="0"/>
              <w:rPr>
                <w:sz w:val="11"/>
                <w:szCs w:val="11"/>
                <w:color w:val="auto"/>
              </w:rPr>
            </w:pPr>
          </w:p>
        </w:tc>
        <w:tc>
          <w:tcPr>
            <w:tcW w:w="130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82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34"/>
        </w:trPr>
        <w:tc>
          <w:tcPr>
            <w:tcW w:w="44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78"/>
              </w:rPr>
              <w:t>Assets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 2011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91"/>
              </w:rPr>
              <w:t>(Level 1)</w:t>
            </w:r>
          </w:p>
        </w:tc>
        <w:tc>
          <w:tcPr>
            <w:tcW w:w="820" w:type="dxa"/>
            <w:vAlign w:val="bottom"/>
          </w:tcPr>
          <w:p>
            <w:pPr>
              <w:spacing w:after="0"/>
              <w:rPr>
                <w:sz w:val="12"/>
                <w:szCs w:val="12"/>
                <w:color w:val="auto"/>
              </w:rPr>
            </w:pPr>
          </w:p>
        </w:tc>
        <w:tc>
          <w:tcPr>
            <w:tcW w:w="130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Foreign currency exchange futures contracts</w:t>
            </w: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70"/>
              </w:rPr>
              <w:t>(21)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77"/>
              </w:rPr>
              <w:t>(21)</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held foreign currency exchange contracts which resulted in a net pre-tax loss of approximately $0.3 million, a net pre-tax loss of approximately $0.3 million, and a net pre-tax loss of $0.7 million for the years ended December 31, 2011, 2010, and 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90"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We held one USD/Chinese Yuan Renminbi futures contract with a notional value of $10.0 million and a forward rate of CNY6.353 CNY/USD at December 31, 2011. We held the USD position on this contract, which settled on January 13, 2012. The gain on this contract as of December 31, 2011 was $46 thousand and is included in prepaid expenses and other current assets. This contract was settled at a gain of $59 thousand resulting in a gain of $13 thousand in January 2012.</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held one USD/Euro futures contract with a notional value of $6.5 million and a forward rate of $1.3091 USD/Euro at December 31, 2011. We held the Euro position on this contract, which settled on January 20, 2012. The loss on this contract as of December 31, 2011 was $67 thousand and is included in other accrued expenses. This contract was settled at a loss of $125 thousand resulting in a loss of $58 thousand in January 2012.</w:t>
      </w:r>
    </w:p>
    <w:p>
      <w:pPr>
        <w:spacing w:after="0" w:line="10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held one USD/Euro futures contract with a notional value of $4.0 million and a forward rate of $1.3073 USD/Euro at December 31, 2010. We held the Euro position on this contract, which settled on January 28, 2011. The gain on this contract as of December 31, 2010, was $87 thousand and is included in prepaid expenses and other current assets. This contract was settled at a gain of $198 thousand resulting in a gain of $111 thousand in January 2011.</w:t>
      </w:r>
    </w:p>
    <w:p>
      <w:pPr>
        <w:spacing w:after="0" w:line="10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held one USD/Indian Rupee futures contract with a notional value of INR133.5 million and a forward rate of INR45.47 INR/USD at December 31, 2010. We held the USD position on this contract, which settled on January 28, 2011. The loss on this contract as of December 31, 2010, was $43 thousand and is included in other accrued expenses. This contract was settled at a gain of $10 thousand resulting in a gain of $53 thousand in January 2011.</w:t>
      </w:r>
    </w:p>
    <w:p>
      <w:pPr>
        <w:spacing w:after="0" w:line="10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held one USD/Chinese Yuan Renminbi futures contract with a notional value of $1.0 million and a forward rate of CNY6.6819 CNY/USD at December 31, 2010. We held the USD position on this contract, which settled on January 24, 2011. The loss on this contract as of December 31, 2010, was $11 thousand and is included in other accrued expenses. This contract was settled at a loss of $14 thousand resulting in a loss of $3 thousand in January 2011.</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held one USD/Chinese Yuan Renminbi futures contract with a notional value of $1.0 million and a forward rate of CNY6.6681 CNY/USD at December 31, 2010. We held the USD position on this contract, which was scheduled to settle on February 24, 2011. The contract was terminated on January 21, 2011. The loss on this contract as of December 31, 2010, was $13 thousand and is included in other accrued expenses. This contract was settled on the termination date at a loss of $16 thousand resulting in a loss of $3 thousand in January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$0.7 million, 0.6 million and $0.8 million of expense for company contributions for the years ended December 31, 2011, 2010, and 2009,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Combinations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Enson Assets Limited</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November 3, 2010, our subsidiary, UEI Hong Kong Private Limited, entered into a stock purchase agreement with CG International Holdings Limited (“CG”) to acquire all of the issued shares in the capital of Enson Assets Limited (“Enson”) for total consideration of approximately $125.9 million. This transaction closed on November 4, 2010. The consideration consisted of $95.1 million in cash and 1,460,000 of newly issued shares of UEI common stock. A total of $5.0 million of the purchase price was held back at the closing to provide for any additional payments required by CG as a result of Enson’s failure to meet both a net asset target and an earnings target (see “</w:t>
      </w:r>
      <w:r>
        <w:rPr>
          <w:rFonts w:ascii="Arial" w:cs="Arial" w:eastAsia="Arial" w:hAnsi="Arial"/>
          <w:sz w:val="16"/>
          <w:szCs w:val="16"/>
          <w:i w:val="1"/>
          <w:iCs w:val="1"/>
          <w:color w:val="auto"/>
        </w:rPr>
        <w:t>Contingent Consideration”</w:t>
      </w:r>
      <w:r>
        <w:rPr>
          <w:rFonts w:ascii="Arial" w:cs="Arial" w:eastAsia="Arial" w:hAnsi="Arial"/>
          <w:sz w:val="16"/>
          <w:szCs w:val="16"/>
          <w:color w:val="auto"/>
        </w:rPr>
        <w:t xml:space="preserve"> below). We have included the $5.0 million that was held back in the purchase price allocation, since it is probable that we will owe the full amount to CG. The $5.0 million is included in our other accrued liabilities balance on December 31, 2010 and 2011. During January 2012, we paid $2.0 million of the $5.0 million to CG International Holdings Limited, and during February 2012, we made an additional payment of $1.0 million.</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consolidated income statement for the twelve months ended December 31, 2011 includes net sales of $150.1 million and net income of $4.5 million attributable to Enson. Our consolidated income statement for the twelve months ended December 31, 2010 includes net sales of $25.0 million and net income of $1.3 million attributable to Enson for the period commencing on November 4,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Enson Description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Enson is a leading manufacturer of remote controls. Prior to the acquisition, Enson was also one of our significant suppliers (see Note 5). The Enson corporate office, located in Hong Kong, is approximately 12,000 square feet and employs 58 people. Enson controls two factories located in the People’s Republic of China (“PRC”).</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southern factory is located in Guangdong Province, PRC within the city of Guangzhou. The Guangzhou factory is approximately 710,203 square feet and employs 761 people, with an additional 3,845 factory workers contracted through an agency agreement.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northern factory is located in Jiangsu Province, PRC within the city of Yangzhou. The Yangzhou factory is approximately 1,204,697 square feet and employs 442 people, with an additional 4,090 factory workers contracted through an agency agreement.</w:t>
      </w:r>
    </w:p>
    <w:p>
      <w:pPr>
        <w:sectPr>
          <w:pgSz w:w="11900" w:h="16838" w:orient="portrait"/>
          <w:cols w:equalWidth="0" w:num="1">
            <w:col w:w="11380"/>
          </w:cols>
          <w:pgMar w:left="240" w:top="459" w:right="27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the consideration were the following:</w:t>
      </w:r>
    </w:p>
    <w:p>
      <w:pPr>
        <w:spacing w:after="0" w:line="209"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(In thousands)</w:t>
      </w:r>
    </w:p>
    <w:p>
      <w:pPr>
        <w:ind w:left="1380"/>
        <w:spacing w:after="0"/>
        <w:rPr>
          <w:sz w:val="20"/>
          <w:szCs w:val="20"/>
          <w:color w:val="auto"/>
        </w:rPr>
      </w:pPr>
      <w:r>
        <w:rPr>
          <w:rFonts w:ascii="Arial" w:cs="Arial" w:eastAsia="Arial" w:hAnsi="Arial"/>
          <w:sz w:val="14"/>
          <w:szCs w:val="14"/>
          <w:b w:val="1"/>
          <w:bCs w:val="1"/>
          <w:color w:val="auto"/>
        </w:rPr>
        <w:t>Source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-8255</wp:posOffset>
            </wp:positionV>
            <wp:extent cx="7372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Existing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Funds from new U.S. Bank Secured Term Loan (see Note 8)</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Funds from new U.S. Bank Secured Revolving Credit Line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-114935</wp:posOffset>
            </wp:positionV>
            <wp:extent cx="550545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Newly issued shares of Universal Electronics Inc.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38735</wp:posOffset>
            </wp:positionV>
            <wp:extent cx="550545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 Target on November 3,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Percentage of</w:t>
            </w:r>
          </w:p>
        </w:tc>
      </w:tr>
      <w:tr>
        <w:trPr>
          <w:trHeight w:val="16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Consideration</w:t>
            </w:r>
          </w:p>
        </w:tc>
        <w:tc>
          <w:tcPr>
            <w:tcW w:w="1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54,138</w:t>
            </w:r>
          </w:p>
        </w:tc>
        <w:tc>
          <w:tcPr>
            <w:tcW w:w="680" w:type="dxa"/>
            <w:vAlign w:val="bottom"/>
          </w:tcPr>
          <w:p>
            <w:pPr>
              <w:spacing w:after="0"/>
              <w:rPr>
                <w:sz w:val="17"/>
                <w:szCs w:val="17"/>
                <w:color w:val="auto"/>
              </w:rPr>
            </w:pP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30,762</w:t>
            </w:r>
          </w:p>
        </w:tc>
        <w:tc>
          <w:tcPr>
            <w:tcW w:w="6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r>
      <w:tr>
        <w:trPr>
          <w:trHeight w:val="223"/>
        </w:trPr>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125,900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42" w:lineRule="exact"/>
        <w:rPr>
          <w:sz w:val="20"/>
          <w:szCs w:val="20"/>
          <w:color w:val="auto"/>
        </w:rPr>
      </w:pPr>
    </w:p>
    <w:p>
      <w:pPr>
        <w:sectPr>
          <w:pgSz w:w="11900" w:h="16838" w:orient="portrait"/>
          <w:cols w:equalWidth="0" w:num="2">
            <w:col w:w="6940" w:space="720"/>
            <w:col w:w="3720"/>
          </w:cols>
          <w:pgMar w:left="240" w:top="459" w:right="279" w:bottom="1440" w:gutter="0" w:footer="0" w:header="0"/>
          <w:type w:val="continuous"/>
        </w:sectPr>
      </w:pPr>
    </w:p>
    <w:p>
      <w:pPr>
        <w:ind w:right="120"/>
        <w:spacing w:after="0" w:line="294" w:lineRule="auto"/>
        <w:rPr>
          <w:sz w:val="20"/>
          <w:szCs w:val="20"/>
          <w:color w:val="auto"/>
        </w:rPr>
      </w:pPr>
      <w:r>
        <w:rPr>
          <w:rFonts w:ascii="Arial" w:cs="Arial" w:eastAsia="Arial" w:hAnsi="Arial"/>
          <w:sz w:val="16"/>
          <w:szCs w:val="16"/>
          <w:color w:val="auto"/>
        </w:rPr>
        <w:t>To the extent that Enson’s net assets were less than $68.5 million on November 3, 2010, CG would have had to pay us the difference, plus interest. To the extent that the Enson net assets were greater than $68.5 million we would pay CG the difference, plus interest. This calculation was finalized during the first quarter of 2011 when the auditor issued their report on Enson’s November 3, 2010 Statement of Net Assets. On November 3, 2010, Enson’s net assets, as defined by the stock purchase agreement, were $68.6 million. As such, the total consideration and the goodwill recognized to acquire Enson increased $0.1 million from December 31, 2010 to December 31, 2011. The $0.1 million is included in our other accrued liabilities balance at December 31, 2011 and 2010.</w:t>
      </w:r>
    </w:p>
    <w:p>
      <w:pPr>
        <w:spacing w:after="0" w:line="1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May 5, 2011, we received a Dispute Notice from CG, pursuant to the Stock Purchase Agreement, outlining their disagreement with certain tax estimates included within Enson’s Statement of Net Assets on November 3, 2010. We responded by disagreeing with CG’s dispute and have not heard from CG regarding our response; however, depending on the ultimate resolution of this dispute, the total purchase consideration may increase by up to $1.5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Target for the Twelve Months Ending March 31, 2011</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To the extent that Enson’s earnings for the twelve months ended March 31, 2011 were less than $16.2 million, CG would have paid us an amount equal to the product of (a) the difference between Enson’s earnings and $16.2 million, multiplied by (b) one and one half, plus interest.</w:t>
      </w:r>
    </w:p>
    <w:p>
      <w:pPr>
        <w:spacing w:after="0" w:line="8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For the purposes of this calculation, Enson’s earnings are defined as Enson’s consolidated profit before tax for the twelve months ending March 31, 2011 excluding certain agreed upon adjustments, including without limitation, the following items: profit related to UEIC sales, investment income, other income, other expenses, other gains and losses, and interest expenses.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fourth quarter of 2011, the auditors issued their report on Enson’s accounts, and CG did not owe any amounts related to the earnings target.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recognized $0.7 million of total acquisition costs related to the Enson transaction in selling, general and administrative expenses during the quarter ended December 31, 2010. The acquisition costs consisted primarily of legal and investment banking services.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to the costs incurred to acquire Enson, during January 2011 our Compensation Committee approved a discretionary bonus of $0.4 million to be awarded to certain employees directly involved in the acquisition process. This discretionary bonus was ratified by our Board of Directors during February 2011, and was paid during March 2011. The entire amount was included in accrued compensation at December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acquisition method of accounting, the acquisition date fair value of the consideration transferred is allocated to the net tangible and intangible assets acquired and liabilities assumed based on their estimated fair values on the acquisition date. Management’s purchase price allocation on November 4, 2010, (the Enson acquisition date) is the following:</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46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Estimated Lives</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Inventories</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23,469</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37,625</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66,644</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(4,227)</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liabilities</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(67,879)</w:t>
            </w:r>
          </w:p>
        </w:tc>
      </w:tr>
      <w:tr>
        <w:trPr>
          <w:trHeight w:val="221"/>
        </w:trPr>
        <w:tc>
          <w:tcPr>
            <w:tcW w:w="4640" w:type="dxa"/>
            <w:vAlign w:val="bottom"/>
          </w:tcPr>
          <w:p>
            <w:pPr>
              <w:ind w:left="440"/>
              <w:spacing w:after="0"/>
              <w:rPr>
                <w:sz w:val="20"/>
                <w:szCs w:val="20"/>
                <w:color w:val="auto"/>
              </w:rPr>
            </w:pPr>
            <w:r>
              <w:rPr>
                <w:rFonts w:ascii="Arial" w:cs="Arial" w:eastAsia="Arial" w:hAnsi="Arial"/>
                <w:sz w:val="18"/>
                <w:szCs w:val="18"/>
                <w:color w:val="auto"/>
              </w:rPr>
              <w:t>Net tangible assets acquired</w:t>
            </w:r>
          </w:p>
        </w:tc>
        <w:tc>
          <w:tcPr>
            <w:tcW w:w="1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83,264</w:t>
            </w:r>
          </w:p>
        </w:tc>
        <w:tc>
          <w:tcPr>
            <w:tcW w:w="120" w:type="dxa"/>
            <w:vAlign w:val="bottom"/>
          </w:tcPr>
          <w:p>
            <w:pPr>
              <w:spacing w:after="0"/>
              <w:rPr>
                <w:sz w:val="19"/>
                <w:szCs w:val="19"/>
                <w:color w:val="auto"/>
              </w:rPr>
            </w:pPr>
          </w:p>
        </w:tc>
      </w:tr>
      <w:tr>
        <w:trPr>
          <w:trHeight w:val="21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Trademark and trade name</w:t>
            </w:r>
          </w:p>
        </w:tc>
        <w:tc>
          <w:tcPr>
            <w:tcW w:w="17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120" w:type="dxa"/>
            <w:vAlign w:val="bottom"/>
            <w:shd w:val="clear" w:color="auto" w:fill="CCEEFF"/>
          </w:tcPr>
          <w:p>
            <w:pPr>
              <w:spacing w:after="0"/>
              <w:rPr>
                <w:sz w:val="18"/>
                <w:szCs w:val="18"/>
                <w:color w:val="auto"/>
              </w:rPr>
            </w:pPr>
          </w:p>
        </w:tc>
      </w:tr>
      <w:tr>
        <w:trPr>
          <w:trHeight w:val="222"/>
        </w:trPr>
        <w:tc>
          <w:tcPr>
            <w:tcW w:w="4640" w:type="dxa"/>
            <w:vAlign w:val="bottom"/>
          </w:tcPr>
          <w:p>
            <w:pPr>
              <w:ind w:left="440"/>
              <w:spacing w:after="0"/>
              <w:rPr>
                <w:sz w:val="20"/>
                <w:szCs w:val="20"/>
                <w:color w:val="auto"/>
              </w:rPr>
            </w:pPr>
            <w:r>
              <w:rPr>
                <w:rFonts w:ascii="Arial" w:cs="Arial" w:eastAsia="Arial" w:hAnsi="Arial"/>
                <w:sz w:val="18"/>
                <w:szCs w:val="18"/>
                <w:color w:val="auto"/>
              </w:rPr>
              <w:t>Total estimated purchase price</w:t>
            </w:r>
          </w:p>
        </w:tc>
        <w:tc>
          <w:tcPr>
            <w:tcW w:w="1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125,900</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90"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Of the total estimated purchase price, $83.3 million has been allocated to net tangible assets acquired, $17.3 million has been allocated to goodwill, and $25.3 million has been allocated to identifiable intangible assets acquired. The identified intangible assets consist of $23.3 million assigned to customer relationships and $2.0 million assigned to trademark and trade name. UEI expects to amortize the fair value of Enson’s customer relationships on a straight-line basis over an estimated life of 10 years. UEI expects to amortize the value of Enson’s trademark and trade name on a straight-line basis over an estimated life of 10 years. The customer relationships and trademark and trade name amortization will not be deductible for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Goodwill represents the excess of the purchase consideration over the estimated fair value of identifiable tangible and intangible assets acquired. Goodwill from this transaction of $17.3 million will not be amortized, but will be analyzed for impairment on at least an annual basis in accordance with U.S. GAAP. We review our goodwill for impairment annually on December 31 and whenever events or changes in circumstances indicate that an impairment loss may have occurred. Of the total goodwill recorded, none is expected to be deductible for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Zilog, Inc.</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software tools and certain fixed assets. We also hired 116 of Zilog’s sales and engineering personnel, including all 107 of Zilog’s personnel located in India. In a related transaction, Maxim Integrated Products (NASDAQ: MXIM) acquired two of Zilog’s product lines, namely, the hardware portion of Zilog’s remote control business and Zilog’s secured transaction product line.</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cross-licensed the remote control technology and intellectual property with Maxim Integrated Products for the purpose of conducting our respective businesses. The arrangement involves an agreement to source silicon chips from Maxim. In addition, during 2009 we agreed to be Maxim’s exclusive sales agent, selling the Zilog designs to Zilog’s former customers, in return for a sales agency fee. The sales agency fee during the years ended December 31, 2011, 2010 and 2009 was $1.0 million, $4.1 million, and $4.4 million, respectively. During 2011, we continued to slowly transition from the Zilog chip platform to the Maxim chip platform. As we progressively take over full</w:t>
      </w:r>
    </w:p>
    <w:p>
      <w:pPr>
        <w:sectPr>
          <w:pgSz w:w="11900" w:h="16838" w:orient="portrait"/>
          <w:cols w:equalWidth="0" w:num="1">
            <w:col w:w="11380"/>
          </w:cols>
          <w:pgMar w:left="240" w:top="459" w:right="279" w:bottom="1440" w:gutter="0" w:footer="0" w:header="0"/>
        </w:sectPr>
      </w:pP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80"/>
          </w:cols>
          <w:pgMar w:left="240" w:top="459" w:right="27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sales and distribution rights, procuring and selling the chips directly to Zilog’s former customers, the revenue recognized as a result of the agreement with Maxim continues to decrease. Our consolidated financial statements include the operating results of the acquired assets, employees hired, and the related agreement with Maxim from February 18, 2009.</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total purchase price of approximately $9.5 million has been allocated to the net assets acquired based on their estimated fair values as follow:</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4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680" w:type="dxa"/>
            <w:vAlign w:val="bottom"/>
            <w:vMerge w:val="restart"/>
          </w:tcPr>
          <w:p>
            <w:pPr>
              <w:jc w:val="right"/>
              <w:ind w:right="764"/>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280" w:type="dxa"/>
            <w:vAlign w:val="bottom"/>
          </w:tcPr>
          <w:p>
            <w:pPr>
              <w:spacing w:after="0"/>
              <w:rPr>
                <w:sz w:val="10"/>
                <w:szCs w:val="10"/>
                <w:color w:val="auto"/>
              </w:rPr>
            </w:pPr>
          </w:p>
        </w:tc>
        <w:tc>
          <w:tcPr>
            <w:tcW w:w="3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3680" w:type="dxa"/>
            <w:vAlign w:val="bottom"/>
          </w:tcPr>
          <w:p>
            <w:pPr>
              <w:jc w:val="right"/>
              <w:ind w:right="804"/>
              <w:spacing w:after="0" w:line="149" w:lineRule="exact"/>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3680" w:type="dxa"/>
            <w:vAlign w:val="bottom"/>
          </w:tcPr>
          <w:p>
            <w:pPr>
              <w:jc w:val="right"/>
              <w:ind w:right="564"/>
              <w:spacing w:after="0"/>
              <w:rPr>
                <w:sz w:val="20"/>
                <w:szCs w:val="20"/>
                <w:color w:val="auto"/>
              </w:rPr>
            </w:pPr>
            <w:r>
              <w:rPr>
                <w:rFonts w:ascii="Arial" w:cs="Arial" w:eastAsia="Arial" w:hAnsi="Arial"/>
                <w:sz w:val="14"/>
                <w:szCs w:val="14"/>
                <w:b w:val="1"/>
                <w:bCs w:val="1"/>
                <w:color w:val="auto"/>
              </w:rPr>
              <w:t>Estimated Lives</w:t>
            </w: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Database</w:t>
            </w:r>
          </w:p>
        </w:tc>
        <w:tc>
          <w:tcPr>
            <w:tcW w:w="3680" w:type="dxa"/>
            <w:vAlign w:val="bottom"/>
          </w:tcPr>
          <w:p>
            <w:pPr>
              <w:jc w:val="right"/>
              <w:ind w:right="564"/>
              <w:spacing w:after="0"/>
              <w:rPr>
                <w:sz w:val="20"/>
                <w:szCs w:val="20"/>
                <w:color w:val="auto"/>
              </w:rPr>
            </w:pPr>
            <w:r>
              <w:rPr>
                <w:rFonts w:ascii="Arial" w:cs="Arial" w:eastAsia="Arial" w:hAnsi="Arial"/>
                <w:sz w:val="18"/>
                <w:szCs w:val="18"/>
                <w:color w:val="auto"/>
              </w:rPr>
              <w:t>15 years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3680" w:type="dxa"/>
            <w:vAlign w:val="bottom"/>
            <w:shd w:val="clear" w:color="auto" w:fill="CCEEFF"/>
          </w:tcPr>
          <w:p>
            <w:pPr>
              <w:jc w:val="right"/>
              <w:ind w:right="564"/>
              <w:spacing w:after="0"/>
              <w:rPr>
                <w:sz w:val="20"/>
                <w:szCs w:val="20"/>
                <w:color w:val="auto"/>
              </w:rPr>
            </w:pPr>
            <w:r>
              <w:rPr>
                <w:rFonts w:ascii="Arial" w:cs="Arial" w:eastAsia="Arial" w:hAnsi="Arial"/>
                <w:sz w:val="18"/>
                <w:szCs w:val="18"/>
                <w:color w:val="auto"/>
              </w:rPr>
              <w:t>15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Goodwill</w:t>
            </w:r>
          </w:p>
        </w:tc>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Purchase price</w:t>
            </w: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the total purchase price, approximately $6.6 million was allocated to identifiable intangible assets subject to amortization including the database and customer relationships. We are amortizing the database on a straight-line basis over an estimated useful life of approximately 15 years. We are amortizing the customer relationships intangible on a straight-line basis over an estimated useful life of approximately 15 years. The database and customer relationships amortization will not be deductible for tax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represents the excess of the cost (purchase price) over the estimated fair value of identifiable tangible and intangible assets acquired. Goodwill from this transaction of $2.9 million will not be amortized, but will be analyzed for impairment at least on an annual basis in accordance with U.S. GAAP. We review our goodwill for impairment annually on December 31 and whenever events or changes in circumstances indicate that an impairment loss may have occurred. We have not recorded any impairment related to the goodwill recognized as a result of the Zilog acquisition. Of the total goodwill recorded, none is expected to be deductible for tax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recognized $1.1 million of total acquisition costs related to the Zilog transaction in selling, general and administrative expenses during the year ended December 31, 2009. The acquisition costs consisted primarily of legal and investment banking services. Of the $1.1 million of acquisition costs recognized during the year ended December 31, 2009, $0.1 million was deferred at December 31,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(Unaudited)</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Enson and Zilog as if these acquisitions occurred January 1,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years ended December 31, 2010 and 2009:</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2009</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6"/>
              </w:rPr>
              <w:t>458,492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409,475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31,686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21,230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2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Basic</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2.30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1.40</w:t>
            </w: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1.38</w:t>
            </w:r>
          </w:p>
        </w:tc>
      </w:tr>
    </w:tbl>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 presented, and should not be taken as a projection of the future consolidated results of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Enson Adjustments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Enson adjustments to reduce net income of $2.6 million for the year ended December 31, 2010, have been made to the combined results of operations. The $2.6 million reduction to net income reflects interest on the term loan, amortization of acquired intangible assets, amortization and depreciation of the fair value adjustments to prepaid land and property, plant, and equipment that would have occurred had the acquisition date been January 1, 2009.</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Enson adjustments to reduce net income of $5.4 million for the year ended December 31, 2009, have been made to the combined results of operations. The $5.4 million reduction to net income primarily reflects acquisition costs, interest on the term loan and line of credit, amortization of acquired intangible assets, amortization and depreciation of the fair value adjustments to prepaid land and property, plant, and equipment that would have occurred had the acquisition date been January 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adjustments have been made net of their related tax effects.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Zilog Adjustments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Zilog adjustments netting $0.7 million for the year ended December 31, 2009 have been made to the combined results of operations, primarily reflecting acquisition costs, net sales, salary costs and the amortization of purchased intangible assets that would have occurred had the acquisition date been January 1,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All adjustments have been made net of their related tax effects.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60"/>
          </w:cols>
          <w:pgMar w:left="24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Data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2011 and 2010, are presented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March 31,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2"/>
                <w:szCs w:val="12"/>
                <w:color w:val="auto"/>
              </w:rPr>
            </w:pPr>
          </w:p>
        </w:tc>
        <w:tc>
          <w:tcPr>
            <w:tcW w:w="106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3"/>
              </w:rPr>
              <w:t>September 30,</w:t>
            </w:r>
          </w:p>
        </w:tc>
        <w:tc>
          <w:tcPr>
            <w:tcW w:w="22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$105,712</w:t>
            </w:r>
          </w:p>
        </w:tc>
        <w:tc>
          <w:tcPr>
            <w:tcW w:w="5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$121,746</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123,527</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117,645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27,579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4"/>
              </w:rPr>
              <w:t>34,944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34,178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6,121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7,084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1"/>
                <w:szCs w:val="11"/>
                <w:color w:val="auto"/>
              </w:rPr>
              <w:t>(1)</w:t>
            </w: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0.48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700" w:type="dxa"/>
            <w:vAlign w:val="bottom"/>
            <w:tcBorders>
              <w:left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14,976</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15,025</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14,887</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15,383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15,407</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600" w:type="dxa"/>
            <w:vAlign w:val="bottom"/>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5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$ 71,376</w:t>
            </w:r>
          </w:p>
        </w:tc>
        <w:tc>
          <w:tcPr>
            <w:tcW w:w="5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$78,892</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79,007</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102,505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22,064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27,425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4,777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4,702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1"/>
                <w:szCs w:val="11"/>
                <w:color w:val="auto"/>
              </w:rPr>
              <w:t>(1)</w:t>
            </w: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Basic</w:t>
            </w:r>
          </w:p>
        </w:tc>
        <w:tc>
          <w:tcPr>
            <w:tcW w:w="1600" w:type="dxa"/>
            <w:vAlign w:val="bottom"/>
            <w:gridSpan w:val="3"/>
          </w:tcPr>
          <w:p>
            <w:pPr>
              <w:ind w:left="15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0.35</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600" w:type="dxa"/>
            <w:vAlign w:val="bottom"/>
            <w:gridSpan w:val="3"/>
            <w:shd w:val="clear" w:color="auto" w:fill="CCEEFF"/>
          </w:tcPr>
          <w:p>
            <w:pPr>
              <w:ind w:left="15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00" w:type="dxa"/>
            <w:vAlign w:val="bottom"/>
            <w:tcBorders>
              <w:left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13,700</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13,601</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w:t>
            </w:r>
          </w:p>
        </w:tc>
        <w:tc>
          <w:tcPr>
            <w:tcW w:w="2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14,093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13,929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40" w:hanging="452"/>
        <w:spacing w:after="0" w:line="272" w:lineRule="auto"/>
        <w:tabs>
          <w:tab w:leader="none" w:pos="460" w:val="left"/>
        </w:tabs>
        <w:numPr>
          <w:ilvl w:val="0"/>
          <w:numId w:val="37"/>
        </w:numPr>
        <w:rPr>
          <w:rFonts w:ascii="Arial" w:cs="Arial" w:eastAsia="Arial" w:hAnsi="Arial"/>
          <w:sz w:val="20"/>
          <w:szCs w:val="20"/>
          <w:color w:val="auto"/>
          <w:vertAlign w:val="superscript"/>
        </w:rPr>
      </w:pPr>
      <w:r>
        <w:rPr>
          <w:rFonts w:ascii="Arial" w:cs="Arial" w:eastAsia="Arial" w:hAnsi="Arial"/>
          <w:sz w:val="16"/>
          <w:szCs w:val="16"/>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11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240" w:top="459" w:right="6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40"/>
        <w:spacing w:after="0" w:line="369"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ind w:right="660"/>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and principal financial officers, we evaluated the effectiveness of our internal control over financial reporting based on the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2011.</w:t>
      </w:r>
    </w:p>
    <w:p>
      <w:pPr>
        <w:spacing w:after="0" w:line="1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2011 has been audited by Grant Thornton LLP, an independent registered public accounting firm, as stated in its attestation report which is included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internal controls or in other factors that may significantly affect our internal controls during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6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audited Universal Electronics Inc.’s (a Delaware Corporation) internal control over financial reporting as of December 31, 2011, based on criteria established in Internal Control-Integrated Framework issued by the Committee of Sponsoring Organizations of the Treadway Commission (COSO). Universal Electronics Inc.’s management is responsible for maintaining effective internal control over financial reporting and for its assertion of the effectiveness of internal control over financial reporting, included in the accompanying Management’s Annual Report on Internal Control Over Financial Reporting. Our responsibility is to express an opinion on Universal Electronics Inc.’s internal control over financial reporting based on our audit.</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our opinion, Universal Electronics Inc. maintained, in all material respects, effective internal control over financial reporting as of December 31, 2011, based on criteria established in Internal Control-Integrated Framework issued by COSO.</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Universal Electronics Inc. as of December 31, 2011 and 2010, and the related consolidated statements of income, stockholders’ equity, and cash flows for each of the three years in the period ended December 31, 2011, and our report dated March 14, 2012 expressed an unqualified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Information required by Item 401 of Regulation S-K with respect to our directors will be contained in and is hereby incorporated by reference to our definitive Proxy Statement for our 2012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Information required by Item 405 of Regulation S-K will be contained in and is hereby incorporated by reference to our definitive Proxy Statement for our 2012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6"/>
          <w:szCs w:val="16"/>
          <w:u w:val="single" w:color="auto"/>
          <w:color w:val="auto"/>
        </w:rPr>
        <w:t>www.uei.com</w:t>
      </w:r>
      <w:r>
        <w:rPr>
          <w:rFonts w:ascii="Arial" w:cs="Arial" w:eastAsia="Arial" w:hAnsi="Arial"/>
          <w:sz w:val="16"/>
          <w:szCs w:val="16"/>
          <w:color w:val="auto"/>
        </w:rPr>
        <w:t xml:space="preserve"> under the caption “SEC Filings” on the Investor page.</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 xml:space="preserve">Code of Conduct. </w:t>
      </w:r>
      <w:r>
        <w:rPr>
          <w:rFonts w:ascii="Arial" w:cs="Arial" w:eastAsia="Arial" w:hAnsi="Arial"/>
          <w:sz w:val="16"/>
          <w:szCs w:val="16"/>
          <w:color w:val="auto"/>
        </w:rPr>
        <w:t>We have adopted a code of conduct that applies to all of our employees, including without limitation our principal executive officer,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6"/>
          <w:szCs w:val="16"/>
          <w:u w:val="single" w:color="auto"/>
          <w:color w:val="auto"/>
        </w:rPr>
        <w:t>www.uei.com</w:t>
      </w:r>
      <w:r>
        <w:rPr>
          <w:rFonts w:ascii="Arial" w:cs="Arial" w:eastAsia="Arial" w:hAnsi="Arial"/>
          <w:sz w:val="16"/>
          <w:szCs w:val="16"/>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2012 Annual Meeting of Stockholders to be filed pursuant to Regulation 14A promulgated by the Securities and Exchange Commission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2012 Annual Meeting of Stockholders to be filed pursuant to Regulation 14A promulgated by the Securities and Exchange Commission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Information required by Item 403 of Regulation S-K will be contained in and is hereby incorporated by reference to our definitive Proxy Statement for our 2012 Annual Meeting of Stockholders to be filed pursuant to Regulation 14A promulgated by the Securities and Exchange Commission under the Exchange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2011:</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(b)</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8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8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options,</w:t>
            </w:r>
          </w:p>
        </w:tc>
        <w:tc>
          <w:tcPr>
            <w:tcW w:w="140" w:type="dxa"/>
            <w:vAlign w:val="bottom"/>
          </w:tcPr>
          <w:p>
            <w:pPr>
              <w:spacing w:after="0"/>
              <w:rPr>
                <w:sz w:val="12"/>
                <w:szCs w:val="12"/>
                <w:color w:val="auto"/>
              </w:rPr>
            </w:pPr>
          </w:p>
        </w:tc>
        <w:tc>
          <w:tcPr>
            <w:tcW w:w="16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(excluding</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4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8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securities reflected</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4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rights</w:t>
            </w:r>
          </w:p>
        </w:tc>
        <w:tc>
          <w:tcPr>
            <w:tcW w:w="140" w:type="dxa"/>
            <w:vAlign w:val="bottom"/>
          </w:tcPr>
          <w:p>
            <w:pPr>
              <w:spacing w:after="0"/>
              <w:rPr>
                <w:sz w:val="14"/>
                <w:szCs w:val="14"/>
                <w:color w:val="auto"/>
              </w:rPr>
            </w:pPr>
          </w:p>
        </w:tc>
        <w:tc>
          <w:tcPr>
            <w:tcW w:w="1680" w:type="dxa"/>
            <w:vAlign w:val="bottom"/>
            <w:gridSpan w:val="2"/>
          </w:tcPr>
          <w:p>
            <w:pPr>
              <w:jc w:val="center"/>
              <w:ind w:right="920"/>
              <w:spacing w:after="0" w:line="148" w:lineRule="exact"/>
              <w:rPr>
                <w:sz w:val="20"/>
                <w:szCs w:val="20"/>
                <w:color w:val="auto"/>
              </w:rPr>
            </w:pPr>
            <w:r>
              <w:rPr>
                <w:rFonts w:ascii="Arial" w:cs="Arial" w:eastAsia="Arial" w:hAnsi="Arial"/>
                <w:sz w:val="14"/>
                <w:szCs w:val="14"/>
                <w:b w:val="1"/>
                <w:bCs w:val="1"/>
                <w:color w:val="auto"/>
                <w:w w:val="88"/>
              </w:rPr>
              <w:t>and rights</w:t>
            </w:r>
          </w:p>
        </w:tc>
        <w:tc>
          <w:tcPr>
            <w:tcW w:w="12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5"/>
              </w:rPr>
              <w:t>Equity compensation plans approved by security holders</w:t>
            </w: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1,377,492</w:t>
            </w:r>
          </w:p>
        </w:tc>
        <w:tc>
          <w:tcPr>
            <w:tcW w:w="7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w w:val="79"/>
              </w:rPr>
              <w:t>19.99</w:t>
            </w:r>
          </w:p>
        </w:tc>
        <w:tc>
          <w:tcPr>
            <w:tcW w:w="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858,673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holders</w:t>
            </w:r>
          </w:p>
        </w:tc>
        <w:tc>
          <w:tcPr>
            <w:tcW w:w="520" w:type="dxa"/>
            <w:vAlign w:val="bottom"/>
          </w:tcPr>
          <w:p>
            <w:pPr>
              <w:spacing w:after="0"/>
              <w:rPr>
                <w:sz w:val="19"/>
                <w:szCs w:val="19"/>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326,197</w:t>
            </w:r>
          </w:p>
        </w:tc>
        <w:tc>
          <w:tcPr>
            <w:tcW w:w="140" w:type="dxa"/>
            <w:vAlign w:val="bottom"/>
          </w:tcPr>
          <w:p>
            <w:pPr>
              <w:spacing w:after="0"/>
              <w:rPr>
                <w:sz w:val="19"/>
                <w:szCs w:val="19"/>
                <w:color w:val="auto"/>
              </w:rPr>
            </w:pPr>
          </w:p>
        </w:tc>
        <w:tc>
          <w:tcPr>
            <w:tcW w:w="1680" w:type="dxa"/>
            <w:vAlign w:val="bottom"/>
            <w:gridSpan w:val="2"/>
          </w:tcPr>
          <w:p>
            <w:pPr>
              <w:ind w:left="520"/>
              <w:spacing w:after="0"/>
              <w:rPr>
                <w:sz w:val="20"/>
                <w:szCs w:val="20"/>
                <w:color w:val="auto"/>
              </w:rPr>
            </w:pPr>
            <w:r>
              <w:rPr>
                <w:rFonts w:ascii="Arial" w:cs="Arial" w:eastAsia="Arial" w:hAnsi="Arial"/>
                <w:sz w:val="18"/>
                <w:szCs w:val="18"/>
                <w:color w:val="auto"/>
              </w:rPr>
              <w:t>17.11</w:t>
            </w:r>
          </w:p>
        </w:tc>
        <w:tc>
          <w:tcPr>
            <w:tcW w:w="1140" w:type="dxa"/>
            <w:vAlign w:val="bottom"/>
          </w:tcPr>
          <w:p>
            <w:pPr>
              <w:jc w:val="right"/>
              <w:spacing w:after="0"/>
              <w:rPr>
                <w:sz w:val="20"/>
                <w:szCs w:val="20"/>
                <w:color w:val="auto"/>
              </w:rPr>
            </w:pPr>
            <w:r>
              <w:rPr>
                <w:rFonts w:ascii="Arial" w:cs="Arial" w:eastAsia="Arial" w:hAnsi="Arial"/>
                <w:sz w:val="18"/>
                <w:szCs w:val="18"/>
                <w:color w:val="auto"/>
              </w:rPr>
              <w:t>9,251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1,703,689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19.99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867,924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gridSpan w:val="2"/>
          </w:tcPr>
          <w:p>
            <w:pPr>
              <w:jc w:val="right"/>
              <w:ind w:right="787"/>
              <w:spacing w:after="0"/>
              <w:rPr>
                <w:sz w:val="20"/>
                <w:szCs w:val="20"/>
                <w:color w:val="auto"/>
              </w:rPr>
            </w:pPr>
            <w:r>
              <w:rPr>
                <w:rFonts w:ascii="Arial" w:cs="Arial" w:eastAsia="Arial" w:hAnsi="Arial"/>
                <w:sz w:val="18"/>
                <w:szCs w:val="18"/>
                <w:color w:val="auto"/>
              </w:rPr>
              <w:t>81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See “ITEM 8. FINANCIAL STATEMENTS AND SUPPLEMENTARY DATA- Notes to Consolidated Financial Statements </w:t>
      </w:r>
      <w:r>
        <w:rPr>
          <w:rFonts w:ascii="Arial" w:cs="Arial" w:eastAsia="Arial" w:hAnsi="Arial"/>
          <w:sz w:val="18"/>
          <w:szCs w:val="18"/>
          <w:b w:val="1"/>
          <w:bCs w:val="1"/>
          <w:color w:val="auto"/>
        </w:rPr>
        <w:t>-</w:t>
      </w:r>
      <w:r>
        <w:rPr>
          <w:rFonts w:ascii="Arial" w:cs="Arial" w:eastAsia="Arial" w:hAnsi="Arial"/>
          <w:sz w:val="18"/>
          <w:szCs w:val="18"/>
          <w:color w:val="auto"/>
        </w:rPr>
        <w:t xml:space="preserve"> Note 16” for a description of each of our stock incentive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2012 Annual Meeting of Stockholders to be filed pursuant to Regulation 14A promulgated by the Securities and Exchange Commission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Information required by this item will be contained in and is hereby incorporated by reference to our definitive Proxy Statement for our 2012 Annual Meeting of Stockholders to be filed pursuant to Regulation 14A promulgated by the Securities and Exchange Commission under the Exchange Act.</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List of Financial Statements</w:t>
      </w:r>
    </w:p>
    <w:p>
      <w:pPr>
        <w:spacing w:after="0" w:line="9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9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INDEX at page 84 of Form 10-K.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00"/>
          </w:cols>
          <w:pgMar w:left="24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Cypress, State of California on the 14th day of March, 2012.</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UNIVERSAL ELECTRONICS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Paul D. Arling</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14th day of March, 2012, by the following persons on behalf of the registrant and in the capacities indicated.</w:t>
      </w:r>
    </w:p>
    <w:p>
      <w:pPr>
        <w:sectPr>
          <w:pgSz w:w="11900" w:h="16838" w:orient="portrait"/>
          <w:cols w:equalWidth="0" w:num="1">
            <w:col w:w="11360"/>
          </w:cols>
          <w:pgMar w:left="240" w:top="459" w:right="29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&amp; TITLE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Satjiv S. Chahil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William C. Mulligan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 C. Sparkman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Gregory P. Stapleton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Carl E. Vogel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Edward K. Zinser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right"/>
        <w:ind w:right="210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Satjiv S. Chahil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William C. Mulligan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J.C. Sparkman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Gregory P. Stapleton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Carl E.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Edward K. Zinser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ectPr>
          <w:pgSz w:w="11900" w:h="16838" w:orient="portrait"/>
          <w:cols w:equalWidth="0" w:num="2">
            <w:col w:w="4900" w:space="720"/>
            <w:col w:w="5740"/>
          </w:cols>
          <w:pgMar w:left="240" w:top="459" w:right="29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4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Document Description</w:t>
            </w:r>
          </w:p>
        </w:tc>
        <w:tc>
          <w:tcPr>
            <w:tcW w:w="4540" w:type="dxa"/>
            <w:vAlign w:val="bottom"/>
          </w:tcPr>
          <w:p>
            <w:pPr>
              <w:spacing w:after="0"/>
              <w:rPr>
                <w:sz w:val="14"/>
                <w:szCs w:val="14"/>
                <w:color w:val="auto"/>
              </w:rPr>
            </w:pPr>
          </w:p>
        </w:tc>
      </w:tr>
      <w:tr>
        <w:trPr>
          <w:trHeight w:val="309"/>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Asset Purchase Agreement dated as of February 17, 2009 by and among Zilog, Inc., Zilog India Electronics Pvt Ltd, Maxim Integrated Products,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Inc., UEI Cayman Inc., Universal Electronics Inc., and UEI Electronics Private Limited (incorporated by reference to Exhibit 2.1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Annual Report on Form 10-K for the year ended December 31, 2008 filed on March 13, 2009 (File No. 0-12044))</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89"/>
              </w:rPr>
              <w:t>Stock Purchase Agreement dated as of November 3, 2010, among Universal Electronics Inc., UEI Hong Kong Private Limited and CG International</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Holdings Limited** (incorporated by reference to Exhibit 2.1 to the Company’s Current Report on Form 8-K filed on November 4, 2010 (File No.</w:t>
            </w:r>
          </w:p>
        </w:tc>
      </w:tr>
      <w:tr>
        <w:trPr>
          <w:trHeight w:val="222"/>
        </w:trPr>
        <w:tc>
          <w:tcPr>
            <w:tcW w:w="520" w:type="dxa"/>
            <w:vAlign w:val="bottom"/>
          </w:tcPr>
          <w:p>
            <w:pPr>
              <w:spacing w:after="0"/>
              <w:rPr>
                <w:sz w:val="19"/>
                <w:szCs w:val="19"/>
                <w:color w:val="auto"/>
              </w:rPr>
            </w:pPr>
          </w:p>
        </w:tc>
        <w:tc>
          <w:tcPr>
            <w:tcW w:w="4980" w:type="dxa"/>
            <w:vAlign w:val="bottom"/>
          </w:tcPr>
          <w:p>
            <w:pPr>
              <w:ind w:left="440"/>
              <w:spacing w:after="0"/>
              <w:rPr>
                <w:sz w:val="20"/>
                <w:szCs w:val="20"/>
                <w:color w:val="auto"/>
              </w:rPr>
            </w:pPr>
            <w:r>
              <w:rPr>
                <w:rFonts w:ascii="Arial" w:cs="Arial" w:eastAsia="Arial" w:hAnsi="Arial"/>
                <w:sz w:val="18"/>
                <w:szCs w:val="18"/>
                <w:color w:val="auto"/>
              </w:rPr>
              <w:t>0-12044))</w:t>
            </w:r>
          </w:p>
        </w:tc>
        <w:tc>
          <w:tcPr>
            <w:tcW w:w="136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89"/>
              </w:rPr>
              <w:t>Restated Certificate of Incorporation of Universal Electronics Inc., as amended (Incorporated by reference to Exhibit 3.1 to the Company’s Form 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1 Registration filed on or about December 24, 1992 (File No. 33-56358))</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Amended and Restated By-laws of Universal Electronics Inc. (Incorporated by reference to Exhibit 3.2 to the Company’s Form S-1 Registration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filed on or about December 24, 1992 (File No. 33-56358))</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Certificate of Amendment to Restated Certificate of Incorporation of Universal Electronics Inc. (Incorporated by reference to Exhibit 3.3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Company’s Annual Report on Form 10-K for the year ended December 31, 1995 filed on April 1, 1996 (File No. 0-21044))</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88"/>
              </w:rPr>
              <w:t>Article Eighth of our Restated Certificate of Incorporation, as amended, contains certain provisions restricting business combinations with interested</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87"/>
              </w:rPr>
              <w:t>stockholders under certain circumstances and imposing higher voting requirements for the approval of certain transactions unless the transaction has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been approved by two-thirds of the disinterested directors or fair price provisions have been met. (Incorporated by reference to Exhibit 3.3 to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Company’s Annual Report on Form 10-K for the year ended December 31, 1995 filed on April 1, 1996 (File No. 0-21044))</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w w:val="90"/>
              </w:rPr>
              <w:t>*10.1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Form of Universal Electronics Inc. 1993 Stock Incentive Plan (Incorporated by reference to Exhibit 10.13 to Amendment No. 1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Form S-1 Registration filed on or about January 21, 1993 (File No. 33-56358))</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w w:val="90"/>
              </w:rPr>
              <w:t>*10.2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Form of Universal Electronics Inc. 1995 Stock Incentive Plan (Incorporated by reference to Exhibit B to the Company’s Definitive Proxy Materials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for the 1995 Annual Meeting of Stockholders of Universal Electronics Inc. filed on May 1, 1995 (File No. 0-21044))</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w w:val="90"/>
              </w:rPr>
              <w:t>*10.3</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89"/>
              </w:rPr>
              <w:t>Form of Stock Option Agreement by and between Universal Electronics Inc. and certain employees used in connection with options granted to the</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employees pursuant to the Universal Electronics Inc. 1995 Stock Incentive Plan (Incorporated by reference to Exhibit 10.20 to the Company’s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Annual Report on Form 10-K for the year ended December 31, 1996 filed on March 28, 1997 (File No. 0-21044))</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w w:val="90"/>
              </w:rPr>
              <w:t>*10.4</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Form of Stock Option Agreement by and between Universal Electronics Inc. and certain non-affiliated directors used in connection with options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granted to the non-affiliated directors pursuant to the Universal Electronics Inc. 1995 Stock Incentive Plan (Incorporated by reference to Exhibit</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5"/>
              </w:rPr>
              <w:t>10.21 to the Company’s Annual Report on Form 10-K for the year ended December 31, 1996 filed on March 28, 1997 (File No. 0-21044))</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w w:val="90"/>
              </w:rPr>
              <w:t>*10.5</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Form of Universal Electronics Inc. 1996 Stock Incentive Plan (Incorporated by reference to Exhibit 4.5 to the Company’s Form S-8 Registration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Statement filed on March 26, 1997 (File No. 333-23985))</w:t>
            </w:r>
          </w:p>
        </w:tc>
      </w:tr>
      <w:tr>
        <w:trPr>
          <w:trHeight w:val="318"/>
        </w:trPr>
        <w:tc>
          <w:tcPr>
            <w:tcW w:w="520" w:type="dxa"/>
            <w:vAlign w:val="bottom"/>
          </w:tcPr>
          <w:p>
            <w:pPr>
              <w:jc w:val="right"/>
              <w:ind w:right="35"/>
              <w:spacing w:after="0"/>
              <w:rPr>
                <w:sz w:val="20"/>
                <w:szCs w:val="20"/>
                <w:color w:val="auto"/>
              </w:rPr>
            </w:pPr>
            <w:r>
              <w:rPr>
                <w:rFonts w:ascii="Arial" w:cs="Arial" w:eastAsia="Arial" w:hAnsi="Arial"/>
                <w:sz w:val="18"/>
                <w:szCs w:val="18"/>
                <w:color w:val="auto"/>
                <w:w w:val="90"/>
              </w:rPr>
              <w:t>*10.6</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Form of Stock Option Agreement by and between Universal Electronics Inc. and certain employers used in connection with options granted to the</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88"/>
              </w:rPr>
              <w:t>employees pursuant to the Universal Electronics Inc. 1996 Stock Incentive Plan (Incorporated by reference to Exhibit 4.6 to the Company’s Form S-</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8 Registration Statement filed on March 26, 1997 (File No. 333-23985))</w:t>
            </w:r>
          </w:p>
        </w:tc>
      </w:tr>
      <w:tr>
        <w:trPr>
          <w:trHeight w:val="365"/>
        </w:trPr>
        <w:tc>
          <w:tcPr>
            <w:tcW w:w="520" w:type="dxa"/>
            <w:vAlign w:val="bottom"/>
          </w:tcPr>
          <w:p>
            <w:pPr>
              <w:spacing w:after="0"/>
              <w:rPr>
                <w:sz w:val="24"/>
                <w:szCs w:val="24"/>
                <w:color w:val="auto"/>
              </w:rPr>
            </w:pPr>
          </w:p>
        </w:tc>
        <w:tc>
          <w:tcPr>
            <w:tcW w:w="6340" w:type="dxa"/>
            <w:vAlign w:val="bottom"/>
            <w:gridSpan w:val="2"/>
          </w:tcPr>
          <w:p>
            <w:pPr>
              <w:ind w:left="5100"/>
              <w:spacing w:after="0"/>
              <w:rPr>
                <w:sz w:val="20"/>
                <w:szCs w:val="20"/>
                <w:color w:val="auto"/>
              </w:rPr>
            </w:pPr>
            <w:r>
              <w:rPr>
                <w:rFonts w:ascii="Arial" w:cs="Arial" w:eastAsia="Arial" w:hAnsi="Arial"/>
                <w:sz w:val="18"/>
                <w:szCs w:val="18"/>
                <w:color w:val="auto"/>
              </w:rPr>
              <w:t>84</w:t>
            </w:r>
          </w:p>
        </w:tc>
        <w:tc>
          <w:tcPr>
            <w:tcW w:w="45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60" w:type="dxa"/>
            <w:vAlign w:val="bottom"/>
          </w:tcPr>
          <w:p>
            <w:pPr>
              <w:spacing w:after="0"/>
              <w:rPr>
                <w:sz w:val="14"/>
                <w:szCs w:val="14"/>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Document Description</w:t>
            </w:r>
          </w:p>
        </w:tc>
        <w:tc>
          <w:tcPr>
            <w:tcW w:w="4560" w:type="dxa"/>
            <w:vAlign w:val="bottom"/>
          </w:tcPr>
          <w:p>
            <w:pPr>
              <w:spacing w:after="0"/>
              <w:rPr>
                <w:sz w:val="14"/>
                <w:szCs w:val="14"/>
                <w:color w:val="auto"/>
              </w:rPr>
            </w:pPr>
          </w:p>
        </w:tc>
      </w:tr>
      <w:tr>
        <w:trPr>
          <w:trHeight w:val="309"/>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2"/>
              </w:rPr>
              <w:t>Form of Salary Continuation Agreement by and between Universal Electronics Inc. and certain employees (Incorporated by reference to Exhibit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5"/>
              </w:rPr>
              <w:t>10.25 to the Company’s Annual Report on Form 10-K for the year ended December 31, 1997, filed on March 30, 1998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*10.8</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88"/>
              </w:rPr>
              <w:t>Form of Amendment to Salary Continuation Agreement by and between Universal Electronics Inc. and certain employees (Incorporated by reference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89"/>
              </w:rPr>
              <w:t>to Exhibit 10.26 to the Company’s Annual Report on Form 10-K for the year ended December 31, 1997, filed on March 30, 1998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1"/>
              </w:rPr>
              <w:t>Form of Universal Electronics Inc. 1998 Stock Incentive Plan (Incorporated by reference to Exhibit A to the Company’s Definitive Proxy Materials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for the 1998 Annual Meeting of Stockholders of Universal Electronics Inc. filed on April 20, 1998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*10.10</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0"/>
              </w:rPr>
              <w:t>Form of Stock Option Agreement by and between Universal Electronics Inc. and certain employees used in connection with options granted to the</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3"/>
              </w:rPr>
              <w:t>employees pursuant to the Universal Electronics Inc. 1998 Stock Incentive Plan(Incorporated by reference to Exhibit 10.24 to the Company’s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Annual Report on Form 10-K for the year ended December 31, 1998 filed on March 31, 1999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*10.11</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1"/>
              </w:rPr>
              <w:t>Form of Universal Electronics Inc. 1999 Stock Incentive Plan (Incorporated by reference to Exhibit A to the Company’s Definitive Proxy Materials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for the 1999 Annual Meeting of Stockholders of Universal Electronics Inc. filed on April 29, 1999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*10.12</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0"/>
              </w:rPr>
              <w:t>Form of Stock Option Agreement by and between Universal Electronics Inc. and certain employees used in connection with options granted to the</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89"/>
              </w:rPr>
              <w:t>employees pursuant to the Universal Electronics Inc. 1999 Stock Incentive Plan (Incorporated by reference to Exhibit A to the Company’s Definitive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Proxy Materials for the 1999 Annual Meeting of Stockholders of Universal Electronics Inc. filed on April 29, 1999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*10.13</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2"/>
              </w:rPr>
              <w:t>Form of Salary Continuation Agreement by and between Universal Electronics Inc. and certain employees (Incorporated by reference to Exhibit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6"/>
              </w:rPr>
              <w:t>10.39 to the Company’s Annual Report on Form 10-K for the year ended December 31, 1999 filed on March 30, 2000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*10.14</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5"/>
              </w:rPr>
              <w:t>Form of Universal Electronics Inc. 1999A Nonqualified Stock Plan effective October 7, 1999 and subsequently amended February 1, 2000</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0"/>
              </w:rPr>
              <w:t>(Incorporated by reference to Exhibit 10.42 to the Company’s Annual Report on Form 10-K for the year ended December 31, 1999 filed on March</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30, 2000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*10.15</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0"/>
              </w:rPr>
              <w:t>Form of Stock Option Agreement by and between Universal Electronics Inc. and certain employees used in connection with options granted to the</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0"/>
              </w:rPr>
              <w:t>employees pursuant to the Universal Electronics Inc. 1999A Nonqualified Stock Plan (Incorporated by reference to Exhibit 10.43 to the Company’s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Annual Report on Form 10-K for the year ended December 31, 1999 filed on March 30, 2000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*10.16</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2"/>
              </w:rPr>
              <w:t>Form of Universal Electronics Inc. 2002 Stock Incentive Plan (Incorporated by reference to Exhibit 10.49 to the Company’s Quarterly Report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Form 10-Q for the quarter ended June 30, 2002 filed on August 14, 2002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*10.17</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89"/>
              </w:rPr>
              <w:t>Form of Stock Option Agreement by and between Universal Electronics Inc. and certain directors, officers and other employees used in connection</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1"/>
              </w:rPr>
              <w:t>with options granted to the employees pursuant to the Universal Electronics Inc. 2002 Stock Incentive Plan (Incorporated by reference to Exhibit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5"/>
              </w:rPr>
              <w:t>10.50 to the Company’s Quarterly Report on Form 10-Q for the quarter ended June 30, 2002 filed on August 14, 2002 (File No. 0-21044))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*10.18</w:t>
            </w: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w w:val="96"/>
              </w:rPr>
              <w:t>Form of Universal Electronics Inc. 2003 Stock Incentive Plan (Incorporated by reference to Appendix B to the Company’s Definitive Proxy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80" w:type="dxa"/>
            <w:vAlign w:val="bottom"/>
            <w:gridSpan w:val="3"/>
          </w:tcPr>
          <w:p>
            <w:pPr>
              <w:ind w:left="380"/>
              <w:spacing w:after="0"/>
              <w:rPr>
                <w:sz w:val="20"/>
                <w:szCs w:val="20"/>
                <w:color w:val="auto"/>
              </w:rPr>
            </w:pPr>
            <w:r>
              <w:rPr>
                <w:rFonts w:ascii="Arial" w:cs="Arial" w:eastAsia="Arial" w:hAnsi="Arial"/>
                <w:sz w:val="18"/>
                <w:szCs w:val="18"/>
                <w:color w:val="auto"/>
              </w:rPr>
              <w:t>Materials for the 2003 Annual Meeting of Stockholders of Universal Electronics Inc. filed on April 28, 2003 (File No. 0-21044))</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2"/>
          </w:tcPr>
          <w:p>
            <w:pPr>
              <w:ind w:left="5080"/>
              <w:spacing w:after="0"/>
              <w:rPr>
                <w:sz w:val="20"/>
                <w:szCs w:val="20"/>
                <w:color w:val="auto"/>
              </w:rPr>
            </w:pPr>
            <w:r>
              <w:rPr>
                <w:rFonts w:ascii="Arial" w:cs="Arial" w:eastAsia="Arial" w:hAnsi="Arial"/>
                <w:sz w:val="18"/>
                <w:szCs w:val="18"/>
                <w:color w:val="auto"/>
              </w:rPr>
              <w:t>85</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4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960" w:type="dxa"/>
            <w:vAlign w:val="bottom"/>
          </w:tcPr>
          <w:p>
            <w:pPr>
              <w:spacing w:after="0"/>
              <w:rPr>
                <w:sz w:val="14"/>
                <w:szCs w:val="14"/>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Document Description</w:t>
            </w:r>
          </w:p>
        </w:tc>
        <w:tc>
          <w:tcPr>
            <w:tcW w:w="4520" w:type="dxa"/>
            <w:vAlign w:val="bottom"/>
          </w:tcPr>
          <w:p>
            <w:pPr>
              <w:spacing w:after="0"/>
              <w:rPr>
                <w:sz w:val="14"/>
                <w:szCs w:val="14"/>
                <w:color w:val="auto"/>
              </w:rPr>
            </w:pPr>
          </w:p>
        </w:tc>
      </w:tr>
      <w:tr>
        <w:trPr>
          <w:trHeight w:val="309"/>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*10.19</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8"/>
              </w:rPr>
              <w:t>Form of Executive Officer Employment Agreement dated April 23, 2003 by and between Universal Electronics Inc. and Paul D. Arling</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5"/>
              </w:rPr>
              <w:t>(incorporated by reference to Exhibit 10.42 to the Company’s Annual Report on Form 10-K for the year ended December 31, 2003 filed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rPr>
              <w:t>March 14, 2004 (File No. 0-21044))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*10.20</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89"/>
              </w:rPr>
              <w:t>Form of First Amendment to Executive Officer Employment Agreement dated October 21, 2005 by and between Universal Electronics Inc. and Paul</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1"/>
              </w:rPr>
              <w:t>D. Arling (incorporated by reference to Exhibit 10.24 to the Company’s Annual Report on Form 10-K for the year ended December 31, 2005 filed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rPr>
              <w:t>on March 16, 2006 (File No. 0-21044))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*10.21</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5"/>
              </w:rPr>
              <w:t>Form of Universal Electronics Inc. 2006 Stock Incentive Plan (incorporated by reference to Appendix C to the Company’s Definitive Proxy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rPr>
              <w:t>Materials for the 2006 Annual Meeting of Stockholders of Universal Electronics Inc. filed on April 26, 2006 (File No. 0-21044)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Form of Lease dated January 31, 2007 between FirstCal Industrial 2 Acquisition, LLC and Universal Electronics Inc. (incorporated by reference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Exhibit 10.26 to the Company’s Annual Report on Form 10-K for the year ended December 31, 2006 filed on March 16, 2007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*10.23</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1"/>
              </w:rPr>
              <w:t>Form of Indemnification Agreements, dated as of January 2, 2007 between the Company and each director and certain officers of the Company</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(incorporated by reference to Exhibit 10.28 to the Company’s Annual Report on Form 10-K for the year ended December 31, 2006 filed on March</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rPr>
              <w:t>16, 2007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*10.24</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Form of Restricted Stock Unit Agreement (incorporated herein by reference to Exhibit 4.5 to the Company’s Form S-8 Registration Statement filed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rPr>
              <w:t>on March 27, 2008 (File No. 333-149926))</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Credit Agreement dated December 23, 2009 between U.S. Bank National Association and Universal Electronics Inc. (incorporated by reference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Exhibit 10.31 to the Company’s Annual Report on Form 10-K for the year ended December 31, 2009 filed on March 15, 2010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Revolving Note dated December 23, 2009 from Universal Electronics Inc. to U.S. Bank National Association ((incorporated by reference to Exhibit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5"/>
              </w:rPr>
              <w:t>10.32 to the Company’s Annual Report on Form 10-K for the year ended December 31, 2009 filed on March 15, 2010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Amended and Restated Credit Agreement dated as of November 1, 2010 between Universal Electronics Inc. and U.S. Bank National Association</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((incorporated by reference to Exhibit 10.27 to the Company’s Annual Report on Form 10-K for the year ended December 31, 2010 filed on March</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rPr>
              <w:t>16, 2011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1"/>
              </w:rPr>
              <w:t>Revolving Note dated November 1, 2010 between Universal Electronics Inc. and U.S. Bank National Association ((incorporated by reference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Exhibit 10.28 to the Company’s Annual Report on Form 10-K for the year ended December 31, 2010 filed on March 16, 2011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89"/>
              </w:rPr>
              <w:t>Term Note dated November 1, 2010 from Universal Electronics Inc. to U.S. Bank National Association ((incorporated by reference to Exhibit 10.29</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9"/>
              </w:rPr>
              <w:t>to the Company’s Annual Report on Form 10-K for the year ended December 31, 2010 filed on March 16, 2011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89"/>
              </w:rPr>
              <w:t>Pledge Agreement dated November 1, 2010 between UEI Hong Kong Private Limited and Enson Assets Limited to U.S. Bank National Association</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((incorporated by reference to Exhibit 10.30 to the Company’s Annual Report on Form 10-K for the year ended December 31, 2010 filed on March</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rPr>
              <w:t>16, 2011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2"/>
              </w:rPr>
              <w:t>Security Agreement dated November 1, 2010 from Universal Electronics Inc. to U.S. Bank National Association ((incorporated by reference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0"/>
              </w:rPr>
              <w:t>Exhibit 10.31 to the Company’s Annual Report on Form 10-K for the year ended December 31, 2010 filed on March 16, 2011 (File No. 02-21044))</w:t>
            </w:r>
          </w:p>
        </w:tc>
      </w:tr>
      <w:tr>
        <w:trPr>
          <w:trHeight w:val="318"/>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*10.32</w:t>
            </w: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w w:val="92"/>
              </w:rPr>
              <w:t>Universal Electronics Inc. 2010 Stock Incentive Plan (incorporated by reference to Appendix C to the Company’s Proxy Statement for its 2010</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40" w:type="dxa"/>
            <w:vAlign w:val="bottom"/>
            <w:gridSpan w:val="3"/>
          </w:tcPr>
          <w:p>
            <w:pPr>
              <w:ind w:left="380"/>
              <w:spacing w:after="0"/>
              <w:rPr>
                <w:sz w:val="20"/>
                <w:szCs w:val="20"/>
                <w:color w:val="auto"/>
              </w:rPr>
            </w:pPr>
            <w:r>
              <w:rPr>
                <w:rFonts w:ascii="Arial" w:cs="Arial" w:eastAsia="Arial" w:hAnsi="Arial"/>
                <w:sz w:val="18"/>
                <w:szCs w:val="18"/>
                <w:color w:val="auto"/>
              </w:rPr>
              <w:t>Annual Meeting of Stockholders filed on April 30, 2010 (File No. 02-21044))</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2"/>
          </w:tcPr>
          <w:p>
            <w:pPr>
              <w:ind w:left="5080"/>
              <w:spacing w:after="0"/>
              <w:rPr>
                <w:sz w:val="20"/>
                <w:szCs w:val="20"/>
                <w:color w:val="auto"/>
              </w:rPr>
            </w:pPr>
            <w:r>
              <w:rPr>
                <w:rFonts w:ascii="Arial" w:cs="Arial" w:eastAsia="Arial" w:hAnsi="Arial"/>
                <w:sz w:val="18"/>
                <w:szCs w:val="18"/>
                <w:color w:val="auto"/>
              </w:rPr>
              <w:t>86</w:t>
            </w:r>
          </w:p>
        </w:tc>
        <w:tc>
          <w:tcPr>
            <w:tcW w:w="45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6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Document Description</w:t>
            </w:r>
          </w:p>
        </w:tc>
        <w:tc>
          <w:tcPr>
            <w:tcW w:w="4140" w:type="dxa"/>
            <w:vAlign w:val="bottom"/>
          </w:tcPr>
          <w:p>
            <w:pPr>
              <w:spacing w:after="0"/>
              <w:rPr>
                <w:sz w:val="14"/>
                <w:szCs w:val="14"/>
                <w:color w:val="auto"/>
              </w:rPr>
            </w:pPr>
          </w:p>
        </w:tc>
      </w:tr>
      <w:tr>
        <w:trPr>
          <w:trHeight w:val="309"/>
        </w:trPr>
        <w:tc>
          <w:tcPr>
            <w:tcW w:w="1340" w:type="dxa"/>
            <w:vAlign w:val="bottom"/>
            <w:gridSpan w:val="3"/>
          </w:tcPr>
          <w:p>
            <w:pPr>
              <w:ind w:left="280"/>
              <w:spacing w:after="0"/>
              <w:rPr>
                <w:sz w:val="20"/>
                <w:szCs w:val="20"/>
                <w:color w:val="auto"/>
              </w:rPr>
            </w:pPr>
            <w:r>
              <w:rPr>
                <w:rFonts w:ascii="Arial" w:cs="Arial" w:eastAsia="Arial" w:hAnsi="Arial"/>
                <w:sz w:val="18"/>
                <w:szCs w:val="18"/>
                <w:color w:val="auto"/>
              </w:rPr>
              <w:t>*10.33</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89"/>
              </w:rPr>
              <w:t>Form of Option Agreement used in connection with the Universal Electronics Inc. 2010 Stock Incentive Plan (incorporated by reference</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to Exhibit 4.6 to the Company’s Registration Statement on Form S-8 filed on July 5, 2011 (File No. 333-175345))</w:t>
            </w:r>
          </w:p>
        </w:tc>
      </w:tr>
      <w:tr>
        <w:trPr>
          <w:trHeight w:val="318"/>
        </w:trPr>
        <w:tc>
          <w:tcPr>
            <w:tcW w:w="1340" w:type="dxa"/>
            <w:vAlign w:val="bottom"/>
            <w:gridSpan w:val="3"/>
          </w:tcPr>
          <w:p>
            <w:pPr>
              <w:ind w:left="280"/>
              <w:spacing w:after="0"/>
              <w:rPr>
                <w:sz w:val="20"/>
                <w:szCs w:val="20"/>
                <w:color w:val="auto"/>
              </w:rPr>
            </w:pPr>
            <w:r>
              <w:rPr>
                <w:rFonts w:ascii="Arial" w:cs="Arial" w:eastAsia="Arial" w:hAnsi="Arial"/>
                <w:sz w:val="18"/>
                <w:szCs w:val="18"/>
                <w:color w:val="auto"/>
              </w:rPr>
              <w:t>*10.34</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99"/>
              </w:rPr>
              <w:t>Form of Restricted Stock Unit Agreement used in connection with the Universal Electronics Inc. 2010 Stock Incentive Plan</w:t>
            </w: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92"/>
              </w:rPr>
              <w:t>(incorporated by reference to Exhibit 4.6 to the Company’s Registration Statement on Form S-8 filed on July 5, 2011 (File No. 333-</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175345))</w:t>
            </w:r>
          </w:p>
        </w:tc>
        <w:tc>
          <w:tcPr>
            <w:tcW w:w="13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318"/>
        </w:trPr>
        <w:tc>
          <w:tcPr>
            <w:tcW w:w="1340" w:type="dxa"/>
            <w:vAlign w:val="bottom"/>
            <w:gridSpan w:val="3"/>
          </w:tcPr>
          <w:p>
            <w:pPr>
              <w:ind w:left="360"/>
              <w:spacing w:after="0"/>
              <w:rPr>
                <w:sz w:val="20"/>
                <w:szCs w:val="20"/>
                <w:color w:val="auto"/>
              </w:rPr>
            </w:pPr>
            <w:r>
              <w:rPr>
                <w:rFonts w:ascii="Arial" w:cs="Arial" w:eastAsia="Arial" w:hAnsi="Arial"/>
                <w:sz w:val="18"/>
                <w:szCs w:val="18"/>
                <w:color w:val="auto"/>
              </w:rPr>
              <w:t>10.35</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88"/>
              </w:rPr>
              <w:t>First Amendment to Amended and Restated Credit Agreement dated October 26, 2011 between Universal Electronics Inc. and U.S. Bank</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National Association (filed herewith)</w:t>
            </w:r>
          </w:p>
        </w:tc>
      </w:tr>
      <w:tr>
        <w:trPr>
          <w:trHeight w:val="324"/>
        </w:trPr>
        <w:tc>
          <w:tcPr>
            <w:tcW w:w="1340" w:type="dxa"/>
            <w:vAlign w:val="bottom"/>
            <w:gridSpan w:val="3"/>
          </w:tcPr>
          <w:p>
            <w:pPr>
              <w:ind w:left="360"/>
              <w:spacing w:after="0"/>
              <w:rPr>
                <w:sz w:val="20"/>
                <w:szCs w:val="20"/>
                <w:color w:val="auto"/>
              </w:rPr>
            </w:pPr>
            <w:r>
              <w:rPr>
                <w:rFonts w:ascii="Arial" w:cs="Arial" w:eastAsia="Arial" w:hAnsi="Arial"/>
                <w:sz w:val="18"/>
                <w:szCs w:val="18"/>
                <w:color w:val="auto"/>
              </w:rPr>
              <w:t>10.36</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99"/>
              </w:rPr>
              <w:t>Acknowledgment and Agreement of Pledgor dated October 26, 2011 from UEI Hong Kong Private Limited (filed herewith)</w:t>
            </w:r>
          </w:p>
        </w:tc>
      </w:tr>
      <w:tr>
        <w:trPr>
          <w:trHeight w:val="318"/>
        </w:trPr>
        <w:tc>
          <w:tcPr>
            <w:tcW w:w="1340" w:type="dxa"/>
            <w:vAlign w:val="bottom"/>
            <w:gridSpan w:val="3"/>
          </w:tcPr>
          <w:p>
            <w:pPr>
              <w:ind w:left="360"/>
              <w:spacing w:after="0"/>
              <w:rPr>
                <w:sz w:val="20"/>
                <w:szCs w:val="20"/>
                <w:color w:val="auto"/>
              </w:rPr>
            </w:pPr>
            <w:r>
              <w:rPr>
                <w:rFonts w:ascii="Arial" w:cs="Arial" w:eastAsia="Arial" w:hAnsi="Arial"/>
                <w:sz w:val="18"/>
                <w:szCs w:val="18"/>
                <w:color w:val="auto"/>
              </w:rPr>
              <w:t>10.37</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88"/>
              </w:rPr>
              <w:t>Second Amendment to Amended and Restated Credit Agreement dated March 2, 2012 between Universal Electronics Inc. and U.S. Bank</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National Association (filed herewith)</w:t>
            </w:r>
          </w:p>
        </w:tc>
      </w:tr>
      <w:tr>
        <w:trPr>
          <w:trHeight w:val="318"/>
        </w:trPr>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14.1</w:t>
            </w:r>
          </w:p>
        </w:tc>
        <w:tc>
          <w:tcPr>
            <w:tcW w:w="620" w:type="dxa"/>
            <w:vAlign w:val="bottom"/>
          </w:tcPr>
          <w:p>
            <w:pPr>
              <w:spacing w:after="0"/>
              <w:rPr>
                <w:sz w:val="24"/>
                <w:szCs w:val="24"/>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96"/>
              </w:rPr>
              <w:t>Code of Conduct (incorporated by reference to Exhibit 14.1 to the Company’s Annual Report on Form 10-K for the year ended</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December 31, 2003 filed on March 14, 2004 (File No. 0-21044))</w:t>
            </w:r>
          </w:p>
        </w:tc>
      </w:tr>
      <w:tr>
        <w:trPr>
          <w:trHeight w:val="324"/>
        </w:trPr>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21.1</w:t>
            </w:r>
          </w:p>
        </w:tc>
        <w:tc>
          <w:tcPr>
            <w:tcW w:w="620" w:type="dxa"/>
            <w:vAlign w:val="bottom"/>
          </w:tcPr>
          <w:p>
            <w:pPr>
              <w:spacing w:after="0"/>
              <w:rPr>
                <w:sz w:val="24"/>
                <w:szCs w:val="24"/>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List of Subsidiaries of the Registrant (filed herewith)</w:t>
            </w:r>
          </w:p>
        </w:tc>
      </w:tr>
      <w:tr>
        <w:trPr>
          <w:trHeight w:val="324"/>
        </w:trPr>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23.1</w:t>
            </w:r>
          </w:p>
        </w:tc>
        <w:tc>
          <w:tcPr>
            <w:tcW w:w="620" w:type="dxa"/>
            <w:vAlign w:val="bottom"/>
          </w:tcPr>
          <w:p>
            <w:pPr>
              <w:spacing w:after="0"/>
              <w:rPr>
                <w:sz w:val="24"/>
                <w:szCs w:val="24"/>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324"/>
        </w:trPr>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24.1</w:t>
            </w:r>
          </w:p>
        </w:tc>
        <w:tc>
          <w:tcPr>
            <w:tcW w:w="620" w:type="dxa"/>
            <w:vAlign w:val="bottom"/>
          </w:tcPr>
          <w:p>
            <w:pPr>
              <w:spacing w:after="0"/>
              <w:rPr>
                <w:sz w:val="24"/>
                <w:szCs w:val="24"/>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Power of Attorney (filed as part of the signature page hereto)</w:t>
            </w:r>
          </w:p>
        </w:tc>
      </w:tr>
      <w:tr>
        <w:trPr>
          <w:trHeight w:val="324"/>
        </w:trPr>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31.1</w:t>
            </w:r>
          </w:p>
        </w:tc>
        <w:tc>
          <w:tcPr>
            <w:tcW w:w="620" w:type="dxa"/>
            <w:vAlign w:val="bottom"/>
          </w:tcPr>
          <w:p>
            <w:pPr>
              <w:spacing w:after="0"/>
              <w:rPr>
                <w:sz w:val="24"/>
                <w:szCs w:val="24"/>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Rule 13a-14(a) Certifications of the Chief Executive Officer (filed herewith)</w:t>
            </w:r>
          </w:p>
        </w:tc>
      </w:tr>
      <w:tr>
        <w:trPr>
          <w:trHeight w:val="324"/>
        </w:trPr>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31.2</w:t>
            </w:r>
          </w:p>
        </w:tc>
        <w:tc>
          <w:tcPr>
            <w:tcW w:w="620" w:type="dxa"/>
            <w:vAlign w:val="bottom"/>
          </w:tcPr>
          <w:p>
            <w:pPr>
              <w:spacing w:after="0"/>
              <w:rPr>
                <w:sz w:val="24"/>
                <w:szCs w:val="24"/>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92"/>
              </w:rPr>
              <w:t>Rule 13a-14(a) Certifications of the Chief Financial Officer (principal financial officer and principal accounting officer) (filed herewith)</w:t>
            </w:r>
          </w:p>
        </w:tc>
      </w:tr>
      <w:tr>
        <w:trPr>
          <w:trHeight w:val="324"/>
        </w:trPr>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32.1</w:t>
            </w:r>
          </w:p>
        </w:tc>
        <w:tc>
          <w:tcPr>
            <w:tcW w:w="620" w:type="dxa"/>
            <w:vAlign w:val="bottom"/>
          </w:tcPr>
          <w:p>
            <w:pPr>
              <w:spacing w:after="0"/>
              <w:rPr>
                <w:sz w:val="24"/>
                <w:szCs w:val="24"/>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Section 1350 Certifications of the Chief Executive Officer (filed herewith)</w:t>
            </w:r>
          </w:p>
        </w:tc>
      </w:tr>
      <w:tr>
        <w:trPr>
          <w:trHeight w:val="324"/>
        </w:trPr>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32.2</w:t>
            </w:r>
          </w:p>
        </w:tc>
        <w:tc>
          <w:tcPr>
            <w:tcW w:w="620" w:type="dxa"/>
            <w:vAlign w:val="bottom"/>
          </w:tcPr>
          <w:p>
            <w:pPr>
              <w:spacing w:after="0"/>
              <w:rPr>
                <w:sz w:val="24"/>
                <w:szCs w:val="24"/>
                <w:color w:val="auto"/>
              </w:rPr>
            </w:pP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w w:val="93"/>
              </w:rPr>
              <w:t>Section 1350 Certifications of the Chief Financial Officer (principal financial officer and principal accounting officer) (filed herewith)</w:t>
            </w: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XBRL Instance Document</w:t>
            </w: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Linkbase Document</w:t>
            </w: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w:t>
      </w:r>
    </w:p>
    <w:p>
      <w:pPr>
        <w:spacing w:after="0" w:line="15" w:lineRule="exact"/>
        <w:rPr>
          <w:sz w:val="20"/>
          <w:szCs w:val="20"/>
          <w:color w:val="auto"/>
        </w:rPr>
      </w:pPr>
    </w:p>
    <w:p>
      <w:pPr>
        <w:ind w:left="580" w:right="400" w:hanging="572"/>
        <w:spacing w:after="0" w:line="281"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Attachments to the Purchase Agreement, identified on Exhibit 2.2, have been omitted as permitted by Item 601(b)(2) of Regulation S-K. UEI hereby undertakes to furnish supplementally to the Securities and Exchange Commission a copy of any omitted attachment upon request.</w:t>
      </w:r>
    </w:p>
    <w:p>
      <w:pPr>
        <w:spacing w:after="0" w:line="1" w:lineRule="exact"/>
        <w:rPr>
          <w:rFonts w:ascii="Arial" w:cs="Arial" w:eastAsia="Arial" w:hAnsi="Arial"/>
          <w:sz w:val="16"/>
          <w:szCs w:val="16"/>
          <w:color w:val="auto"/>
        </w:rPr>
      </w:pPr>
    </w:p>
    <w:p>
      <w:pPr>
        <w:ind w:left="580" w:right="60" w:hanging="572"/>
        <w:spacing w:after="0" w:line="255"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10.35</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AMENDED AND RESTATED CREDIT AGREEMENT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FIRST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made and entered into as of October 26, 2011, is by and between Universal Electronics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Bank and the Borrower entered into an Amended and Restated Credit Agreement dated as of November 1, 2010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w:t>
      </w:r>
    </w:p>
    <w:p>
      <w:pPr>
        <w:spacing w:after="0" w:line="194" w:lineRule="exact"/>
        <w:rPr>
          <w:rFonts w:ascii="Arial" w:cs="Arial" w:eastAsia="Arial" w:hAnsi="Arial"/>
          <w:sz w:val="16"/>
          <w:szCs w:val="16"/>
          <w:color w:val="auto"/>
        </w:rPr>
      </w:pPr>
    </w:p>
    <w:p>
      <w:pPr>
        <w:ind w:right="6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desires to amend certain provisions of the Credit Agreement, and the Bank has agreed to make such amendments, subject to the terms and conditions set forth in this Amendment.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1"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adequacy of which are hereby acknowledged, the parties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and agree to be bound as follows:</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and not otherwise defined herein shall have the meanings assigned to them in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otherwise requires.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The Credit Agreement is hereby amended as follows: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Term Loan Maturity Date</w:t>
      </w:r>
      <w:r>
        <w:rPr>
          <w:rFonts w:ascii="Arial" w:cs="Arial" w:eastAsia="Arial" w:hAnsi="Arial"/>
          <w:sz w:val="18"/>
          <w:szCs w:val="18"/>
          <w:color w:val="auto"/>
        </w:rPr>
        <w:t>. The definition of “</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is amended and restated in its entirety as follows:</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November 1, 2012.</w:t>
      </w:r>
    </w:p>
    <w:p>
      <w:pPr>
        <w:spacing w:after="0" w:line="84" w:lineRule="exact"/>
        <w:rPr>
          <w:sz w:val="20"/>
          <w:szCs w:val="20"/>
          <w:color w:val="auto"/>
        </w:rPr>
      </w:pPr>
    </w:p>
    <w:p>
      <w:pPr>
        <w:jc w:val="center"/>
        <w:ind w:right="360"/>
        <w:spacing w:after="0" w:line="440"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Revolving Commitment Ending Date</w:t>
      </w:r>
      <w:r>
        <w:rPr>
          <w:rFonts w:ascii="Arial" w:cs="Arial" w:eastAsia="Arial" w:hAnsi="Arial"/>
          <w:sz w:val="16"/>
          <w:szCs w:val="16"/>
          <w:color w:val="auto"/>
        </w:rPr>
        <w:t>. Section 2.17 of the Credit Agreement is amended and restated in its entirety as follows: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Revolving Commitment Ending Date</w:t>
      </w:r>
      <w:r>
        <w:rPr>
          <w:rFonts w:ascii="Arial" w:cs="Arial" w:eastAsia="Arial" w:hAnsi="Arial"/>
          <w:sz w:val="16"/>
          <w:szCs w:val="16"/>
          <w:color w:val="auto"/>
        </w:rPr>
        <w:t>. The “Revolving Commitment Ending Date” is November 1, 2013.</w:t>
      </w:r>
    </w:p>
    <w:p>
      <w:pPr>
        <w:spacing w:after="0" w:line="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Effectiveness of Amendments</w:t>
      </w:r>
      <w:r>
        <w:rPr>
          <w:rFonts w:ascii="Arial" w:cs="Arial" w:eastAsia="Arial" w:hAnsi="Arial"/>
          <w:sz w:val="18"/>
          <w:szCs w:val="18"/>
          <w:color w:val="auto"/>
        </w:rPr>
        <w:t>. The amendments in this Amendment shall become effective upon delivery by the Borrower of, and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Borrower with, the following:</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This Amendment duly executed by the Borrower.</w:t>
      </w:r>
    </w:p>
    <w:p>
      <w:pPr>
        <w:spacing w:after="0" w:line="90" w:lineRule="exact"/>
        <w:rPr>
          <w:sz w:val="20"/>
          <w:szCs w:val="20"/>
          <w:color w:val="auto"/>
        </w:rPr>
      </w:pPr>
    </w:p>
    <w:p>
      <w:pPr>
        <w:ind w:left="460" w:right="540" w:firstLine="438"/>
        <w:spacing w:after="0" w:line="275"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A certificate of the secretary or other appropriate officer of the Borrower (i) certifying that the execution, delivery and performance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have been duly authorized under the resolutions of the Borrower’s Board of Directors, a copy of</w:t>
      </w:r>
    </w:p>
    <w:p>
      <w:pPr>
        <w:sectPr>
          <w:pgSz w:w="11900" w:h="16838" w:orient="portrait"/>
          <w:cols w:equalWidth="0" w:num="1">
            <w:col w:w="11420"/>
          </w:cols>
          <w:pgMar w:left="240" w:top="125" w:right="239" w:bottom="1440" w:gutter="0" w:footer="0" w:header="0"/>
        </w:sectPr>
      </w:pPr>
    </w:p>
    <w:bookmarkStart w:id="90" w:name="page91"/>
    <w:bookmarkEnd w:id="90"/>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was certified to the Bank as a true and correct copy pursuant to a Certificate of Secretary of the Borrower dated November 1, 2010 (the “</w:t>
      </w:r>
      <w:r>
        <w:rPr>
          <w:rFonts w:ascii="Arial" w:cs="Arial" w:eastAsia="Arial" w:hAnsi="Arial"/>
          <w:sz w:val="16"/>
          <w:szCs w:val="16"/>
          <w:u w:val="single" w:color="auto"/>
          <w:color w:val="auto"/>
        </w:rPr>
        <w:t>Prior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w:t>
      </w:r>
      <w:r>
        <w:rPr>
          <w:rFonts w:ascii="Arial" w:cs="Arial" w:eastAsia="Arial" w:hAnsi="Arial"/>
          <w:sz w:val="16"/>
          <w:szCs w:val="16"/>
          <w:color w:val="auto"/>
        </w:rPr>
        <w:t>”) or pursuant to a separate action of such Board of Directors attached to such certificate and certified as a true and correct copy, (ii) certifying that there have been no amendments to or restatements of the Restated Certificate of Incorporation or Amended and Restated Bylaws of the Borrower as furnished to the Bank with the Prior Certificate, other than as may be attached to such certificate, and (iii) certifying the names of the officers of the Borrower that are authorized to sign this Amendment, together with the true signatures of such officers.</w:t>
      </w:r>
    </w:p>
    <w:p>
      <w:pPr>
        <w:spacing w:after="0" w:line="29" w:lineRule="exact"/>
        <w:rPr>
          <w:sz w:val="20"/>
          <w:szCs w:val="20"/>
          <w:color w:val="auto"/>
        </w:rPr>
      </w:pPr>
    </w:p>
    <w:p>
      <w:pPr>
        <w:ind w:right="760" w:firstLine="438"/>
        <w:spacing w:after="0" w:line="27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An Acknowledgment and Agreement of Pledgor, duly executed by UEI Hong Kong Private Limited, as pledgor, in form and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acceptable to the Bank.</w:t>
      </w:r>
    </w:p>
    <w:p>
      <w:pPr>
        <w:spacing w:after="0" w:line="39" w:lineRule="exact"/>
        <w:rPr>
          <w:sz w:val="20"/>
          <w:szCs w:val="20"/>
          <w:color w:val="auto"/>
        </w:rPr>
      </w:pPr>
    </w:p>
    <w:p>
      <w:pPr>
        <w:ind w:right="540" w:firstLine="438"/>
        <w:spacing w:after="0" w:line="339" w:lineRule="auto"/>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color w:val="auto"/>
        </w:rPr>
        <w:t>The Borrower shall have satisfied such other conditions as specified by the Bank, including payment of all unpaid legal fees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by the Bank through the date of this Amendment in connection with the Credit Agreement and this Amendment.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Warranties, Authority, No Adverse Claim</w:t>
      </w:r>
      <w:r>
        <w:rPr>
          <w:rFonts w:ascii="Arial" w:cs="Arial" w:eastAsia="Arial" w:hAnsi="Arial"/>
          <w:sz w:val="18"/>
          <w:szCs w:val="18"/>
          <w:color w:val="auto"/>
        </w:rPr>
        <w:t>.</w:t>
      </w:r>
    </w:p>
    <w:p>
      <w:pPr>
        <w:spacing w:after="0" w:line="90"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Reassertion of Representations and Warranties, No Default</w:t>
      </w:r>
      <w:r>
        <w:rPr>
          <w:rFonts w:ascii="Arial" w:cs="Arial" w:eastAsia="Arial" w:hAnsi="Arial"/>
          <w:sz w:val="16"/>
          <w:szCs w:val="16"/>
          <w:color w:val="auto"/>
        </w:rPr>
        <w:t>. The Borrower hereby represents that on and as of the date hereof and after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this Amendment (a) all of the representations and warranties in the Credit Agreement are true, correct, and complete in all respects as of the date hereof as though made on and as of such date, except for changes permitted by the terms of the Credit Agreement, and (b) there will exist no Default or Event of Default under the Credit Agreement as amended by this Amendment on such date that the Bank has not waived.</w:t>
      </w:r>
    </w:p>
    <w:p>
      <w:pPr>
        <w:spacing w:after="0" w:line="22"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Authority, No Conflict, No Consent Required, Enforceability</w:t>
      </w:r>
      <w:r>
        <w:rPr>
          <w:rFonts w:ascii="Arial" w:cs="Arial" w:eastAsia="Arial" w:hAnsi="Arial"/>
          <w:sz w:val="16"/>
          <w:szCs w:val="16"/>
          <w:color w:val="auto"/>
        </w:rPr>
        <w:t>. The Borrower represents and warrants that it has the power, legal right, and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enter into this Amendment and has duly authorized as appropriate the execution and delivery of this Amendment and any other agreements and documents executed and delivered by the Borrower in connection herewith by proper corporate action, and neither this Amendment nor the agreements herein contravenes or constitutes a default under any agreement, instrument, or indenture to which the Borrower is a party or a signatory, any provision of the Borrower’s articles of incorporation or bylaws, or any other agreement or requirement of law, or results in the imposition of any Lien on any of its property under any agreement binding on or applicable to the Borrower or any of its property except, if any, in favor of the Bank. The Borrower represents and warrants that no consent, approval, or authorization of or registration or declaration with any Person, including but not limited to any governmental authority, is required in connection with the execution and delivery by the Borrower of this Amendment or other agreements and documents executed and delivered by the Borrower in connection herewith or the performance of obligations of the Borrower herein described, except for those that the Borrower has obtained or provided and as to which the Borrower has delivered certified copies of documents evidencing each such action to the Bank. The Borrower represents and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91" w:name="page92"/>
    <w:bookmarkEnd w:id="91"/>
    <w:p>
      <w:pPr>
        <w:ind w:left="4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53" w:lineRule="exact"/>
        <w:rPr>
          <w:sz w:val="20"/>
          <w:szCs w:val="20"/>
          <w:color w:val="auto"/>
        </w:rPr>
      </w:pPr>
    </w:p>
    <w:p>
      <w:pPr>
        <w:ind w:left="460" w:right="280" w:firstLine="438"/>
        <w:spacing w:after="0" w:line="339"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No Adverse Claim</w:t>
      </w:r>
      <w:r>
        <w:rPr>
          <w:rFonts w:ascii="Arial" w:cs="Arial" w:eastAsia="Arial" w:hAnsi="Arial"/>
          <w:sz w:val="16"/>
          <w:szCs w:val="16"/>
          <w:color w:val="auto"/>
        </w:rPr>
        <w:t>. The Borrower warrants, acknowledges, and agrees that no events have taken place and no circumstances exist at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that would give the Borrower a basis to assert a defense, offset, or counterclaim to any claim of the Bank with respect to the Obligations.</w:t>
      </w:r>
    </w:p>
    <w:p>
      <w:pPr>
        <w:spacing w:after="0" w:line="7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Affirmation of Credit Agreement, Further References, Affirmation of Security Interest</w:t>
      </w:r>
      <w:r>
        <w:rPr>
          <w:rFonts w:ascii="Arial" w:cs="Arial" w:eastAsia="Arial" w:hAnsi="Arial"/>
          <w:sz w:val="16"/>
          <w:szCs w:val="16"/>
          <w:color w:val="auto"/>
        </w:rPr>
        <w:t>. The Bank and the Borrower each acknowledge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affirm that the Credit Agreement, as hereby amended, and each of the other Loan Documents are hereby ratified and confirmed in all respects and all terms, conditions, and provisions of the Credit Agreement, except as amended by this Amendment, and each of the other Loan Documents shall remain unmodified and in full force and effect. All references in any document or instrument to the Credit Agreement are hereby amended to refer to the Credit Agreement as amended by this Amendment and all of the terms, conditions, provisions, agreements, requirements, promises, obligations, duties, covenants, and representations of the Borrower under such documents and any and all other documents and agreements entered into with respect to the Obligations are hereby ratified and affirmed in all respects by the Borrower.</w:t>
      </w:r>
    </w:p>
    <w:p>
      <w:pPr>
        <w:spacing w:after="0" w:line="113"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Merger and Integration, Superseding Effect</w:t>
      </w:r>
      <w:r>
        <w:rPr>
          <w:rFonts w:ascii="Arial" w:cs="Arial" w:eastAsia="Arial" w:hAnsi="Arial"/>
          <w:sz w:val="16"/>
          <w:szCs w:val="16"/>
          <w:color w:val="auto"/>
        </w:rPr>
        <w:t>. This Amendment, from and after the date hereof, embodies the entire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9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Amendment and any other statement, instrument, or transaction contemplated hereby or</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hereto shall be interpreted so as to be effective, valid, and enforceable under the applicable law of any jurisdiction, but if any provision of this Amendment or any other statement, instrument, or transaction contemplated hereby or relating hereto is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relating hereto in such jurisdiction, or affecting the effectiveness, validity, or enforceability of such provision in any other jurisdiction.</w:t>
      </w:r>
    </w:p>
    <w:p>
      <w:pPr>
        <w:spacing w:after="0" w:line="11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This Amendment shall be binding upon the Borrower, the Bank, and their respective successors and assigns and shall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Borrower, the Bank, and the Bank’s successors and assigns.</w:t>
      </w:r>
    </w:p>
    <w:p>
      <w:pPr>
        <w:spacing w:after="0" w:line="1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Legal Expenses</w:t>
      </w:r>
      <w:r>
        <w:rPr>
          <w:rFonts w:ascii="Arial" w:cs="Arial" w:eastAsia="Arial" w:hAnsi="Arial"/>
          <w:sz w:val="18"/>
          <w:szCs w:val="18"/>
          <w:color w:val="auto"/>
        </w:rPr>
        <w:t>. The Borrower shall pay or reimburse the Bank, upon execution of this Amendment, for all reasonable out-of-pocket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paid or incurred by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92" w:name="page93"/>
    <w:bookmarkEnd w:id="92"/>
    <w:p>
      <w:pPr>
        <w:ind w:right="2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including filing and recording costs and fees, charges and disbursements of outside counsel to the Bank (determined on the basis of such counsel’s generally applicable rates, which may be higher than the rates such counsel charges the Bank in certain matters), and the allocated costs of in-house counsel incurred from time to time, in connection with the Credit Agreement, including in connection with the negotiation, preparation, execution, collection, and enforcement of this Amendment and all other documents negotiated, prepared, and executed in connection herewith, and in enforcing the obligations of the Borrower under this Amendment, and to pay and save the Bank harmless from all liability for any stamp or other taxes that may be payable with respect to the execution or delivery of this Amendment, which obligations of the Borrower shall survive any termination of the Credit Agreement.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Section 10. </w:t>
      </w:r>
      <w:r>
        <w:rPr>
          <w:rFonts w:ascii="Arial" w:cs="Arial" w:eastAsia="Arial" w:hAnsi="Arial"/>
          <w:sz w:val="15"/>
          <w:szCs w:val="15"/>
          <w:b w:val="1"/>
          <w:bCs w:val="1"/>
          <w:u w:val="single" w:color="auto"/>
          <w:color w:val="auto"/>
        </w:rPr>
        <w:t>Headings</w:t>
      </w:r>
      <w:r>
        <w:rPr>
          <w:rFonts w:ascii="Arial" w:cs="Arial" w:eastAsia="Arial" w:hAnsi="Arial"/>
          <w:sz w:val="15"/>
          <w:szCs w:val="15"/>
          <w:color w:val="auto"/>
        </w:rPr>
        <w:t>. The headings of various sections of this Amendment are for reference only and shall not be deemed to be a part of this Amendment.</w:t>
      </w:r>
    </w:p>
    <w:p>
      <w:pPr>
        <w:spacing w:after="0" w:line="206"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Amendment may be executed in several counterparts as deemed necessary or convenient, each of which, when so</w:t>
      </w:r>
      <w:r>
        <w:rPr>
          <w:rFonts w:ascii="Arial" w:cs="Arial" w:eastAsia="Arial" w:hAnsi="Arial"/>
          <w:sz w:val="16"/>
          <w:szCs w:val="16"/>
          <w:b w:val="1"/>
          <w:bCs w:val="1"/>
          <w:color w:val="auto"/>
        </w:rPr>
        <w:t xml:space="preserve"> </w:t>
      </w:r>
      <w:r>
        <w:rPr>
          <w:rFonts w:ascii="Arial" w:cs="Arial" w:eastAsia="Arial" w:hAnsi="Arial"/>
          <w:sz w:val="16"/>
          <w:szCs w:val="16"/>
          <w:color w:val="auto"/>
        </w:rPr>
        <w:t>executed, shall be deemed an original, provided that all such counterparts shall be regarded as one and the same document.</w:t>
      </w:r>
    </w:p>
    <w:p>
      <w:pPr>
        <w:spacing w:after="0" w:line="7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SHALL BE GOVERNED BY THE INTERNAL LAWS OF THE STATE OF CALIFORNIA, WITHOUT GIVING EFFECT TO CONFLICT OF LAW PRINCIPLES THEREOF, BUT GIVING EFFECT TO FEDERAL LAWS APPLICABLE TO NATIONAL BANKS, THEIR HOLDING COMPANIES, AND THEIR AFFILIATES.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next page is the signature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3" w:name="page94"/>
    <w:bookmarkEnd w:id="9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Amendment to be executed as of the date and year first above written.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UNIVERSAL ELECTRONICS INC.</w:t>
      </w:r>
    </w:p>
    <w:p>
      <w:pPr>
        <w:spacing w:after="0" w:line="24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BANK:</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U.S. BANK NATIONAL ASSOCIATION</w:t>
      </w:r>
    </w:p>
    <w:p>
      <w:pPr>
        <w:spacing w:after="0" w:line="24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-5715</wp:posOffset>
            </wp:positionV>
            <wp:extent cx="29673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10.36</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AND AGREEMENT OF PLEDGOR</w:t>
      </w:r>
    </w:p>
    <w:p>
      <w:pPr>
        <w:spacing w:after="0" w:line="177"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The undersigned is a pledgor of investment property to secure indebtedness of Universal Electronics Inc., a Delaware corporation (the “Borrower”), to U.S. Bank National Association, a national banking association (the “Bank”), pursuant to the Pledge Agreement dated as of November 3, 2010 by the undersigned and Enson Assets Limited, a company organized under the laws of the British Virgin Islands in favor of the Bank (the “Pledge Agreement”). The undersigned hereby</w:t>
      </w:r>
    </w:p>
    <w:p>
      <w:pPr>
        <w:spacing w:after="0" w:line="1" w:lineRule="exact"/>
        <w:rPr>
          <w:sz w:val="20"/>
          <w:szCs w:val="20"/>
          <w:color w:val="auto"/>
        </w:rPr>
      </w:pPr>
    </w:p>
    <w:p>
      <w:pPr>
        <w:ind w:right="140" w:firstLine="8"/>
        <w:spacing w:after="0" w:line="292" w:lineRule="auto"/>
        <w:tabs>
          <w:tab w:leader="none" w:pos="21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acknowledges receipt of the First Amendment to Amended and Restated Credit Agreement (the “Amendment”) of even date herewith, between the Borrower and the Bank; (ii) consents to the terms and execution of the Amendment; (iii) reaffirms its obligations to the Bank pursuant to the terms of the Pledge Agreement; and (iv) acknowledges that the Bank may amend, restate, extend, renew or otherwise modify the Credit Agreement, as such term is defined in the Amendment, and any indebtedness or agreement of the Borrower, or enter into any agreement or extend additional or other credit accommodations, without notifying or obtaining the consent of the undersigned and without impairing the liability of the undersigned under the Pledge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party hereto has caused this Acknowledgment and Agreement to be executed as of October 26,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UEI HONG KONG PRIVATE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10.37</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AMENDED AND RESTATED CREDIT AGREEMENT</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SECOND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made and entered into as of March 2, 2012, is by and between Universal Electronics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60" w:firstLine="464"/>
        <w:spacing w:after="0" w:line="268"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Bank and the Borrower entered into an Amended and Restated Credit Agreement dated as of November 1, 2010, as amended by a First Amendment to Credit Agreement dated as of October 26, 2011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60" w:firstLine="464"/>
        <w:spacing w:after="0" w:line="268"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Borrower desires to amend certain provisions of the Credit Agreement, and the Bank has agreed to make such amendments, subject to the terms and conditions set forth in this Amendment.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1"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adequacy of which are hereby acknowledged, the parties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and agree to be bound as follows:</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and not otherwise defined herein shall have the meanings assigned to them in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otherwise requires.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The Credit Agreement is hereby amended as follows: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The following new Sections 2.21 and 2.22 are added:</w:t>
      </w:r>
    </w:p>
    <w:p>
      <w:pPr>
        <w:spacing w:after="0" w:line="96" w:lineRule="exact"/>
        <w:rPr>
          <w:sz w:val="20"/>
          <w:szCs w:val="20"/>
          <w:color w:val="auto"/>
        </w:rPr>
      </w:pPr>
    </w:p>
    <w:p>
      <w:pPr>
        <w:ind w:left="920" w:right="200" w:firstLine="420"/>
        <w:spacing w:after="0" w:line="291"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Yield Protection</w:t>
      </w:r>
      <w:r>
        <w:rPr>
          <w:rFonts w:ascii="Arial" w:cs="Arial" w:eastAsia="Arial" w:hAnsi="Arial"/>
          <w:sz w:val="16"/>
          <w:szCs w:val="16"/>
          <w:color w:val="auto"/>
        </w:rPr>
        <w:t>. If, on or after the date of this Agreement, the adoption of any law or any governmental or quasi-governmental rule, regulation, policy, guideline, or directive (whether or not having the force of law), or any change in the interpretation, promulgation, implementation, or administration thereof by any governmental or quasi-governmental authority, central bank, or comparable agency charged with the interpretation or administration thereof including, notwithstanding the foregoing, all requests, rules, guidelines or directives in connection with Dodd-Frank Wall Street Reform and Consumer Protection Act regardless of the date enacted, adopted, or issued, or compliance by the Bank with any request or directive (whether or not having the force of law) of any such authority, central bank, or comparable agency:</w:t>
      </w:r>
    </w:p>
    <w:p>
      <w:pPr>
        <w:spacing w:after="0" w:line="39" w:lineRule="exact"/>
        <w:rPr>
          <w:sz w:val="20"/>
          <w:szCs w:val="20"/>
          <w:color w:val="auto"/>
        </w:rPr>
      </w:pPr>
    </w:p>
    <w:p>
      <w:pPr>
        <w:ind w:left="1500" w:right="20" w:firstLine="389"/>
        <w:spacing w:after="0" w:line="259" w:lineRule="auto"/>
        <w:tabs>
          <w:tab w:leader="none" w:pos="21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subjects any the Bank to any taxes, or changes the basis of taxation of payments (other than with respect to taxes imposed on its overall net income and franchise taxes imposed on it in lieu of net income taxes) to the Bank in respect of the Loans or participations therein, or</w:t>
      </w:r>
    </w:p>
    <w:p>
      <w:pPr>
        <w:sectPr>
          <w:pgSz w:w="11900" w:h="16838" w:orient="portrait"/>
          <w:cols w:equalWidth="0" w:num="1">
            <w:col w:w="11420"/>
          </w:cols>
          <w:pgMar w:left="240" w:top="125" w:right="239" w:bottom="1440" w:gutter="0" w:footer="0" w:header="0"/>
        </w:sectPr>
      </w:pPr>
    </w:p>
    <w:bookmarkStart w:id="96" w:name="page97"/>
    <w:bookmarkEnd w:id="96"/>
    <w:p>
      <w:pPr>
        <w:ind w:left="580" w:right="60" w:firstLine="389"/>
        <w:spacing w:after="0" w:line="259" w:lineRule="auto"/>
        <w:tabs>
          <w:tab w:leader="none" w:pos="1226"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imposes or increases or deems applicable any reserve, assessment, insurance charge, special deposit, or similar requirement against assets of deposits with or for the account of, or credit extended by, the Bank (other than reserves and assessments taken into account in determining the interest rate applicable to the Loans), or</w:t>
      </w:r>
    </w:p>
    <w:p>
      <w:pPr>
        <w:spacing w:after="0" w:line="59" w:lineRule="exact"/>
        <w:rPr>
          <w:rFonts w:ascii="Arial" w:cs="Arial" w:eastAsia="Arial" w:hAnsi="Arial"/>
          <w:sz w:val="18"/>
          <w:szCs w:val="18"/>
          <w:color w:val="auto"/>
        </w:rPr>
      </w:pPr>
    </w:p>
    <w:p>
      <w:pPr>
        <w:ind w:left="580" w:right="40" w:firstLine="389"/>
        <w:spacing w:after="0" w:line="335" w:lineRule="auto"/>
        <w:tabs>
          <w:tab w:leader="none" w:pos="1216" w:val="left"/>
        </w:tabs>
        <w:numPr>
          <w:ilvl w:val="0"/>
          <w:numId w:val="45"/>
        </w:numPr>
        <w:rPr>
          <w:rFonts w:ascii="Arial" w:cs="Arial" w:eastAsia="Arial" w:hAnsi="Arial"/>
          <w:sz w:val="15"/>
          <w:szCs w:val="15"/>
          <w:color w:val="auto"/>
        </w:rPr>
      </w:pPr>
      <w:r>
        <w:rPr>
          <w:rFonts w:ascii="Arial" w:cs="Arial" w:eastAsia="Arial" w:hAnsi="Arial"/>
          <w:sz w:val="15"/>
          <w:szCs w:val="15"/>
          <w:color w:val="auto"/>
        </w:rPr>
        <w:t>imposes any other condition the result of which is to increase the cost to the Bank of maintaining the Loans, or reduces any amount receivable by the Bank in connection with the Loans or participations therein, or requires the Bank to make any payment calculated by reference to the amount of the Loans or participations therein held or interest received by it, by an amount deemed material by the Bank,</w:t>
      </w:r>
    </w:p>
    <w:p>
      <w:pPr>
        <w:spacing w:after="0" w:line="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and the result of any of the foregoing is to increase the cost to the Bank of maintaining the Loans or to reduce the return received by the Bank in connection with the Loans or participations therein, then, within 15 days after demand by the Bank, the Borrower shall pay the Bank such additional amount or amounts as will compensate the Bank for such increased cost or reduction in amount received.</w:t>
      </w:r>
    </w:p>
    <w:p>
      <w:pPr>
        <w:spacing w:after="0" w:line="26" w:lineRule="exact"/>
        <w:rPr>
          <w:sz w:val="20"/>
          <w:szCs w:val="20"/>
          <w:color w:val="auto"/>
        </w:rPr>
      </w:pPr>
    </w:p>
    <w:p>
      <w:pPr>
        <w:ind w:firstLine="420"/>
        <w:spacing w:after="0" w:line="286" w:lineRule="auto"/>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Changes in Capital Adequacy Regulations</w:t>
      </w:r>
      <w:r>
        <w:rPr>
          <w:rFonts w:ascii="Arial" w:cs="Arial" w:eastAsia="Arial" w:hAnsi="Arial"/>
          <w:sz w:val="16"/>
          <w:szCs w:val="16"/>
          <w:color w:val="auto"/>
        </w:rPr>
        <w:t>. If the Bank determines the amount of capital required or expected to be maintained by the Bank or any corporation controlling the Bank is increased as a result of a Change, then, within 15 days after demand by the Bank, the Borrower shall pay the Bank the amount necessary to compensate for any shortfall in the rate of return on the portion of such increased capital that the Bank determines is attributable to this Agreement, its outstanding credit exposure or the Loans (after taking into account the Bank’s policies as to capital adequacy). “Change” means (a) any change after the date of this Agreement in the Risk-Based Capital Guidelines or (b) any adoption of or change in any other law, governmental or quasi-governmental rule, regulation, policy, guideline, interpretation, or directive (whether or not having the force of law) or in the interpretation, promulgation, implementation, or administration thereof after the date of this Agreement that affects the amount of capital required or expected to be maintained by the Bank or any corporation controlling the Bank. Notwithstanding the foregoing, for purposes of this Agreement, all requests, rules, guidelines, or directives in connection with the Dodd-Frank Wall Street Reform and Consumer Protection Act shall be deemed to be a Change regardless of the date enacted, adopted, or issued and all requests, rules, guidelines, or directives promulgated by the Bank for International Settlements, the Basel Committee on Banking Supervision (or any successor or similar authority), or the United States financial regulatory authorities shall be deemed to be a Change regardless of the date adopted, issued, promulgated, or implemented. “Risk-Based Capital Guidelines” means (x) the risk-based capital guidelines in effect in the United States on the date of this Agreement, including</w:t>
      </w:r>
    </w:p>
    <w:p>
      <w:pPr>
        <w:spacing w:after="0" w:line="10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1160" w:top="280" w:right="259" w:bottom="1440" w:gutter="0" w:footer="0" w:header="0"/>
        </w:sectPr>
      </w:pPr>
    </w:p>
    <w:bookmarkStart w:id="97" w:name="page98"/>
    <w:bookmarkEnd w:id="97"/>
    <w:p>
      <w:pPr>
        <w:ind w:left="92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transition rules, and (y) the corresponding capital regulations promulgated by regulatory authorities outside the United States including transition rules, and any amendments to such regulations adopted prior to the date of this Agreement.</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Section 6.16 of the Credit Agreement is amended and restated in its entirety as follows:</w:t>
      </w:r>
    </w:p>
    <w:p>
      <w:pPr>
        <w:spacing w:after="0" w:line="96" w:lineRule="exact"/>
        <w:rPr>
          <w:sz w:val="20"/>
          <w:szCs w:val="20"/>
          <w:color w:val="auto"/>
        </w:rPr>
      </w:pPr>
    </w:p>
    <w:p>
      <w:pPr>
        <w:ind w:left="920" w:right="80" w:firstLine="420"/>
        <w:spacing w:after="0" w:line="268"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Quick Ratio</w:t>
      </w:r>
      <w:r>
        <w:rPr>
          <w:rFonts w:ascii="Arial" w:cs="Arial" w:eastAsia="Arial" w:hAnsi="Arial"/>
          <w:sz w:val="18"/>
          <w:szCs w:val="18"/>
          <w:color w:val="auto"/>
        </w:rPr>
        <w:t>. The Borrower shall not permit the Quick Ratio, as of the end of each fiscal quarter beginning with the fiscal quarter ending December 31, 2011, to be less than 0.80 to 1.0.</w:t>
      </w:r>
    </w:p>
    <w:p>
      <w:pPr>
        <w:spacing w:after="0" w:line="126"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Effectiveness of Amendments</w:t>
      </w:r>
      <w:r>
        <w:rPr>
          <w:rFonts w:ascii="Arial" w:cs="Arial" w:eastAsia="Arial" w:hAnsi="Arial"/>
          <w:sz w:val="18"/>
          <w:szCs w:val="18"/>
          <w:color w:val="auto"/>
        </w:rPr>
        <w:t>. The amendments in this Amendment shall become effective upon delivery by the Borrower of, and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Borrower with, the following:</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This Amendment duly executed by the Borrower.</w:t>
      </w:r>
    </w:p>
    <w:p>
      <w:pPr>
        <w:spacing w:after="0" w:line="90" w:lineRule="exact"/>
        <w:rPr>
          <w:sz w:val="20"/>
          <w:szCs w:val="20"/>
          <w:color w:val="auto"/>
        </w:rPr>
      </w:pPr>
    </w:p>
    <w:p>
      <w:pPr>
        <w:ind w:left="460" w:right="540" w:firstLine="438"/>
        <w:spacing w:after="0" w:line="339"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color w:val="auto"/>
        </w:rPr>
        <w:t>The Borrower shall have satisfied such other conditions as specified by the Bank, including payment of all unpaid legal fees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by the Bank through the date of this Amendment in connection with the Credit Agreement and this Amendment.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Warranties, Authority, No Adverse Claim</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301"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Reassertion of Representations and Warranties, No Default</w:t>
      </w:r>
      <w:r>
        <w:rPr>
          <w:rFonts w:ascii="Arial" w:cs="Arial" w:eastAsia="Arial" w:hAnsi="Arial"/>
          <w:sz w:val="16"/>
          <w:szCs w:val="16"/>
          <w:color w:val="auto"/>
        </w:rPr>
        <w:t>. The Borrower hereby represents that on and as of the date hereof and after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this Amendment (a) all of the representations and warranties in the Credit Agreement are true, correct, and complete in all respects as of the date hereof as though made on and as of such date, except for changes permitted by the terms of the Credit Agreement, and (b) there will exist no Default or Event of Default under the Credit Agreement as amended by this Amendment on such date that the Bank has not waived.</w:t>
      </w:r>
    </w:p>
    <w:p>
      <w:pPr>
        <w:spacing w:after="0" w:line="22"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u w:val="single" w:color="auto"/>
          <w:color w:val="auto"/>
        </w:rPr>
        <w:t>Authority, No Conflict, No Consent Required, Enforceability</w:t>
      </w:r>
      <w:r>
        <w:rPr>
          <w:rFonts w:ascii="Arial" w:cs="Arial" w:eastAsia="Arial" w:hAnsi="Arial"/>
          <w:sz w:val="16"/>
          <w:szCs w:val="16"/>
          <w:color w:val="auto"/>
        </w:rPr>
        <w:t>. The Borrower represents and warrants that it has the power, legal right, and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enter into this Amendment and has duly authorized as appropriate the execution and delivery of this Amendment and any other agreements and documents executed and delivered by the Borrower in connection herewith by proper corporate action, and neither this Amendment nor the agreements herein contravenes or constitutes a default under any agreement, instrument, or indenture to which the Borrower is a party or a signatory, any provision of the Borrower’s articles of incorporation or bylaws, or any other agreement or requirement of law, or results in the imposition of any Lien on any of its property under any agreement binding on or applicable to the Borrower or any of its property except, if any, in favor of the Bank. The Borrower represents and warrants that no consent, approval, or authorization of or registration or declaration with any Person, including but not limited to any governmental authority, is required in connection with the execution and delivery by the Borrower of this Amendment or other agreements and documents executed and delivered by the Borrower in connection herewith or the performance of obligations of the Borrower herein described, except for those that the Borrower has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98" w:name="page99"/>
    <w:bookmarkEnd w:id="98"/>
    <w:p>
      <w:pPr>
        <w:ind w:left="460"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obtained or provided and as to which the Borrower has delivered certified copies of documents evidencing each such action to the Bank.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26" w:lineRule="exact"/>
        <w:rPr>
          <w:sz w:val="20"/>
          <w:szCs w:val="20"/>
          <w:color w:val="auto"/>
        </w:rPr>
      </w:pPr>
    </w:p>
    <w:p>
      <w:pPr>
        <w:ind w:left="460" w:right="280" w:firstLine="438"/>
        <w:spacing w:after="0" w:line="339"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No Adverse Claim</w:t>
      </w:r>
      <w:r>
        <w:rPr>
          <w:rFonts w:ascii="Arial" w:cs="Arial" w:eastAsia="Arial" w:hAnsi="Arial"/>
          <w:sz w:val="16"/>
          <w:szCs w:val="16"/>
          <w:color w:val="auto"/>
        </w:rPr>
        <w:t>. The Borrower warrants, acknowledges, and agrees that no events have taken place and no circumstances exist at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that would give the Borrower a basis to assert a defense, offset, or counterclaim to any claim of the Bank with respect to the Obligations.</w:t>
      </w:r>
    </w:p>
    <w:p>
      <w:pPr>
        <w:spacing w:after="0" w:line="7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Affirmation of Credit Agreement, Further References, Affirmation of Security Interest</w:t>
      </w:r>
      <w:r>
        <w:rPr>
          <w:rFonts w:ascii="Arial" w:cs="Arial" w:eastAsia="Arial" w:hAnsi="Arial"/>
          <w:sz w:val="16"/>
          <w:szCs w:val="16"/>
          <w:color w:val="auto"/>
        </w:rPr>
        <w:t>. The Bank and the Borrower each acknowledge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affirm that the Credit Agreement, as hereby amended, and each of the other Loan Documents are hereby ratified and confirmed in all respects and all terms, conditions, and provisions of the Credit Agreement, except as amended by this Amendment, and each of the other Loan Documents shall remain unmodified and in full force and effect. All references in any document or instrument to the Credit Agreement are hereby amended to refer to the Credit Agreement as amended by this Amendment and all of the terms, conditions, provisions, agreements, requirements, promises, obligations, duties, covenants, and representations of the Borrower under such documents and any and all other documents and agreements entered into with respect to the Obligations are hereby ratified and affirmed in all respects by the Borrower.</w:t>
      </w:r>
    </w:p>
    <w:p>
      <w:pPr>
        <w:spacing w:after="0" w:line="113"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 xml:space="preserve">Section 6. </w:t>
      </w:r>
      <w:r>
        <w:rPr>
          <w:rFonts w:ascii="Arial" w:cs="Arial" w:eastAsia="Arial" w:hAnsi="Arial"/>
          <w:sz w:val="16"/>
          <w:szCs w:val="16"/>
          <w:b w:val="1"/>
          <w:bCs w:val="1"/>
          <w:u w:val="single" w:color="auto"/>
          <w:color w:val="auto"/>
        </w:rPr>
        <w:t>Merger and Integration, Superseding Effect</w:t>
      </w:r>
      <w:r>
        <w:rPr>
          <w:rFonts w:ascii="Arial" w:cs="Arial" w:eastAsia="Arial" w:hAnsi="Arial"/>
          <w:sz w:val="16"/>
          <w:szCs w:val="16"/>
          <w:color w:val="auto"/>
        </w:rPr>
        <w:t>. This Amendment, from and after the date hereof, embodies the entire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9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Amendment and any other statement, instrument, or transaction contemplated hereby or</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hereto shall be interpreted so as to be effective, valid, and enforceable under the applicable law of any jurisdiction, but if any provision of this Amendment or any other statement, instrument, or transaction contemplated hereby or relating hereto is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relating hereto in such jurisdiction, or affecting the effectiveness, validity, or enforceability of such provision in any other jurisdiction.</w:t>
      </w:r>
    </w:p>
    <w:p>
      <w:pPr>
        <w:spacing w:after="0" w:line="11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This Amendment shall be binding upon the Borrower, the Bank, and their respective successors and assigns and shall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Borrower, the Bank, and the Bank’s successors and assigns.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9" w:name="page100"/>
    <w:bookmarkEnd w:id="99"/>
    <w:p>
      <w:pPr>
        <w:ind w:right="100" w:firstLine="456"/>
        <w:spacing w:after="0" w:line="31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5"/>
          <w:szCs w:val="15"/>
          <w:b w:val="1"/>
          <w:bCs w:val="1"/>
          <w:u w:val="single" w:color="auto"/>
          <w:color w:val="auto"/>
        </w:rPr>
        <w:t>Legal Expenses</w:t>
      </w:r>
      <w:r>
        <w:rPr>
          <w:rFonts w:ascii="Arial" w:cs="Arial" w:eastAsia="Arial" w:hAnsi="Arial"/>
          <w:sz w:val="15"/>
          <w:szCs w:val="15"/>
          <w:color w:val="auto"/>
        </w:rPr>
        <w:t>. The Borrower shall pay or reimburse the Bank, upon execution of this Amendment, for all reasonable out-of-pocket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paid or incurred by the Bank, including filing and recording costs and fees, charges and disbursements of outside counsel to the Bank, and the allocated costs of in-house counsel incurred from time to time, in connection with the Credit Agreement, including in connection with the negotiation, preparation, execution, collection, and enforcement of this Amendment and all other documents negotiated, prepared, and executed in connection herewith, and in enforcing the obligations of the Borrower under this Amendment, and to pay and save the Bank harmless from all liability for any stamp or other taxes that may be payable with respect to the execution or delivery of this Amendment, which obligations of the Borrower shall survive any termination of the Credit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Section 10. </w:t>
      </w:r>
      <w:r>
        <w:rPr>
          <w:rFonts w:ascii="Arial" w:cs="Arial" w:eastAsia="Arial" w:hAnsi="Arial"/>
          <w:sz w:val="15"/>
          <w:szCs w:val="15"/>
          <w:b w:val="1"/>
          <w:bCs w:val="1"/>
          <w:u w:val="single" w:color="auto"/>
          <w:color w:val="auto"/>
        </w:rPr>
        <w:t>Headings</w:t>
      </w:r>
      <w:r>
        <w:rPr>
          <w:rFonts w:ascii="Arial" w:cs="Arial" w:eastAsia="Arial" w:hAnsi="Arial"/>
          <w:sz w:val="15"/>
          <w:szCs w:val="15"/>
          <w:color w:val="auto"/>
        </w:rPr>
        <w:t>. The headings of various sections of this Amendment are for reference only and shall not be deemed to be a part of this Amendment.</w:t>
      </w:r>
    </w:p>
    <w:p>
      <w:pPr>
        <w:spacing w:after="0" w:line="206"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Amendment may be executed in several counterparts as deemed necessary or convenient, each of which, when so</w:t>
      </w:r>
      <w:r>
        <w:rPr>
          <w:rFonts w:ascii="Arial" w:cs="Arial" w:eastAsia="Arial" w:hAnsi="Arial"/>
          <w:sz w:val="16"/>
          <w:szCs w:val="16"/>
          <w:b w:val="1"/>
          <w:bCs w:val="1"/>
          <w:color w:val="auto"/>
        </w:rPr>
        <w:t xml:space="preserve"> </w:t>
      </w:r>
      <w:r>
        <w:rPr>
          <w:rFonts w:ascii="Arial" w:cs="Arial" w:eastAsia="Arial" w:hAnsi="Arial"/>
          <w:sz w:val="16"/>
          <w:szCs w:val="16"/>
          <w:color w:val="auto"/>
        </w:rPr>
        <w:t>executed, shall be deemed an original, provided that all such counterparts shall be regarded as one and the same document.</w:t>
      </w:r>
    </w:p>
    <w:p>
      <w:pPr>
        <w:spacing w:after="0" w:line="7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SHALL BE GOVERNED BY THE INTERNAL LAWS OF THE STATE OF CALIFORNIA, WITHOUT GIVING EFFECT TO CONFLICT OF LAW PRINCIPLES THEREOF, BUT GIVING EFFECT TO FEDERAL LAWS APPLICABLE TO NATIONAL BANKS, THEIR HOLDING COMPANIES, AND THEIR AFFILIATES.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next page is the signature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0" w:name="page101"/>
    <w:bookmarkEnd w:id="100"/>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Amendment to be executed as of the date and year first above written.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UNIVERSAL ELECTRONICS INC.</w:t>
      </w: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U.S. BANK NATIONAL ASSOCIATION</w:t>
      </w: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CG Asia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Group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Technology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Timepiece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(China)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Private Limited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Holdings Co.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Private Limited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(Shenzhen) LLC (organized under the laws of the People’s Republic of China)</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issued our reports dated March 14, 2012, with respect to the consolidated financial statements and internal control over financial reporting included in the Annual Report of Universal Electronics Inc. on Form 10-K for the year ended December 31, 2011. We hereby consent to the incorporation by reference of said reports in the Registration Statements of Universal Electronics Inc. on Forms S-8 (File No. 33-66426, effective July 23, 1993, File No. 333-09021, effective August 14, 1996; File No. 333-23985, effective March 26, 1997; File No. 333-91101, effective November 17, 1999; File No. 333-95715, January 31, 2000; File No. 333-47378, effective October 5, 2000; File No. 333-103038, effective February 7, 2003, File No. 333-117782, effective July 30, 2004, File No. 333-149926, effective March 27, 2008, and No. 333-175345, effective July 5,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Paul D. Arling, as Chief Executive Officer of Universal Electronics Inc. (the “Company”), certifies, pursuant to 18 U.S.C. Section 1350, as adopted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84"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(1)the Company’s Annual Report on Form 10-K for the fiscal year ended December 31, 2011 as filed with the Securities and Exchange Commission on the date hereof (the “Report”) fully complies with the requirements of Section 13(a) or 15(d) of the Securities Exchange Act of 1934; and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7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51" w:lineRule="exact"/>
        <w:rPr>
          <w:sz w:val="20"/>
          <w:szCs w:val="20"/>
          <w:color w:val="auto"/>
        </w:rPr>
      </w:pPr>
    </w:p>
    <w:p>
      <w:pPr>
        <w:ind w:left="460" w:right="26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2011 as filed with the Securities and Exchange Commission on the date hereof (the “Report”) fully complies with the requirements of Section 13(a) or 15(d) of the Securities Exchange Act of 1934; and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emdash "/>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lowerRoman"/>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2019-12-09T08:23:41Z</dcterms:created>
  <dcterms:modified xsi:type="dcterms:W3CDTF">2019-12-09T08:23:41Z</dcterms:modified>
</cp:coreProperties>
</file>