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2016</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904" w:orient="portrait"/>
          <w:cols w:equalWidth="0" w:num="1">
            <w:col w:w="11420"/>
          </w:cols>
          <w:pgMar w:left="240" w:top="225" w:right="239" w:bottom="0" w:gutter="0" w:footer="0" w:header="0"/>
        </w:sectPr>
      </w:pPr>
    </w:p>
    <w:p>
      <w:pPr>
        <w:spacing w:after="0" w:line="340"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904" w:orient="portrait"/>
          <w:cols w:equalWidth="0" w:num="2">
            <w:col w:w="7540" w:space="720"/>
            <w:col w:w="3160"/>
          </w:cols>
          <w:pgMar w:left="240" w:top="225" w:right="239" w:bottom="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904" w:orient="portrait"/>
          <w:cols w:equalWidth="0" w:num="2">
            <w:col w:w="7400" w:space="720"/>
            <w:col w:w="3300"/>
          </w:cols>
          <w:pgMar w:left="240" w:top="225" w:right="239" w:bottom="0" w:gutter="0" w:footer="0" w:header="0"/>
          <w:type w:val="continuous"/>
        </w:sectPr>
      </w:pPr>
    </w:p>
    <w:p>
      <w:pPr>
        <w:jc w:val="center"/>
        <w:ind w:right="2240"/>
        <w:spacing w:after="0"/>
        <w:rPr>
          <w:sz w:val="20"/>
          <w:szCs w:val="20"/>
          <w:color w:val="auto"/>
        </w:rPr>
      </w:pPr>
      <w:r>
        <w:rPr>
          <w:rFonts w:ascii="Arial" w:cs="Arial" w:eastAsia="Arial" w:hAnsi="Arial"/>
          <w:sz w:val="16"/>
          <w:szCs w:val="16"/>
          <w:b w:val="1"/>
          <w:bCs w:val="1"/>
          <w:color w:val="auto"/>
        </w:rPr>
        <w:t>201 E. Sandpointe Avenue, 8</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Santa Ana,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92707</w:t>
      </w:r>
    </w:p>
    <w:p>
      <w:pPr>
        <w:spacing w:after="0" w:line="81" w:lineRule="exact"/>
        <w:rPr>
          <w:sz w:val="24"/>
          <w:szCs w:val="24"/>
          <w:color w:val="auto"/>
        </w:rPr>
      </w:pPr>
    </w:p>
    <w:p>
      <w:pPr>
        <w:sectPr>
          <w:pgSz w:w="11900" w:h="16904" w:orient="portrait"/>
          <w:cols w:equalWidth="0" w:num="2">
            <w:col w:w="7740" w:space="720"/>
            <w:col w:w="2960"/>
          </w:cols>
          <w:pgMar w:left="240" w:top="225" w:right="239" w:bottom="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904" w:orient="portrait"/>
          <w:cols w:equalWidth="0" w:num="2">
            <w:col w:w="7640" w:space="720"/>
            <w:col w:w="3060"/>
          </w:cols>
          <w:pgMar w:left="240" w:top="225"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(714) 918-9500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904" w:orient="portrait"/>
          <w:cols w:equalWidth="0" w:num="1">
            <w:col w:w="11420"/>
          </w:cols>
          <w:pgMar w:left="240" w:top="225" w:right="239" w:bottom="0" w:gutter="0" w:footer="0" w:header="0"/>
          <w:type w:val="continuous"/>
        </w:sectPr>
      </w:pPr>
    </w:p>
    <w:p>
      <w:pPr>
        <w:spacing w:after="0" w:line="3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904" w:orient="portrait"/>
          <w:cols w:equalWidth="0" w:num="2">
            <w:col w:w="6660" w:space="720"/>
            <w:col w:w="4040"/>
          </w:cols>
          <w:pgMar w:left="240" w:top="225" w:right="239" w:bottom="0"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ectPr>
          <w:pgSz w:w="11900" w:h="16904" w:orient="portrait"/>
          <w:cols w:equalWidth="0" w:num="1">
            <w:col w:w="11420"/>
          </w:cols>
          <w:pgMar w:left="240" w:top="225" w:right="23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whether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904" w:orient="portrait"/>
          <w:cols w:equalWidth="0" w:num="5">
            <w:col w:w="9160" w:space="180"/>
            <w:col w:w="260" w:space="100"/>
            <w:col w:w="160" w:space="180"/>
            <w:col w:w="220" w:space="80"/>
            <w:col w:w="1080"/>
          </w:cols>
          <w:pgMar w:left="240" w:top="225"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8620" w:space="180"/>
            <w:col w:w="260" w:space="80"/>
            <w:col w:w="160" w:space="180"/>
            <w:col w:w="220" w:space="100"/>
            <w:col w:w="1620"/>
          </w:cols>
          <w:pgMar w:left="240" w:top="225" w:right="239" w:bottom="0" w:gutter="0" w:footer="0" w:header="0"/>
          <w:type w:val="continuous"/>
        </w:sect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225" w:right="239" w:bottom="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904" w:orient="portrait"/>
          <w:cols w:equalWidth="0" w:num="4">
            <w:col w:w="1660" w:space="540"/>
            <w:col w:w="5560" w:space="720"/>
            <w:col w:w="1900" w:space="720"/>
            <w:col w:w="320"/>
          </w:cols>
          <w:pgMar w:left="240" w:top="225" w:right="239" w:bottom="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904" w:orient="portrait"/>
          <w:cols w:equalWidth="0" w:num="5">
            <w:col w:w="1560" w:space="640"/>
            <w:col w:w="180" w:space="80"/>
            <w:col w:w="5300" w:space="720"/>
            <w:col w:w="1980" w:space="640"/>
            <w:col w:w="320"/>
          </w:cols>
          <w:pgMar w:left="240" w:top="225"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7440" w:space="160"/>
            <w:col w:w="260" w:space="100"/>
            <w:col w:w="160" w:space="180"/>
            <w:col w:w="220" w:space="80"/>
            <w:col w:w="2820"/>
          </w:cols>
          <w:pgMar w:left="240" w:top="225" w:right="239" w:bottom="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2016, the last business day of the registrant's most recently completed second fiscal quarter was $566,737,072 based upon the closing sale price as reported on the NASDAQ Stock Market for that date.</w:t>
      </w:r>
    </w:p>
    <w:p>
      <w:pPr>
        <w:sectPr>
          <w:pgSz w:w="11900" w:h="16904" w:orient="portrait"/>
          <w:cols w:equalWidth="0" w:num="1">
            <w:col w:w="11420"/>
          </w:cols>
          <w:pgMar w:left="240" w:top="22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On March 6, 2017, 14,390,071 shares of Common Stock, par value $.01 per share, of the registrant were outstanding.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2016 are incorporated by reference into Part III of this Form 10-K. The Proxy Statement will be filed with the Securities and Exchange Commission no later than May 1, 2017.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Except as otherwise stated, the information contained in this Form 10-K is as of December 31, 2016.</w:t>
      </w:r>
    </w:p>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Arial" w:cs="Arial" w:eastAsia="Arial" w:hAnsi="Arial"/>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Arial" w:cs="Arial" w:eastAsia="Arial" w:hAnsi="Arial"/>
                <w:sz w:val="18"/>
                <w:szCs w:val="18"/>
                <w:b w:val="1"/>
                <w:bCs w:val="1"/>
                <w:color w:val="auto"/>
                <w:w w:val="93"/>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Arial" w:cs="Arial" w:eastAsia="Arial" w:hAnsi="Arial"/>
                <w:sz w:val="18"/>
                <w:szCs w:val="18"/>
                <w:b w:val="1"/>
                <w:bCs w:val="1"/>
                <w:color w:val="auto"/>
                <w:w w:val="90"/>
              </w:rPr>
              <w:t>For the Fiscal Year Ended December 31, 2016</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400" w:type="dxa"/>
            <w:vAlign w:val="bottom"/>
            <w:gridSpan w:val="25"/>
          </w:tcPr>
          <w:p>
            <w:pPr>
              <w:spacing w:after="0"/>
              <w:rPr>
                <w:sz w:val="20"/>
                <w:szCs w:val="20"/>
                <w:color w:val="auto"/>
              </w:rPr>
            </w:pPr>
            <w:r>
              <w:rPr>
                <w:rFonts w:ascii="Arial" w:cs="Arial" w:eastAsia="Arial" w:hAnsi="Arial"/>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158"/>
        </w:trPr>
        <w:tc>
          <w:tcPr>
            <w:tcW w:w="9400" w:type="dxa"/>
            <w:vAlign w:val="bottom"/>
            <w:gridSpan w:val="25"/>
          </w:tcPr>
          <w:p>
            <w:pPr>
              <w:spacing w:after="0" w:line="158" w:lineRule="exact"/>
              <w:rPr>
                <w:sz w:val="20"/>
                <w:szCs w:val="20"/>
                <w:color w:val="auto"/>
              </w:rPr>
            </w:pPr>
            <w:r>
              <w:rPr>
                <w:rFonts w:ascii="Arial" w:cs="Arial" w:eastAsia="Arial" w:hAnsi="Arial"/>
                <w:sz w:val="14"/>
                <w:szCs w:val="14"/>
                <w:b w:val="1"/>
                <w:bCs w:val="1"/>
                <w:color w:val="auto"/>
              </w:rPr>
              <w:t>Number</w:t>
            </w:r>
          </w:p>
        </w:tc>
        <w:tc>
          <w:tcPr>
            <w:tcW w:w="1960" w:type="dxa"/>
            <w:vAlign w:val="bottom"/>
            <w:gridSpan w:val="5"/>
          </w:tcPr>
          <w:p>
            <w:pPr>
              <w:jc w:val="right"/>
              <w:ind w:right="15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gridSpan w:val="3"/>
          </w:tcPr>
          <w:p>
            <w:pPr>
              <w:ind w:left="40"/>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20" w:type="dxa"/>
            <w:vAlign w:val="bottom"/>
            <w:gridSpan w:val="21"/>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940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1A Risk Factors</w:t>
              </w:r>
            </w:hyperlink>
          </w:p>
        </w:tc>
        <w:tc>
          <w:tcPr>
            <w:tcW w:w="196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300" w:type="dxa"/>
            <w:vAlign w:val="bottom"/>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w:t>
              </w:r>
            </w:hyperlink>
          </w:p>
        </w:tc>
        <w:tc>
          <w:tcPr>
            <w:tcW w:w="760" w:type="dxa"/>
            <w:vAlign w:val="bottom"/>
            <w:gridSpan w:val="4"/>
          </w:tcPr>
          <w:p>
            <w:pPr>
              <w:ind w:left="40"/>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1440" w:type="dxa"/>
            <w:vAlign w:val="bottom"/>
            <w:gridSpan w:val="8"/>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hyperlink>
          </w:p>
        </w:tc>
        <w:tc>
          <w:tcPr>
            <w:tcW w:w="9300" w:type="dxa"/>
            <w:vAlign w:val="bottom"/>
            <w:gridSpan w:val="24"/>
          </w:tcPr>
          <w:p>
            <w:pPr>
              <w:ind w:left="40"/>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4</w:t>
              </w:r>
            </w:hyperlink>
          </w:p>
        </w:tc>
        <w:tc>
          <w:tcPr>
            <w:tcW w:w="9300" w:type="dxa"/>
            <w:vAlign w:val="bottom"/>
            <w:gridSpan w:val="24"/>
          </w:tcPr>
          <w:p>
            <w:pPr>
              <w:ind w:left="40"/>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100" w:type="dxa"/>
            <w:vAlign w:val="bottom"/>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5</w:t>
              </w:r>
            </w:hyperlink>
          </w:p>
        </w:tc>
        <w:tc>
          <w:tcPr>
            <w:tcW w:w="9300" w:type="dxa"/>
            <w:vAlign w:val="bottom"/>
            <w:gridSpan w:val="24"/>
          </w:tcPr>
          <w:p>
            <w:pPr>
              <w:ind w:left="40"/>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19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6</w:t>
              </w:r>
            </w:hyperlink>
          </w:p>
        </w:tc>
        <w:tc>
          <w:tcPr>
            <w:tcW w:w="2740" w:type="dxa"/>
            <w:vAlign w:val="bottom"/>
            <w:gridSpan w:val="13"/>
          </w:tcPr>
          <w:p>
            <w:pPr>
              <w:ind w:left="4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7</w:t>
              </w:r>
            </w:hyperlink>
          </w:p>
        </w:tc>
        <w:tc>
          <w:tcPr>
            <w:tcW w:w="6480" w:type="dxa"/>
            <w:vAlign w:val="bottom"/>
            <w:gridSpan w:val="20"/>
          </w:tcPr>
          <w:p>
            <w:pPr>
              <w:ind w:left="40"/>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9"/>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8</w:t>
              </w:r>
            </w:hyperlink>
          </w:p>
        </w:tc>
        <w:tc>
          <w:tcPr>
            <w:tcW w:w="3360" w:type="dxa"/>
            <w:vAlign w:val="bottom"/>
            <w:gridSpan w:val="16"/>
          </w:tcPr>
          <w:p>
            <w:pPr>
              <w:ind w:left="4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9</w:t>
              </w:r>
            </w:hyperlink>
          </w:p>
        </w:tc>
        <w:tc>
          <w:tcPr>
            <w:tcW w:w="9300" w:type="dxa"/>
            <w:vAlign w:val="bottom"/>
            <w:gridSpan w:val="24"/>
          </w:tcPr>
          <w:p>
            <w:pPr>
              <w:ind w:left="40"/>
              <w:spacing w:after="0"/>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19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2"/>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4320" w:type="dxa"/>
            <w:vAlign w:val="bottom"/>
            <w:gridSpan w:val="18"/>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2"/>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20" w:type="dxa"/>
            <w:vAlign w:val="bottom"/>
            <w:gridSpan w:val="23"/>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20"/>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14 Principal Accountant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3380" w:type="dxa"/>
            <w:vAlign w:val="bottom"/>
            <w:gridSpan w:val="16"/>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38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16 Form 10-K Summary</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640" w:type="dxa"/>
            <w:vAlign w:val="bottom"/>
            <w:gridSpan w:val="1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7640" w:type="dxa"/>
            <w:vAlign w:val="bottom"/>
            <w:gridSpan w:val="1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Exhibit Index</w:t>
              </w:r>
            </w:hyperlink>
          </w:p>
        </w:tc>
        <w:tc>
          <w:tcPr>
            <w:tcW w:w="8060" w:type="dxa"/>
            <w:vAlign w:val="bottom"/>
            <w:gridSpan w:val="18"/>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201 E. Sandpointe Avenue, 8th Floor, Santa Ana, California 92707. As used herein, the terms "we", "us" and "our" refer to UEI and its subsidiaries unless the context indicates to the contrary.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Electronics Inc. develops control and sensor technology solutions and manufactures a broad line of pre-programmed and universal remote control products, audio-video ("AV") accessories, and intelligent wireless security and automation components dedicated to redefining the home entertainment and security experience. Our offerings include the following:</w:t>
      </w:r>
    </w:p>
    <w:p>
      <w:pPr>
        <w:spacing w:after="0" w:line="19" w:lineRule="exact"/>
        <w:rPr>
          <w:sz w:val="20"/>
          <w:szCs w:val="20"/>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broadcasting providers (cable, satellite and Internet Protocol television ("IPTV")), original equipment manufacturers ("OEMs"), retailers, and private label customers;</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stereos, smart phones, tablets, gaming controllers and other consumer electronic devices to wirelessly connect and interact with home networks and interactive services to control and deliver digital entertainment and information;</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markets are the subscription broadcast, consumer and mobile electronics and residential security markets where our customers include subscription broadcasters, OEMs, international retailers, private label brands, pro-security dealers and companies in the computing industry.</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 subscription broadcasting providers, both domestically and internationally, with our universal remote control devices and integrated circuits, on which our software and device code database library is embedded. We also sell integrated circuits, on which our software and IR device control code database is embedded, and license our IR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Owning and operating our own factories in the People's Republic of China ("PRC") has enhanced our ability to compete in the OEM and subscription broadcasting markets. In addition, we have subsidiaries in Brazil and Mexico, which have allowed us to increase our reach and better compete in the Central and Latin American subscription broadcast market. We plan to continue to add new sales and administrative personnel to support anticipated sales growth in international markets over the next few years.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pursue further penetration of the more traditional OEM consumer electronics markets as well as newer product categories in the mobile electronics markets such as smart phones, tablets and other mobile smart devices. Customers in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markets integrate our products and technology into their products to simplify and expand the universal control capabilities of home entertainment ecosystems. Growth in these markets has been driven by the increasing complexity of home entertainment, emerging digital technology, multimedia and interactive internet applications, and the increasing proliferation of connected smart devices offered by OEMs.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2015, we acquired Ecolink Intelligent Technology, Inc. ("Ecolink"), a leading developer of smart home technology. Ecolink provides a wide range of intelligent wireless security and automation components dedicated to redefining the home security experience. Ecolink has over 20 years of wireless engineering expertise in the home security and automation market and holds more than 25 related pending and issued patents. UEI’s current subscription broadcasting customers are adding home security and automation to their list of service offerings. Our acquisition of Ecolink, a premise equipment supplier to this market, enables us to broaden our design expertise and product portfolio to add home security and automation sensors to our capabilities.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2016 and 2015, our sales to Comcast Corporation accounted for 22.9% and 21.5% of our net sales, respectively. For the years ended December 31, 2016, 2015, and 2014, our sales to DIRECTV and its sub-contractors collectively accounted for 10.5%, 12.4%, and 10.4% of our net sales, respectively.</w:t>
      </w:r>
    </w:p>
    <w:p>
      <w:pPr>
        <w:spacing w:after="0" w:line="127"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remote controls and accessories sold within the international retail markets accounted for 7.2%, 8.1%, and 9.2% of our total net sales for the years ended December 31, 2016, 2015, and 2014,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information relating to our international operations for the years ended December 31, 2016, 2015, and 2014 is included in "ITEM 8. FINANCIAL STATEMENTS AND SUPPLEMENTARY DATA - Notes to Consolidated Financial Statements - Note 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the end of 2016, we had over 400 issued and pending United States patents related to remote control, home security, safety and automation as well as hundreds of foreign counterpart patents and applications in various territories around the world.</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one to 18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key factor in creating products and software for control of entertainment devices is the device control code database. Since our beginning in 1986, we have compiled an extensive device control code database library that covers nearly one million individual device functions and approximately 7,900 individual consumer electronic equipment brand names, including virtually all IR controlled set-top boxes, televisions, audio components, DVD players, Blu-Ray players, CD players, other remote controlled home entertainment devices and home automation control modules, and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library is continuously updated with device control codes used in newly introduced AV and Internet of Things ("IoT") devices. These control codes are captured directly from the remote control devices or the manufacturer's written specifications to ensure the accuracy and integrity of the database. Our proprietary software and know-how permit us to offer a device control code database that is more robust and efficient than similarly priced products of our competitors.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is a software application that is currently embedded in millions of devices worldwide. QuickSet may be embedded in an AV device, set-top box, or other host device, or delivered as a Cloud-based service to enable universal remote setup and control. QuickSet enables universal remote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remote control set-up process and can enable other time saving features. QuickSet utilizes data transmitted over HDMI or IP networks to automatically detect various attributes of the connected device and downloads the appropriate control codes and functions into the remote control without the need for the user to enter any additional information. The user does not need to know the brand or model number to set up the device in the remote. Any compatible new device that 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connected is recognized. Consumers can quickly and easily set up their remotes to control multiple devices. Recently added features in QuickSet address common consumer challenges in universal device control, such as mode confusion and input switching. With QuickSet consumers switch easily between activities and reliably view their chosen content source with a single touch. QuickSet handles the device-specific control requirements. Licensees of QuickSet include service providers such as Comcast, DIRECTV and Echostar Technologies; smart TV manufacturers such as Sony and Samsung; leading game console manufacturer Microsoft on their Xbox One game system; and mobile and tablet device manufacturers Samsung, LG, OPPO, Huawei and LeTV on some of their mobile handset platforms.</w:t>
      </w:r>
    </w:p>
    <w:p>
      <w:pPr>
        <w:spacing w:after="0" w:line="1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from the IR microcontroller to the device control database to the user interface for the touchscreen. Nevo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UEI-designed and developed universal control suite of applications designed for Android and iOS tablets and smart phones that UEI has released and that is currently available for download at Google Play and the Apple App Store.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distribution methods for our remote control devices are dependent on the sales channel. We distribute remote control devices, sensors and AV accessories directly to subscription broadcasters and OEMs, both domestically and internationally. We currently also distribute home security sensors to pro-security installers in the United States through a network of dealers. Outside of North America, we sell our wireless control devices and AV accessories under the 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private label brand names to retailers through our international subsidiaries. We utilize third-party distributors for the retail channel in countries where we do not have subsidiaries.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control codes. We ship integrated circuits, on which our software and control code database are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provide domestic and international consumer support to our various universal remote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and as a result reduce call volume at customer support centers. Additionally, the UEI Technical Support Services call center provides customer interaction management services from technical service and support to customer retention. Services include pre-repair calls, post-install surveys, and inbound calls for cable customers to provide greater bottom-line efficiencies.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23 international subsidiaries are the following:</w:t>
      </w:r>
    </w:p>
    <w:p>
      <w:pPr>
        <w:spacing w:after="0" w:line="6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 de R.L. de C.V., established in Mexico;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(China)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do Brasil Controles Remotos Ltda., established in Brazil;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our own manufacturing plants and third-party manufacturers and suppliers primarily located within the PRC to produce our remote control and sensor products. In 2016, Texas Instruments provided 11.7% of our total inventory purchases. In 2015, no single supplier provided more than 10% of our total inventory purchases. In 2014, Maxim Integrated Products International Limited provided 10.7% of our total inventory purchases.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though we operate three factories in the PRC and assembly plants in Brazil and Mexico, we continue to evaluate additional contract manufacturers and sources of supply. During 2016, we utilized multiple contract manufacturers and maintained duplicate tooling for certain of our products. Where possible we utilize standard parts and components, which are available from multiple sources.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2017.</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23"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competitors in the subscription broadcasting market are Remote Solutions, Omni Remotes (formerly Philips Home Control Singapore PTE, Ltd.), SMK, and Universal Remote Control. In the international retail and private label markets for wireless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controls we compete with Logitech, Omni Remotes, Ruwido and Sony, as well as various manufacturers of wireless controls in Asia. Our primary competitors in the OEM market are the original equipment manufacturers themselves and wireless control manufacturers in Asia. In home security, safety and automation, we offer universal sub-gigahertz products that are compatible with the top security panel manufacturers, such as Honeywell, GE, Tyco/DSC and 2GIG. We compete in our markets on the basis of product quality, features, price, intellectual property and customer support. We believe that we will need to continue to introduce new and innovative products and software solutions to remain competitive and to recruit and retain competent personnel to successfully accomplish our future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2016,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w:t>
      </w:r>
    </w:p>
    <w:p>
      <w:pPr>
        <w:spacing w:after="0" w:line="171"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During 2016, our advanced engineering efforts focused on further developing our existing products, services and technologies. We released software updates to our embedded QuickSet application, and continued development initiatives around emerging RF technologies, such as RF4CE, Bluetooth, and Bluetooth Smart. Additionally, we released several new advanced remote control products that incorporate voice search capabilities in our subscription broadcast and OEM channels.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power line, telephone and cable communications and networking in the home. Because of the nature of research and development activities, there can be no assurance that any of our research and development projects will be successfully completed or ultimately achieve commercial success.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engineering, 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540" w:hanging="235"/>
        <w:spacing w:after="0"/>
        <w:tabs>
          <w:tab w:leader="none" w:pos="5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Engineering costs are included in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the PRC and Japan.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2016, 2015 and 2014,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we employed 3,103 employees, of which 512 worked in engineering and research and development, 106 in sales and marketing, 71 in consumer service and support, 2,096 in operations and warehousing and 318 in executive and administrative functions. In addition, our factories in the PRC and our Asian operations employed an additional 6,921 staff contracted through agency agreements.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Labor unions represent approximately 13.8% of our 3,103 employees. Some unionized workers, employed in Manaus, Brazil, are represented under contract with the Sindicato dos Trabalhadores nas Industrias Metalugicas, Mecanicas e de Materiais Eletricos de Manaus. Other unionized workers, employed in Monterrey, Mexico, are represented under contract with the Sindicato Industrial de Trabajadores de Nuevo León adherido a la Federación Nacional de Sindicatos Independientes.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2016, 2015 and 2014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25"/>
          <w:szCs w:val="25"/>
          <w:color w:val="auto"/>
          <w:vertAlign w:val="superscript"/>
        </w:rPr>
        <w:t>(1)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9, 2017:</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David Chong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Asia</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S. Hughes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Menno V. Koopmans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Managing Director, Europe</w:t>
            </w:r>
          </w:p>
        </w:tc>
      </w:tr>
    </w:tbl>
    <w:p>
      <w:pPr>
        <w:spacing w:after="0" w:line="172" w:lineRule="exact"/>
        <w:rPr>
          <w:sz w:val="20"/>
          <w:szCs w:val="20"/>
          <w:color w:val="auto"/>
        </w:rPr>
      </w:pPr>
    </w:p>
    <w:p>
      <w:pPr>
        <w:ind w:left="540" w:hanging="235"/>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Included pursuant to Instruction 3 to Item 401(b) of Regulation 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2016 Annual Meeting of Stockholders, Mr. Arling was re-elected as our Chairman to serve until the 2017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David Chong </w:t>
      </w:r>
      <w:r>
        <w:rPr>
          <w:rFonts w:ascii="Arial" w:cs="Arial" w:eastAsia="Arial" w:hAnsi="Arial"/>
          <w:sz w:val="17"/>
          <w:szCs w:val="17"/>
          <w:color w:val="auto"/>
        </w:rPr>
        <w:t>is our Executive Vice President, Asia. He is responsible for general management of our Asia region and Global Operations. Mr. Chong joined</w:t>
      </w:r>
      <w:r>
        <w:rPr>
          <w:rFonts w:ascii="Arial" w:cs="Arial" w:eastAsia="Arial" w:hAnsi="Arial"/>
          <w:sz w:val="17"/>
          <w:szCs w:val="17"/>
          <w:i w:val="1"/>
          <w:iCs w:val="1"/>
          <w:color w:val="auto"/>
        </w:rPr>
        <w:t xml:space="preserve"> </w:t>
      </w:r>
      <w:r>
        <w:rPr>
          <w:rFonts w:ascii="Arial" w:cs="Arial" w:eastAsia="Arial" w:hAnsi="Arial"/>
          <w:sz w:val="17"/>
          <w:szCs w:val="17"/>
          <w:color w:val="auto"/>
        </w:rPr>
        <w:t>us in January 2009 as Senior Vice President of Global OEM.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scientist working in the area of VLSI design methodologies. He also served as Managing Director for Asia at InVue Security Product before joining us at the present position. Mr. Chong had his senior education in The United Kingdom, holding a B.S. in Electrical and Electronics Engineering with High Honors from University of Nottingham.</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Louis S. Hughes </w:t>
      </w:r>
      <w:r>
        <w:rPr>
          <w:rFonts w:ascii="Arial" w:cs="Arial" w:eastAsia="Arial" w:hAnsi="Arial"/>
          <w:sz w:val="16"/>
          <w:szCs w:val="16"/>
          <w:color w:val="auto"/>
        </w:rPr>
        <w:t>is our Executive Vice President, Americas. He joined us in 2004 as General Manager of Simple Devices as part of our acquisition of Simples</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Inc. in that same year. From 2008 to 2011, he was our Vice President Corporate Development. From 2011 to 2014, he was our Senior Vice President</w:t>
      </w:r>
    </w:p>
    <w:p>
      <w:pPr>
        <w:jc w:val="both"/>
        <w:ind w:firstLine="8"/>
        <w:spacing w:after="0" w:line="302" w:lineRule="auto"/>
        <w:tabs>
          <w:tab w:leader="none" w:pos="121" w:val="left"/>
        </w:tabs>
        <w:numPr>
          <w:ilvl w:val="0"/>
          <w:numId w:val="8"/>
        </w:numPr>
        <w:rPr>
          <w:rFonts w:ascii="Arial" w:cs="Arial" w:eastAsia="Arial" w:hAnsi="Arial"/>
          <w:sz w:val="16"/>
          <w:szCs w:val="16"/>
          <w:color w:val="auto"/>
        </w:rPr>
      </w:pPr>
      <w:r>
        <w:rPr>
          <w:rFonts w:ascii="Arial" w:cs="Arial" w:eastAsia="Arial" w:hAnsi="Arial"/>
          <w:sz w:val="16"/>
          <w:szCs w:val="16"/>
          <w:color w:val="auto"/>
        </w:rPr>
        <w:t>Americas and was promoted to his current position in 2015. Prior to joining us, Mr. Hughes co-founded SimpleDevices, Inc. (a company that pioneered local area network digital media distribution to a wide variety of consumer electronics devices) and Supplybase (a company that provided enterprise wide, web-based supply chain management systems and information). He also held various positions with General Electric Company over a ten-year period.</w:t>
      </w:r>
    </w:p>
    <w:p>
      <w:pPr>
        <w:spacing w:after="0" w:line="1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Richard A. Firehammer, Jr., Esq. </w:t>
      </w:r>
      <w:r>
        <w:rPr>
          <w:rFonts w:ascii="Arial" w:cs="Arial" w:eastAsia="Arial" w:hAnsi="Arial"/>
          <w:sz w:val="16"/>
          <w:szCs w:val="16"/>
          <w:color w:val="auto"/>
        </w:rPr>
        <w:t>is our Senior Vice President, General Counsel and Secretary. He joined us in October 1993 as General Counsel. He became</w:t>
      </w:r>
      <w:r>
        <w:rPr>
          <w:rFonts w:ascii="Arial" w:cs="Arial" w:eastAsia="Arial" w:hAnsi="Arial"/>
          <w:sz w:val="16"/>
          <w:szCs w:val="16"/>
          <w:i w:val="1"/>
          <w:iCs w:val="1"/>
          <w:color w:val="auto"/>
        </w:rPr>
        <w:t xml:space="preserve"> </w:t>
      </w:r>
      <w:r>
        <w:rPr>
          <w:rFonts w:ascii="Arial" w:cs="Arial" w:eastAsia="Arial" w:hAnsi="Arial"/>
          <w:sz w:val="16"/>
          <w:szCs w:val="16"/>
          <w:color w:val="auto"/>
        </w:rPr>
        <w:t>our Secretary in February 1994. He was our Vice President from May 1997 until August 1998, and served as counsel to us from September 1998 until February 1999 at which time he was promoted to his current position. From November 1992 to September 1993, he was associated with the Chicago, Illinois law firm, Shefsky &amp; Froelich, Ltd. From 1987 to 1992, he was with the law firm Vedder, Price, Kaufman &amp; Kammholz in Chicago, Illinois.</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Senior Vice President and Managing Director, Europe. From 2014 to the end of 2016, he was our Senior Vice President for</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 broadcasting business in Europe and India where he led the customer transition into smart remote controls. From 2005 until 2013, he was the head of our worldwide consumer business and its One For All® brand. Prior to joining us, Mr. Koopmans worked at Mars, Sony Europe and Royal Philips Electronics in different product, marketing and sales management roles in both fast-moving consumer goods and durable consumer goods categories. Mr. Koopmans received his Masters in Science of Business Administration from Erasmus University in Rotterdam, The Netherlands.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U.S. Securities and Exchange Commission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various risks that could have a negative effect on us or on our financial condition. You should understand that these risks could cause results to differ materially from those we express in forward-looking statements contained in this report or in other Company communications. Because there is no way to determine in advance whether, or to what extent, any present uncertainty will ultimately impact our business, you should give equal weight to each of the following: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a majority of our products in our factories in the PRC. Additionally, many of our contract manufacturers are located in the PRC. Doing business in the PRC carries a number of risks including the following:</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a 16.9% appreciation of the Chinese Yuan Renminbi against the U.S. Dollar through December 31, 2016.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 which could lead to higher manufacturing costs for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may experience an increase in competition for the same workers, resulting in either an inability to attract and retain an adequate number of qualified workers or an increase in our employment costs to obtain and retain these workers.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long-term land lease that is common in the PRC.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Guangzhou factory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The sale is expected to close in 2018. In anticipation of a successful closing of the sale, we have been transitioning manufacturing activities from this factory to our other three China factories. However, if we are unable to successfully complete this transition as anticipated or are unable to obtain necessary personnel at our other factories, this could have a material adverse effect on our results of operations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condition. Additionally, if the sale does not close, we may incur unexpected costs associated with an unutilized factory, we may incur additional costs to sell the factory to another buyer, and we may be forced to sell the factory at a less favorable price.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external sales of our consolidated foreign subsidiaries totaled approximately 41.0%, 43.5% and 55.2% of our total consolidated net sales in 2016, 2015 and 2014, respectively. We expect that the international share of our total revenues will continue to make up a significant part of our current business and future strategic plans. Additionally, we operate factories in the PRC, Brazil and Mexico, as well as an engineering center in India.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in the Middle East and elsewhere, acts of terrorism, or the threat of international boycotts or U.S. anti-boycott legislation; and (7) currency exchange rate fluctuations.</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particularly in light of the new U.S. presidential administration. Legislation or other changes in the U.S. tax laws could increase our U.S. income tax liability and adversely affect our after-tax profitability. For example, U.S. lawmakers are considering several U.S. corporate tax reform proposals, including, among others, proposals which could reduce or eliminate U.S. income tax deferrals on unrepatriated foreign earnings and eliminate tax incentives in exchange for a lower U.S. statutory tax rate. In addition, the new U.S. presidential administration has introduced greater uncertainty with respect to future tax, trade regulations and trade agreements. Changes in tax policy, trade regulations or trade agreements, such as the disallowance of tax deductions on imported merchandise or the imposition of new tariffs on imported products, could have a material adverse effect on our business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restrictions imposed by the U.S. Foreign Corrupt Practices Act and anti-corruption laws and regulations of other countries applicable to our operations. Anti-corruption laws and regulations generally prohibit companies and their intermediaries from making improper payments to government officials or other persons in order to receive or retain business.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controls also may not prevent conduct that is prohibited under these rules. The United States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our business or damage our reputation. In addition, an imposition of further restrictions in these areas could increase our cost of operations, reduce our profits or cause us to forgo development opportunities that would otherwise support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Fluctuations in Foreign Currency Exchange Rates May Adversely Affect Our Results of Operations, Cash Flow, Liquidity or Financial Condition.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primary exchange rate exposure is in the Argentinian Peso, Brazilian Real, British Pound, Chinese Yuan Renminbi, Euro, Hong Kong Dollar, Indian Rupee, Japanese Yen and Mexican Peso.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Risks Relating to Natural or Man-made Disasters, Contagious Disease, Terrorist Activity, and War May Adversely Affect Our Business, Financial Condition and Results of Operations</w:t>
      </w:r>
    </w:p>
    <w:p>
      <w:pPr>
        <w:spacing w:after="0" w:line="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including manufacturing or distribution capabilities, and that of our suppliers, business partners and contract manufacturers, to make, move and sell products is critical to our success. So called “Acts of God,” such as hurricanes, earthquakes, tsunamis, and other natural disasters, as well as the potential spread of contagious diseases such as MERS (Middle East Respiratory Syndrome), Zika virus, and Ebola in locations where we or they own or operate significant operations could cause a disruption in our or our third party’s production and distribution capabilities or a decline in demand for our products and services. In addition, actual or threatened war, terrorist activity, political unrest, or civil strife, such as recent events in Ukraine and Russia, the Middle East, and other geopolitical uncertainty could have a similar effect. Any one or more of these events may reduce our ability to produce or sell our products which may adversely affect our business, financial condition and results of operations, as well as require additional resources to restore our supply chain.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own and operate factories in the PRC, Brazil and Mexico, third-party manufacturers located in Asia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our business is not materially dependent upon any single patent, copyright, trademark, or trade secret.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currently derive substantial revenue from the sale of wireless remote controls based on IR and RF and other technologies. Other control technologies exist or may be developed that may compete with this technology. In addition, we develop and maintain our own database of IR and RF codes. There are competing IR and RF libraries offered by companies that we compete with in the marketplace. The advantage that we may have compared to our competitors is difficult to measure. In addition, if other wireless control technology gains acceptance and starts to be integrated into home electronics devices currently controlled through our remote controllers, demand for our products may decrease, resulting in decreased operating results, financial condition,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with having our own factories located in the PRC, Brazil and Mexico,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Adverse Changes in General Business and Economic Conditions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increased tariffs, and other economic factors may adversely affect our results of operations, cash flow, liquidity or financial condition. Any such changes may impact our business in a number of ways, including: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 and cyclical nature of portions of our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shown signs of stabilization and modest improvement from the recent global economic downturn, the recovery has been erratic. A worsening in these sectors may cause a reduction in the demand for some of our products and may adversely impact sales, earnings, cash flow and financial condition.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an economic downturn could result in insolvencies for our customers, which may adversely impact our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market conditions may slow our collection efforts as customers experience increased difficulty in obtaining requisite financing, leading to higher than normal accounts receivable balances and longer days sales outstanding. Continuation of these conditions may limit our ability to collect our accounts receivable, which may result in greater expense associated with collection efforts and increased bad debt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a significant decrease in available credit.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operations are conducted through our subsidiaries. As a result, our ability to generate sufficient cash flow for our needs is dependent to some extent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Historically, we have had large fluctuations in the price of our common stock, and such fluctuations may continue. From January 1, 2012 to March 6, 2017, the trading price of our common stock has ranged from a low of $11.40 per share to a high of $80.42 per share. The market price for our common stock is volatile and may fluctuate significantly in response to a number of factors, most of which we cannot control, including:</w:t>
      </w:r>
    </w:p>
    <w:p>
      <w:pPr>
        <w:spacing w:after="0" w:line="3" w:lineRule="exact"/>
        <w:rPr>
          <w:sz w:val="20"/>
          <w:szCs w:val="20"/>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executive officers periodically sell shares of our common stock which they own, often pursuant to trading plans established under Rule 10b5-1 of the Securities Exchange Act of 1934, as amended, or the Exchange Act. Sales of shares by our executive officers may not be indicative of their respective opinions of our performance at the time of sale or of our potential future performance. Nonetheless, the market price of our stock may be affected by such sales of shares by our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If Securities or Industry Analysts Fail to Continue Publishing Research About Our Business, Our Stock Price and Trading Volume May Decline.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 Additionally, in March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To the extent that the warrants vest and Comcast exercises the warrants and sells any of the shares of common stock issuable upon exercise, or the perception that such sales may occur, could adversely affect the market price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board-approved stock repurchase programs may not return value to stockholders because the market price of the stock may decline significantly below the levels at which we repurchased shares of stock. Stock repurchase programs are intended to deliver stockholder value over the long term, but stock price fluctuations can reduce the effectiveness of such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retailers and private label customers. We also supply our products to our wholly owned, non-U.S. subsidiaries and to independent foreign distributors, who in turn distribute our products worldwide, with Europe, Asia and Latin America currently representing our principal foreign markets.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2016 and 2015, we had sales in excess of 10% of our net sales to each of Comcast and DIRECTV and its sub-contractors. During the year ended December 31, 2014, we had sales to DIRECTV and its sub-contractors that totaled in excess of 10% of our net sales.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approximately 400 of our Brazil and Mexico employees are represented by labor unions. Disputes with the current labor unions or new union organizing activities could lead to production slowdowns or stoppages and make it difficult or impossible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cable and telecommunications companies have expanded into the monitored security industry and are bundling their existing offerings with monitored security services. We also face competition from Do-It-Yourself (DIY) companies that are increasingly provided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Exposed to Greater Risks of Liability for Omissions or System Failures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Brand Quality and Reputation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depends on the quality and reputation of our brands, and any deterioration in the quality or reputation of these brands may have an adverse impact on our market share, reputation, business, financial condition or results of operations. Events that may be beyond our control may affect the reputation of one or more of our products or more generally impact the reputation of our brands. If the reputation or perceived quality of our brands declines, our market share, reputation, business, financial condition or results of operations may be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and Other Laws and Regulations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is subject to regulation under a wide variety of laws, regulations and policies in jurisdictions around the world. In response to continued economic challenges, we anticipate that many of the jurisdictions in which we do business will continue to review tax and other revenue raising laws, regulations and policies, and any resulting changes may impose new restrictions, costs or prohibitions on our current practices and reduce our profits. In particular, governments may revise tax laws, regulations or official interpretations in ways that may have a significant impact on us, including modifications that may reduce the profits that we can effectively realize from our non-U.S. operations, or that may require costly changes to those operations, or the way in which they are structured. For example, most U.S. company effective tax rates reflect the fact that income earned and reinvested outside the United States is generally taxed at local rates, which are often much lower than U.S. tax rates. If changes in tax laws, regulations or interpretations significantly increase the tax rates on non-U.S. income, our effective tax rate may increase and our profits may be reduced. If such increases resulted from our status as a U.S. company, those changes may place us at a disadvantage to our non-U.S. competitors if those competitors remain subject to lower local tax rates.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training, developing and retaining highly skilled engineering, managerial, operational, sales and marketing personnel. If our salary and benefits fail to stay competitive it may negatively impact our ability to hire and retain key personnel and we may experience low morale, inefficiency or internal control failures. The inability to recruit, hire, train, develop and retain qualified personnel, or the loss of any key personnel, may make it difficult to meet key objectives, such as timely and effective product introductions, and also limit our ability to grow and expand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Tariffs, and Impact of Oil Prices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("GAAP") regarding future events and the financial performance of the company, including those involving:</w:t>
      </w:r>
    </w:p>
    <w:p>
      <w:pPr>
        <w:spacing w:after="0" w:line="49" w:lineRule="exact"/>
        <w:rPr>
          <w:sz w:val="20"/>
          <w:szCs w:val="20"/>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8"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Brazilian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and mobile devices;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we have goodwill and intangible assets recorded on our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upon which we rely is based on third party reports that may be inaccurate. The inaccuracy of any of these projections and/or market data may adversely affect our operating results and financial condition.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Cybersecurity Issues: Failure to Maintain the Integrity of and Protect Internal or Customer Data May Result in Faulty Business Decisions, Operational Inefficiencies, Damage to our Reputation and/or Subject Us to Costs, Fines, or Lawsuits</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requires collection and retention of large volumes of internal and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is critical to us. If that data is inaccurate or incomplete, we may make faulty decisions. Our customers and employees also have a high expectation that we and our service providers will adequately protect their personal information. The information, security and privacy requirements imposed by governmental regulation is also increasingly demanding, in both the United States and other jurisdictions where we operate. Our systems and those of our service providers may be unable to satisfy these changing requirements and employee and customer expectations, or may require significant additional investments or time in order to do so. Efforts to hack or breach security measures, failures of systems or software to operate as designed or intended, viruses, operator error, or inadvertent releases of data may materially impact our and our service providers' information systems and records. Our reliance on computer, Internet-based and mobile systems and communications and the frequency and sophistication of efforts by hackers to gain unauthorized access to such systems have increased significantly in recent years. A significant theft, loss, or fraudulent use of customer, employee, or company data maintained by us or by a service provider could adversely impact our reputation, cause harm to our business generally, and could result in remedial and other expenses, fines, or litigation. Breaches in the security of our information systems or those of our service providers or other disruptions in data services could lead to an interruption in the operation of our systems, resulting in a loss of data, operational inefficiencies and a loss of profits.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Additionally, in 2016 we began implementing a new global ERP system which will start to impact our internal controls in 2017 as we begin the process of going live with this new system regionally in phases beginning in early 2017. If we cannot adequately maintain the effectiveness of our internal control over financial reporting, we may be subject to sanctions or investigation by regulatory authorities, such as the SEC. Any such action may adversely affect our financial results and the market price of our common stock.</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Delaware Law and Our Governing Corporate Documents Contain, and Our Board of Directors May Implement, Antitakeover Provisions that May Deter Takeover Attempts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Delaware business combination statute, a stockholder holding 15 percent or more of our outstanding voting stock may not acquire us without Board of Director consent for at least three years after the date the stockholder first held 15 percent or more of the voting stock. Our governing corporate documents also, among other things, require super-majority votes in connection with mergers and similar transactions. In addition, our Board of Directors may, without stockholder approval, implement other anti-takeover defenses, such as a stockholder's rights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Financial Accounting Standards or Policies May Affect Our Reported Financial Condition or Results of Operations.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the Financial Accounting Standards Board (the "FASB") and the SEC change their guidance governing the form and content of our external financial statements. In addition, accounting standard setters and those who interpret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May 2014, the FASB issued ASU 2014-09, "Revenue from Contracts with Customers", which may impact the timing of revenue recognition for new and existing contracts with customers. This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Santa Ana, California. We utilize the following facilities: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9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Purpose or Use</w:t>
            </w:r>
          </w:p>
        </w:tc>
        <w:tc>
          <w:tcPr>
            <w:tcW w:w="100" w:type="dxa"/>
            <w:vAlign w:val="bottom"/>
            <w:vMerge w:val="restart"/>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Santa Ana, California</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Corporate headquarters, engineering, research and</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36,184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Twinsburg, Ohio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Call center</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21,509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Carlsbad,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November 30, 2017</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San Mateo, California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Enschede, Netherlands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February 28,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March 31, 2017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Hong Kong,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Asian headquarters</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June 30,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Suzhou,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1,204,697</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Yangzhou,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77,888</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Guangzhou, PRC </w:t>
            </w:r>
            <w:r>
              <w:rPr>
                <w:rFonts w:ascii="Arial" w:cs="Arial" w:eastAsia="Arial" w:hAnsi="Arial"/>
                <w:sz w:val="25"/>
                <w:szCs w:val="25"/>
                <w:color w:val="auto"/>
                <w:vertAlign w:val="superscript"/>
              </w:rPr>
              <w:t>(1) (2)</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710,203</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June 30, 2044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321,313</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May 31, 2018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Manaus, Brazil</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56,657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August 19,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Monterrey, Mexico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March 31, 2019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 w:lineRule="exact"/>
        <w:rPr>
          <w:rFonts w:ascii="Arial" w:cs="Arial" w:eastAsia="Arial" w:hAnsi="Arial"/>
          <w:sz w:val="25"/>
          <w:szCs w:val="25"/>
          <w:color w:val="auto"/>
          <w:vertAlign w:val="superscript"/>
        </w:rPr>
      </w:pPr>
    </w:p>
    <w:p>
      <w:pPr>
        <w:ind w:left="660" w:hanging="328"/>
        <w:spacing w:after="0" w:line="209"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discussed in "ITEM 8. FINANCIAL STATEMENTS AND SUPPLEMENTARY DATA - Notes to Consolidated Financial Statements - Note 13", this facility is subject to a pending sale that is expected to close in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6, 2017 was $68.30. Our stockholders of record on March 6, 2017 numbered 110.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2016</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2015</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48.81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2016 - October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1, 2016 - November 30,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109,134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106,354</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393,646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2016 - December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23,081</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370,565</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158,288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129,435</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370,565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Of the repurchases in November and December, 2,780 and 26,073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340" w:right="20" w:hanging="332"/>
        <w:spacing w:after="0" w:line="227"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On November 3, 2016, the Company announced that it may purchase shares from time to time in open market purchases or privately negotiated transactions. The Company may make all or part of the purchases pursuant to accelerated share repurchases or Rule 10b5-1 plans.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2016, we repurchased 197,819 shares of our issued and outstanding common stock for $12.6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December 31, 2016, we had 370,565 shares available for repurchase under the Board's authorizations.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 year period ended December 31, 2016. The comparison assumes that $100 was invested on December 31, 2011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12/31/2016</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202</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r>
      <w:tr>
        <w:trPr>
          <w:trHeight w:val="341"/>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198</w:t>
            </w:r>
          </w:p>
        </w:tc>
      </w:tr>
    </w:tbl>
    <w:p>
      <w:pPr>
        <w:spacing w:after="0" w:line="130" w:lineRule="exact"/>
        <w:rPr>
          <w:sz w:val="20"/>
          <w:szCs w:val="20"/>
          <w:color w:val="auto"/>
        </w:rPr>
      </w:pPr>
    </w:p>
    <w:p>
      <w:pPr>
        <w:ind w:left="820" w:hanging="326"/>
        <w:spacing w:after="0" w:line="238" w:lineRule="auto"/>
        <w:tabs>
          <w:tab w:leader="none" w:pos="69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Companies in the Peer Group Index are as follows: TiVo Corporation (formerly Rovi Corporation), Logitech International, Dolby Laboratories, Inc., Harman International Industries, Inc., and VOXX International Corp. DTS Inc. was previously included in the Peer Group Index but has been removed due to its acquisition in December 2016 by Tessera Holding Corporation.</w:t>
      </w:r>
    </w:p>
    <w:p>
      <w:pPr>
        <w:spacing w:after="0" w:line="14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information presented above is as of December 31, 2011 through December 31, 2016. This information should not be deemed to be "soliciting material" or to be "filed" with the SEC or subject to the liabilities of Section 18 of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6"/>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651,371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602,833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562,329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529,354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463,090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35,919</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41,280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32,154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26,202</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20,354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32,534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22,963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16,553</w:t>
            </w: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Universal Electronics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1.10</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15,781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14,952</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15,110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color w:val="auto"/>
                <w:w w:val="93"/>
              </w:rPr>
              <w:t>Selling, general, administrative, research and development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expenses as a % of net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income as a % of net sales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521"/>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113,488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521,036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495,220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463,070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423,733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379,324</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50,611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52,966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112,521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76,174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44,593</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280,510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257,908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315,621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291,270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250,650</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16.74</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Ratio of liabilities to liabilities and stockholders’ equity</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r>
    </w:tbl>
    <w:p>
      <w:pPr>
        <w:spacing w:after="0" w:line="17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comparability of information for 2016 and 2015 compared to previous years is affected by the acquisition of the net assets of Ecolink during the third quarter of 2015. See "ITEM 8. FINANCIAL STATEMENTS AND SUPPLEMENTARY DATA — Notes to Consolidated Financial Statements — Note 22"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and manufacture a broad line of pre-programmed universal remote control products, AV accessories, software and intelligent wireless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database that covers nearly one million individual device functions and approximately 7,900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RF technologies, such as RF4CE, Bluetooth, and Bluetooth Smart have increasingly become a focus in our development efforts. Several new recently released platforms utilize RF to effectively implement popular features like voice search.</w:t>
      </w:r>
    </w:p>
    <w:p>
      <w:pPr>
        <w:spacing w:after="0" w:line="1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23 international subsidiaries located in Argentina, Brazil, British Virgin Islands, Cayman Islands, France, Germany, Hong Kong (3), India, Italy, Japan,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2016:</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increased 8.1% to $651.4 million in 2016 from $602.8 million in 2015.</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margin percentage decreased from 27.7% in 2015 to 25.2% in 2016.</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21.8% in 2015 to 21.3% in 2016</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 decreased 29.3% to $25.4 million in 2016 from $35.9 million in 2015, and our operating margin percentage decreased to 3.9% in 2016, compared to 5.9% in 2015.</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effective tax rate increased to 19.1% in 2016 from 18.9% in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2017 include the following:</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These accruals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control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finished good, component part, and raw material inventories are valued at the lower of cost or market value. Cost is determined using the first-in, first-out method. We write-down our inventory for the estimated difference between cost and estimated market value based upon our best estimates of future demand and market conditions. We carry inventory in amounts necessary to satisfy our customers' inventory requirements on a timely basis. We continually monitor our inventory status to control inventory levels and write-down any excess or obsolete inventories on hand.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$1.3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our single reporting unit to the reporting unit's carrying amount, including goodwill. We estimate the fair value of our reporting unit based on income and market approaches. Under the income approach, we calculate the fair value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 assumptions we believe to be reasonable but that are unpredictable and inherently uncertain. Actual future results may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9"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in the third and fourth quarters of the subsequent year for U.S. federal and state provisions, respectively.</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GAAP. Determining the income tax expense for these potential assessments and recording the related assets and liabilities requires management judgments and estimates.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paid upon resolution of audits may be materially different from the amounts previously included in our income tax expense and, therefore, may have a material impact on our operating results, financial position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and expected life in years.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178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60"/>
              <w:spacing w:after="0"/>
              <w:rPr>
                <w:sz w:val="20"/>
                <w:szCs w:val="20"/>
                <w:color w:val="auto"/>
              </w:rPr>
            </w:pPr>
            <w:r>
              <w:rPr>
                <w:rFonts w:ascii="Arial" w:cs="Arial" w:eastAsia="Arial" w:hAnsi="Arial"/>
                <w:sz w:val="14"/>
                <w:szCs w:val="14"/>
                <w:b w:val="1"/>
                <w:bCs w:val="1"/>
                <w:color w:val="auto"/>
                <w:w w:val="96"/>
              </w:rPr>
              <w:t>2016</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780" w:type="dxa"/>
            <w:vAlign w:val="bottom"/>
          </w:tcPr>
          <w:p>
            <w:pPr>
              <w:jc w:val="right"/>
              <w:ind w:right="711"/>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70.3</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19.4</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7.3</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7.2</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0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("2016") Compared to Year Ended December 31, 2015 ("2015")</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2016 were $651.4 million, an increase of 8.1% compared to $602.8 million in 2015.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in our Business lines (subscription broadcasting, OEM, and computing companies) were 92.4% of net sales in 2016 compared to 91.4% in 2015. Net sales in our Business lines in 2016 increased by 9.2% to $601.7 million from $551.0 million in 2015 driven by an increased demand in both the subscription broadcasting and OEM markets for our advanced products which include features such as voice control and two-way RF technologies.</w:t>
      </w:r>
    </w:p>
    <w:p>
      <w:pPr>
        <w:spacing w:after="0" w:line="11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7.6% of net sales in 2016 compared to 8.6% in 2015. Net sales in our Consumer lines in 2016 decreased by 4.1% to $49.7 million from $51.8 million in 2015. This decrease was driven primarily by the weakening of the British Pound compared to the U.S. Dollar, which negatively impacted sales in the current year by $2.4 million.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2016 was $164.1 million compared to $166.7 million in 2015. Gross profit as a percent of sales decreased to 25.2% in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27.7% in 2015. The gross margin percentage was unfavorably impacted in 2016 by an increase in sales to certain large customers that yield a lower gross margin rate than our company average. In addition, manufacturing inefficiencies were incurred resulting from the transition of production activities from our southern-most China factory to our other three factories located in China. We expect to continue to experience manufacturing inefficiencies over the next six to nine months as we complete this transition. The impact of these unfavorable items was partially offset by the weakening of the Chinese Yuan Renminbi relative to the U.S. Dollar.</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9.4% to $19.9 million in 2016 from $18.1 million in 2015 as a result of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research and development in existing categories as well as new categories including home security.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increased 5.5% to $118.9 million in 2016 from $112.7 million in 2015.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driven primarily by severance costs associated with a factory transition, increased operating costs associated with our August 2015 acquisition of Ecolink, and increased payroll costs associated with additional headcount required to support product development efforts. Severance costs were incurred related to the transition of manufacturing activities from our higher cost factory located in southern China to our lower cost factories located in other regions within China. We expect this transition and related severance costs to continue over the next six to nine months. These increases were partially offset by a lower level of patent litigation related costs as well as the weakening of the Chinese Yuan Renminbi versus the U.S. Dollar.</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$1.0 million in 2016 compared to net interest income of $63 thousand in 2015.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an increased level of borrowings on our line of credit.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$0.8 million in 2016 compared to net other expense of $7 thousand in 2015. This change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foreign currency gains associated with fluctuations in the Chinese Yuan Renminbi exchange rate versus the U.S. Dollar.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$4.8 million in 2016 compared to $6.8 million in 2015. Our effective tax rate was consistent at 19.1%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18.9% in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 ("2014")</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2015 were $602.8 million, an increase of 7.2% compared to $562.3 million in 2014.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91.4% of net sales in 2015 compared to 90.2% in 2014. Net sales in our Business lines in 2015 increased by 8.7% to $551.0 million from $507.1 million in 2014 driven primarily by strong demand and increased market share with North American subscription broadcasters as more customers transition from lower end platforms to higher end platforms. Partially offsetting this improvement was a decrease in net sales to consumer electronics companies in Asia.</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Consumer lines (One For All</w:t>
      </w:r>
      <w:r>
        <w:rPr>
          <w:rFonts w:ascii="Arial" w:cs="Arial" w:eastAsia="Arial" w:hAnsi="Arial"/>
          <w:sz w:val="18"/>
          <w:szCs w:val="18"/>
          <w:i w:val="1"/>
          <w:iCs w:val="1"/>
          <w:color w:val="auto"/>
        </w:rPr>
        <w:t>®</w:t>
      </w:r>
      <w:r>
        <w:rPr>
          <w:rFonts w:ascii="Arial" w:cs="Arial" w:eastAsia="Arial" w:hAnsi="Arial"/>
          <w:sz w:val="18"/>
          <w:szCs w:val="18"/>
          <w:color w:val="auto"/>
        </w:rPr>
        <w:t xml:space="preserve"> retail and private label) were 8.6% of net sales in 2015 compared to 9.8% in 2014. Net sales in our Consumer lines in 2015 decreased by 6.2% to $51.8 million from $55.2 million in 2014. This decrease was driven primarily by the weakening of the Euro and the British Pound compared to the U.S. Dollar, which negatively impacted sales in 2015 by $5.3 million. This unfavorable currency impact was partially offset by increased sales in the European market.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2015 was $166.7 million compared to $166.9 million in 2014. Gross profit as a percent of sales decreased to 27.7% in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29.7% in 2014. The gross margin percentage was unfavorably impacted by an increase in sales to certain large customers that yield a lower gross margin rate than our company average, labor inflation in China where our four manufacturing facilities are located, and a decrease in royalty revenue associated with the TV and mobile device markets. The impact of these unfavorable items was partially offset by the weakening of the Chinese Yuan Renminbi relative to the U.S. Dollar.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6.9% to $18.1 million in 2015 from $17.0 million in 2014 as a result of our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in existing categories as well as new categories such as the home security channel.</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3.7% to $112.7 million in 2015 from $108.6 million in 2014.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primarily to an unfavorable court order in a patent litigation lawsuit of $4.6 million in the third quarter of 2015 as well as increased payroll costs driven by additional headcount to support product development efforts and annual merit increases. SG&amp;A expenses also increased due to increased delivery expenses as a result of the additional sales to North American subscription broadcasting customers in 2015 and the rerouting of certain shipments in the first quarter of 2015 due to temporary port congestion in Los Angeles, California. These increases were partially offset by the weakening of the Euro and Brazilian Real and a decrease in incentive compensation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Net interest income was $63 thousand in 2015 compared to net interest income of $11 thousand in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$7 thousand in 2015 compared to net other expense of $0.8 million in 2014. This change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a decrease in foreign currency losses associated with fluctuations in foreign currency exchange rates related to the Euro, Chinese Yuan Renminbi and British Pound.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$6.8 million in 2015 compared to $7.9 million in 2014, and our effective tax rate was 18.9% in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19.6% in 2014. The decrease in our effective tax rate was due primarily to the recording of $0.5 million in tax refunds in 2015 related to tax incentives in China for the years 2012 through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2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December 31, 2016</w:t>
            </w:r>
          </w:p>
        </w:tc>
        <w:tc>
          <w:tcPr>
            <w:tcW w:w="24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December 31, 2015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26,094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(47,649)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(29,230)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increase (decrease) in cash and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57,200</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(59,555)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(95,902)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36,347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equivalents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gridSpan w:val="4"/>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52,966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108,291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100,200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increased $23.4 million in 2016 when compared to 2015, primarily due to the net impact of changes in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needs associated with accounts receivable, inventories and accounts payable. With respect to accounts receivable, although net sales increased by 8.1% in 2016 compared to 2015, accounts receivable only increased by 2.3% due to the timing of sales in the current year period. Additionally, we experienced a greater growth in accounts receivable in 2015 as a result of us extending longer payment terms to certain significant customers. At December 31, 2016, days sales outstanding was 70 days compared to 68 days at December 31, 2015. Cash outflows associated with inventories were greater in 2015 compared to 2016 primarily due to preparation in 2015 for the manufacturing transition of certain products from our southern China factory to our other three factories located in China. The decrease in cash inflows associated with accounts payable were largely driven by the decrease in cash outflows associated with inventories.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provided by operating activities decreased $37.4 million in 2015 when compared to 2014, primarily due to the net impact of changes in working capital needs associated with inventories, accounts receivable and accounts payable. In 2015 we deliberately increased our inventory levels in order to meet the strong demand for our higher end products in the subscription broadcast channel as well as prepare for the manufacturing transition of certain products from our southern China factory to our other three factories located in China. With respect to accounts receivable, we experienced a greater growth in outstanding accounts receivable in 2015 as a result of increased sales levels. Additionally, days sales outstanding increased from 64 days at December 31, 2014 to 68 days at December 31, 2015 as a result of us extending longer payment terms to a couple of significant customers. Increased cash inflows from accounts payable were largely attributable to the increase in inventories as well as an effort to extend payment terms with certain vendors.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2016 was $42.5 million compared to $47.6 million and $18.4 million of net cash used during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2016, 2015 and 2014 cash used for investing activities primarily included our investments in property, plant and equipment as well as internally developed patents. In 2015, cash used for investing activities also included our acquisition of the net assets of Ecolink for $12.3 million, net of cash acquired. With respect to property, plant and equipment, we have increased our investment in machinery and equipment over the past two years in order to meet the increased demand for advanced remote controls. We have also been increasing the amount of automation in our factories in an effort to mitigate the rising cost of labor in China. In addition, we are currently implementing a new global ERP system that will begin to go live in phases beginning in early 2017. As a result of these ongoing areas of investment, we anticipate that property, plant and equipment purchases in 2017 will total between $22 million and $25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$4.4 million during 2016 compared to net cash used for financing activities of $35.1 million during 2015 and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for financing activities of $8.0 million during 2014. During 2016, we purchased 197,819 shares of our common stock at a cost of $12.6 million, compared to 1,816,293 and 383,978 shares at a cost of $89.4 million and $16.2 million during 2015 and 2014, respectively. Offsetting these cash outflows were net borrowings on our line of credit of $50.0 million in 2015 as well as proceeds from stock option exercises of $6.2 million, $1.7 million and $8.1 million in 2016, 2015 and 2014,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December 31, 2016, we had 370,565 shares available for repurchase on the open market under the Board's authorizations.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12,066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3,778</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5,208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26,997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8,209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9,827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tooling and other fixed assets.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 of the net assets of Ecolink.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In addition, inventory levels typically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our borrowing capacity on our revolving line of credit or take on additional debt until we are able to transfer cash among our various entities.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112,521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34,987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54,987</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2016, we had $3.3 million, $22.1 million, $5.3 million, $19.6 million and $0.3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19, 2016, we extended the term of our Amended and Restated Credit Agreement ("Amended Credit Agreement") with U.S. Bank National Association ("U.S. Bank") to November 1, 2018. The Amended Credit Agreement provides for an $85.0 million line of credit ("Credit Line") that may be used for working capital and other general corporate purposes including acquisitions, share repurchases and capital expenditures. On January 18, 2017, we entered into the Sixth Amendment to the Amended Credit Agreement in which the Credit Line was temporarily increased to $105.0 million through April 15, 2017, after which the Credit Line will revert back to $85.0 million. Amounts available for borrowing under the Credit Line are reduced by the balance of any outstanding letters of credit, of which there were $13 thousand at December 31, 2016.</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 The applicable margins are calculated quarterly and vary based on our cash flow leverage ratio as set forth in the Amended Credit Agreement. The interest rate in effect at December 31, 2016 was 1.89%.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December 31, 2016,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we had an outstanding balance of $50.0 million under the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From time to time we borrow amounts on our Credit Line for working capital and other liquidity needs. Under the Amended Credit Agreement,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an approximately $0.3 million annual impact on net income based on our outstanding Credit Line balance at December 31, 2016.</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2016, we had wholly-owned subsidiaries in Argentina, Brazil, the British Virgin Islands,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December 31, 2016,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December 31, 2016, net income in the first quarter of 2017 would fluctuate by approximately $8.3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4220" w:type="dxa"/>
            <w:vAlign w:val="bottom"/>
            <w:gridSpan w:val="2"/>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at December 31, 2016 and 2015</w:t>
              </w:r>
            </w:hyperlink>
          </w:p>
        </w:tc>
        <w:tc>
          <w:tcPr>
            <w:tcW w:w="30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60" w:type="dxa"/>
            <w:vAlign w:val="bottom"/>
            <w:gridSpan w:val="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Income Statements for the Years Ended December 31, 2016, 2015 and 2014</w:t>
              </w:r>
            </w:hyperlink>
          </w:p>
        </w:tc>
        <w:tc>
          <w:tcPr>
            <w:tcW w:w="460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40" w:type="dxa"/>
            <w:vAlign w:val="bottom"/>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Comprehensive Income Statements for the Years Ended December 31, 2016, 2015 and 2014</w:t>
              </w:r>
            </w:hyperlink>
          </w:p>
        </w:tc>
        <w:tc>
          <w:tcPr>
            <w:tcW w:w="342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60" w:type="dxa"/>
            <w:vAlign w:val="bottom"/>
            <w:gridSpan w:val="7"/>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Consolidated Statements of Stockholders' Equity for the Years Ended December 31, 2016, 2015 and 2014</w:t>
              </w:r>
            </w:hyperlink>
          </w:p>
        </w:tc>
        <w:tc>
          <w:tcPr>
            <w:tcW w:w="340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60" w:type="dxa"/>
            <w:vAlign w:val="bottom"/>
            <w:gridSpan w:val="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 for the Years Ended December 31, 2016, 2015 and 2014</w:t>
              </w:r>
            </w:hyperlink>
          </w:p>
        </w:tc>
        <w:tc>
          <w:tcPr>
            <w:tcW w:w="700" w:type="dxa"/>
            <w:vAlign w:val="bottom"/>
            <w:gridSpan w:val="2"/>
          </w:tcPr>
          <w:p>
            <w:pPr>
              <w:spacing w:after="0"/>
              <w:rPr>
                <w:sz w:val="21"/>
                <w:szCs w:val="21"/>
                <w:color w:val="auto"/>
              </w:rPr>
            </w:pPr>
          </w:p>
        </w:tc>
        <w:tc>
          <w:tcPr>
            <w:tcW w:w="340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6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410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2016 and 2015, and the related consolidated statements of income, comprehensive income,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2016 and 2015, and the results of its operations and its cash flows for each of the three years in the period ended December 31, 2016, in conformity with accounting principles generally accepted in the United States of America.</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the Company’s internal control over financial reporting as of December 31, 2016,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and our report dated March 9, 2017 expressed an unqualified opinion.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UNIVERSAL ELECTRONICS INC.</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CONSOLIDATED BALANCE SHEETS</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(In thousands, except share-related data)</w:t>
      </w:r>
    </w:p>
    <w:p>
      <w:pPr>
        <w:spacing w:after="0" w:line="209" w:lineRule="exact"/>
        <w:rPr>
          <w:sz w:val="20"/>
          <w:szCs w:val="20"/>
          <w:color w:val="auto"/>
        </w:rPr>
      </w:pPr>
    </w:p>
    <w:p>
      <w:pPr>
        <w:jc w:val="right"/>
        <w:ind w:right="300"/>
        <w:spacing w:after="0"/>
        <w:tabs>
          <w:tab w:leader="none" w:pos="1280" w:val="left"/>
        </w:tabs>
        <w:rPr>
          <w:sz w:val="20"/>
          <w:szCs w:val="20"/>
          <w:color w:val="auto"/>
        </w:rPr>
      </w:pPr>
      <w:r>
        <w:rPr>
          <w:rFonts w:ascii="Arial" w:cs="Arial" w:eastAsia="Arial" w:hAnsi="Arial"/>
          <w:sz w:val="16"/>
          <w:szCs w:val="16"/>
          <w:b w:val="1"/>
          <w:bCs w:val="1"/>
          <w:color w:val="auto"/>
        </w:rPr>
        <w:t>December 31, 2016</w:t>
      </w:r>
      <w:r>
        <w:rPr>
          <w:sz w:val="20"/>
          <w:szCs w:val="20"/>
          <w:color w:val="auto"/>
        </w:rPr>
        <w:tab/>
      </w: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37465</wp:posOffset>
            </wp:positionV>
            <wp:extent cx="709231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53"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300"/>
          </w:cols>
          <w:pgMar w:left="240" w:top="118" w:right="359" w:bottom="1440" w:gutter="0" w:footer="0" w:header="0"/>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tabs>
          <w:tab w:leader="none" w:pos="752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restricted cash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66" w:lineRule="exact"/>
        <w:rPr>
          <w:sz w:val="20"/>
          <w:szCs w:val="20"/>
          <w:color w:val="auto"/>
        </w:rPr>
      </w:pPr>
    </w:p>
    <w:p>
      <w:pPr>
        <w:jc w:val="right"/>
        <w:ind w:right="280"/>
        <w:spacing w:after="0"/>
        <w:tabs>
          <w:tab w:leader="none" w:pos="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63500</wp:posOffset>
            </wp:positionV>
            <wp:extent cx="70923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500"/>
        <w:spacing w:after="0"/>
        <w:tabs>
          <w:tab w:leader="none" w:pos="752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Line of credit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sales discounts, rebates and royalties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accrued expenses</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Long-term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86" w:lineRule="exact"/>
        <w:rPr>
          <w:sz w:val="20"/>
          <w:szCs w:val="20"/>
          <w:color w:val="auto"/>
        </w:rPr>
      </w:pPr>
    </w:p>
    <w:p>
      <w:pPr>
        <w:ind w:left="500" w:right="600"/>
        <w:spacing w:after="0" w:line="293" w:lineRule="auto"/>
        <w:rPr>
          <w:sz w:val="20"/>
          <w:szCs w:val="20"/>
          <w:color w:val="auto"/>
        </w:rPr>
      </w:pPr>
      <w:r>
        <w:rPr>
          <w:rFonts w:ascii="Arial" w:cs="Arial" w:eastAsia="Arial" w:hAnsi="Arial"/>
          <w:sz w:val="16"/>
          <w:szCs w:val="16"/>
          <w:color w:val="auto"/>
        </w:rPr>
        <w:t>Common stock, $0.01 par value, 50,000,000 shares authorized; 23,575,340 and 23,176,277 shares issued on December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70923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Treasury stock, at cost, 9,022,587 and 8,824,768 shares on December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50800</wp:posOffset>
            </wp:positionV>
            <wp:extent cx="70923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Universal Electronics Inc. stockholders' equity</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50,611</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52,966</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4,623</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4,623</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124,592</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121,801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129,879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122,366</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7,439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6,217</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1,054</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5,960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7,296</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324,158</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315,324</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105,351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90,015</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43,052</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43,116</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28,549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32,926</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10,430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8,474</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4,600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4,896</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5,365</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521,036</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495,220</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58"/>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97,157</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93,843</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49,987</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35,580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37,452</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8,358</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7,618</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375</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4,745</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24,410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21,466</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215,867</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215,124</w:t>
            </w:r>
          </w:p>
        </w:tc>
      </w:tr>
      <w:tr>
        <w:trPr>
          <w:trHeight w:val="54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10,500</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11,751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7,060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7,891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791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6,308</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1,917</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240,526</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237,312</w:t>
            </w:r>
          </w:p>
        </w:tc>
      </w:tr>
      <w:tr>
        <w:trPr>
          <w:trHeight w:val="81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236</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250,481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228,269</w:t>
            </w:r>
          </w:p>
        </w:tc>
      </w:tr>
      <w:tr>
        <w:trPr>
          <w:trHeight w:val="270"/>
        </w:trPr>
        <w:tc>
          <w:tcPr>
            <w:tcW w:w="780" w:type="dxa"/>
            <w:vAlign w:val="bottom"/>
          </w:tcPr>
          <w:p>
            <w:pPr>
              <w:jc w:val="right"/>
              <w:ind w:right="79"/>
              <w:spacing w:after="0"/>
              <w:rPr>
                <w:sz w:val="20"/>
                <w:szCs w:val="20"/>
                <w:color w:val="auto"/>
              </w:rPr>
            </w:pPr>
            <w:r>
              <w:rPr>
                <w:rFonts w:ascii="Arial" w:cs="Arial" w:eastAsia="Arial" w:hAnsi="Arial"/>
                <w:sz w:val="16"/>
                <w:szCs w:val="16"/>
                <w:color w:val="auto"/>
                <w:w w:val="87"/>
              </w:rPr>
              <w:t>(222,980)</w:t>
            </w: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(210,333)</w:t>
            </w:r>
          </w:p>
        </w:tc>
      </w:tr>
      <w:tr>
        <w:trPr>
          <w:trHeight w:val="270"/>
        </w:trPr>
        <w:tc>
          <w:tcPr>
            <w:tcW w:w="780" w:type="dxa"/>
            <w:vAlign w:val="bottom"/>
          </w:tcPr>
          <w:p>
            <w:pPr>
              <w:jc w:val="right"/>
              <w:ind w:right="79"/>
              <w:spacing w:after="0"/>
              <w:rPr>
                <w:sz w:val="20"/>
                <w:szCs w:val="20"/>
                <w:color w:val="auto"/>
              </w:rPr>
            </w:pPr>
            <w:r>
              <w:rPr>
                <w:rFonts w:ascii="Arial" w:cs="Arial" w:eastAsia="Arial" w:hAnsi="Arial"/>
                <w:sz w:val="16"/>
                <w:szCs w:val="16"/>
                <w:color w:val="auto"/>
              </w:rPr>
              <w:t>(22,821)</w:t>
            </w: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(15,799)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275,594</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255,240</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280,510</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257,609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-1985010</wp:posOffset>
            </wp:positionV>
            <wp:extent cx="1140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-3014345</wp:posOffset>
            </wp:positionV>
            <wp:extent cx="11404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-4394835</wp:posOffset>
            </wp:positionV>
            <wp:extent cx="1140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-5784215</wp:posOffset>
            </wp:positionV>
            <wp:extent cx="1140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7900" w:space="720"/>
            <w:col w:w="2680"/>
          </w:cols>
          <w:pgMar w:left="240" w:top="118" w:right="359" w:bottom="1440" w:gutter="0" w:footer="0" w:header="0"/>
          <w:type w:val="continuous"/>
        </w:sectPr>
      </w:pPr>
    </w:p>
    <w:tbl>
      <w:tblPr>
        <w:tblLayout w:type="fixed"/>
        <w:tblInd w:w="120" w:type="dxa"/>
        <w:tblCellMar>
          <w:top w:w="0" w:type="dxa"/>
          <w:left w:w="0" w:type="dxa"/>
          <w:bottom w:w="0" w:type="dxa"/>
          <w:right w:w="0" w:type="dxa"/>
        </w:tblCellMar>
      </w:tblPr>
      <w:tr>
        <w:trPr>
          <w:trHeight w:val="270"/>
        </w:trPr>
        <w:tc>
          <w:tcPr>
            <w:tcW w:w="738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64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CCEEFF"/>
            </w:tcBorders>
            <w:shd w:val="clear" w:color="auto" w:fill="CCEEFF"/>
          </w:tcPr>
          <w:p>
            <w:pPr>
              <w:spacing w:after="0"/>
              <w:rPr>
                <w:sz w:val="23"/>
                <w:szCs w:val="23"/>
                <w:color w:val="auto"/>
              </w:rPr>
            </w:pP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257,908</w:t>
            </w:r>
          </w:p>
        </w:tc>
      </w:tr>
      <w:tr>
        <w:trPr>
          <w:trHeight w:val="217"/>
        </w:trPr>
        <w:tc>
          <w:tcPr>
            <w:tcW w:w="738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521,036</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495,220</w:t>
            </w:r>
          </w:p>
        </w:tc>
      </w:tr>
      <w:tr>
        <w:trPr>
          <w:trHeight w:val="33"/>
        </w:trPr>
        <w:tc>
          <w:tcPr>
            <w:tcW w:w="73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11 for further information concerning our purchases from related party vendors.</w:t>
      </w:r>
    </w:p>
    <w:p>
      <w:pPr>
        <w:spacing w:after="0" w:line="86"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00"/>
          </w:cols>
          <w:pgMar w:left="240" w:top="118" w:right="359" w:bottom="1440" w:gutter="0" w:footer="0" w:header="0"/>
          <w:type w:val="continuous"/>
        </w:sect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00"/>
          </w:cols>
          <w:pgMar w:left="240" w:top="118" w:right="35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651,371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562,329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487,247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395,429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108,645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Universal Electronics Inc.: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20,384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13,362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Universal Electronics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13,332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25,106</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54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3"/>
          </w:tcPr>
          <w:p>
            <w:pPr>
              <w:jc w:val="right"/>
              <w:ind w:right="297"/>
              <w:spacing w:after="0" w:line="144" w:lineRule="exact"/>
              <w:rPr>
                <w:sz w:val="20"/>
                <w:szCs w:val="20"/>
                <w:color w:val="auto"/>
              </w:rPr>
            </w:pPr>
            <w:r>
              <w:rPr>
                <w:rFonts w:ascii="Arial" w:cs="Arial" w:eastAsia="Arial" w:hAnsi="Arial"/>
                <w:sz w:val="13"/>
                <w:szCs w:val="13"/>
                <w:b w:val="1"/>
                <w:bCs w:val="1"/>
                <w:color w:val="auto"/>
                <w:w w:val="82"/>
              </w:rPr>
              <w:t>Issued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2013</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22,344</w:t>
            </w:r>
          </w:p>
        </w:tc>
        <w:tc>
          <w:tcPr>
            <w:tcW w:w="72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(6,639)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(104,980)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199,513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193,532</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291,270</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32,534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32,534</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(16,168)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(16,168)</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8,118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8,122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Employee and director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6,444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6,444</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(7,008)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(120,938)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214,710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226,066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315,621</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29,174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29,173</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(89,395)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(89,395)</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Employee and director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7,913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7,913</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from exercise of non-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Business combination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Distribution to noncontrolling interest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23,176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(8,825)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(210,333)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228,269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(15,799)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255,240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257,908</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20,354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20,384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(7,022)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(12,647)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6,244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and director stock-based</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Tax benefit from exercise of non-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common stock</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Deconsolidation of Encore Controls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LLC</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23,575</w:t>
            </w:r>
          </w:p>
        </w:tc>
        <w:tc>
          <w:tcPr>
            <w:tcW w:w="72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(9,023)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(222,980)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250,481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(22,821)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275,594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280,510</w:t>
            </w:r>
          </w:p>
        </w:tc>
        <w:tc>
          <w:tcPr>
            <w:tcW w:w="0" w:type="dxa"/>
            <w:vAlign w:val="bottom"/>
          </w:tcPr>
          <w:p>
            <w:pPr>
              <w:spacing w:after="0"/>
              <w:rPr>
                <w:sz w:val="1"/>
                <w:szCs w:val="1"/>
                <w:color w:val="auto"/>
              </w:rPr>
            </w:pPr>
          </w:p>
        </w:tc>
      </w:tr>
      <w:tr>
        <w:trPr>
          <w:trHeight w:val="60"/>
        </w:trPr>
        <w:tc>
          <w:tcPr>
            <w:tcW w:w="23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720" w:type="dxa"/>
            <w:vAlign w:val="bottom"/>
            <w:gridSpan w:val="3"/>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11 for further information concerning our purchases from related party vendors.</w:t>
      </w:r>
    </w:p>
    <w:p>
      <w:pPr>
        <w:spacing w:after="0" w:line="167"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58" w:lineRule="exact"/>
        <w:rPr>
          <w:sz w:val="20"/>
          <w:szCs w:val="20"/>
          <w:color w:val="auto"/>
        </w:rPr>
      </w:pPr>
    </w:p>
    <w:p>
      <w:pPr>
        <w:jc w:val="right"/>
        <w:ind w:right="1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2958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Provision for doubtful accounts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Provision for inventory write-downs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Tax benefit from exercise of stock options and 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Excess tax benefit from stock-based compensation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Shares issued for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Employee and director stock-based compensation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Performance-based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income taxes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used for investing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intangible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Deposit received toward sale of Guangzhou factory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Deconsolidation of Encore Controls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Acquisition of net assets of Ecolink Intelligent Technology, Inc., net of cash acquired</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(used for) financing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on line of credit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Treasury stock purchased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Distribution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 from stock-based compensation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paid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paid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See Notes 5 and 11 for further information concerning our purchases from related party vendors.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526"/>
        </w:trPr>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20,384</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29,173</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32,534</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26,967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20,452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18,244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249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3,806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3,382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3,473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(538)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3,069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847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10,324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7,913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6,444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2,728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540"/>
        </w:trPr>
        <w:tc>
          <w:tcPr>
            <w:tcW w:w="3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(29,407)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(7,966)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(14,800)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(8,161)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(2,803)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10,451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33,309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19,964</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(5,159)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1,186</w:t>
            </w:r>
          </w:p>
        </w:tc>
      </w:tr>
      <w:tr>
        <w:trPr>
          <w:trHeight w:val="243"/>
        </w:trPr>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49,543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26,094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63,473</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(40,651)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(16,566)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(1,912)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(1,853)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8"/>
        </w:trPr>
        <w:tc>
          <w:tcPr>
            <w:tcW w:w="3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(12,265)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89"/>
        </w:trPr>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(42,515)</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(47,649)</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(18,419)</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147,974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84,500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(147,987)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(34,500)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8,122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(12,647)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(89,395)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(16,168)</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r>
      <w:tr>
        <w:trPr>
          <w:trHeight w:val="243"/>
        </w:trPr>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(4,446)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(8,046)</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(661)</w:t>
            </w:r>
          </w:p>
        </w:tc>
      </w:tr>
      <w:tr>
        <w:trPr>
          <w:trHeight w:val="243"/>
        </w:trPr>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(59,555)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36,347</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52,966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112,521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76,174</w:t>
            </w:r>
          </w:p>
        </w:tc>
      </w:tr>
      <w:tr>
        <w:trPr>
          <w:trHeight w:val="237"/>
        </w:trPr>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50,611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52,966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112,521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7"/>
        </w:trPr>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9,891</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7,793</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7,178</w:t>
            </w:r>
          </w:p>
        </w:tc>
      </w:tr>
      <w:tr>
        <w:trPr>
          <w:trHeight w:val="270"/>
        </w:trPr>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23"/>
                <w:szCs w:val="23"/>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bl>
    <w:p>
      <w:pPr>
        <w:spacing w:after="0" w:line="319" w:lineRule="exact"/>
        <w:rPr>
          <w:sz w:val="20"/>
          <w:szCs w:val="20"/>
          <w:color w:val="auto"/>
        </w:rPr>
      </w:pPr>
    </w:p>
    <w:p>
      <w:pPr>
        <w:sectPr>
          <w:pgSz w:w="11900" w:h="16838" w:orient="portrait"/>
          <w:cols w:equalWidth="0" w:num="2">
            <w:col w:w="6020" w:space="720"/>
            <w:col w:w="4660"/>
          </w:cols>
          <w:pgMar w:left="240" w:top="118" w:right="25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type w:val="continuous"/>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18" w:right="25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Universal Electronics Inc. ("UEI"), based in Southern California, develops and manufactures a broad line of easy-to-use, pre-programmed universal wireless control products, audio-video accessories and intelligent wireless automation components as well as software designed to enable consumers to wirelessly connect, control and interact with an increasingly complex home entertainment and automation environment. In addition, over the past 29 years, we have developed a broad portfolio of patented technologies and a database of home connectivity software that we license to our customers, including many leading Fortune 500 companies.</w:t>
      </w:r>
    </w:p>
    <w:p>
      <w:pPr>
        <w:spacing w:after="0" w:line="13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 xml:space="preserve">Our primary markets include cable and satellite television service provider, original equipment manufacturer ("OEM"), retail, private label, pro-security installation and personal computing companies. We sell directly to our customers, and for retail we also sell through distributors in Europe, Australia, New Zealand, South Africa, the Middle East, Mexico, and selected countries in Asia and Latin America under the </w:t>
      </w:r>
      <w:r>
        <w:rPr>
          <w:rFonts w:ascii="Arial" w:cs="Arial" w:eastAsia="Arial" w:hAnsi="Arial"/>
          <w:sz w:val="16"/>
          <w:szCs w:val="16"/>
          <w:i w:val="1"/>
          <w:iCs w:val="1"/>
          <w:color w:val="auto"/>
        </w:rPr>
        <w:t>One For 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Nevo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and jointly owned entities in which we have a controlling interest.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assumptions and estimates, and they may be adjusted as more information becomes available. Any adjustment may be material.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control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positions taken or expected to be taken in a tax return. For those benefits to be recognized, a tax position must be more likely than not to be sustained upon examination by taxing authorities, or else a full reserve is established against the tax asset or a liability is recorded. A "more likely than not" tax position is measured as the largest amount of benefit that is greater than fifty percent likely of being realized upon ultimate settlement. See Note 9 for further information concerning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$1.1 million, $1.1 million, and $1.2 million for the years ended December 31, 2016,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$11.6 million, $12.7 million and $11.3 million for the years ended December 31, 2016, 2015 and 2014,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16 for further information regarding stock-based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performance-based common stock warrants is determined utilizing the Black-Scholes option pricing model. The assumptions utilized in the Black-Scholes model include the price of our common stock, the risk-free interest rate, expected volatility, and expected life in years.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 See Note 17 for further information regarding performance-based common stock warrants.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18 for further information concerning transaction gains and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computation of diluted earnings per common share we exclude stock options with exercise prices greater than the average market price of the underlying common stock because their inclusion would be anti-dilutive. Furthermore, we exclude shares of restricted stock whose combined unamortized fair value and excess tax benefits are greater than the average market price of the underlying common stock during the period, as their effect would be anti-dilutive.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consist primarily of cash and cash equivalents, restricted cash,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allowance for doubtful accounts.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market value. These estimates are based upon management's judgment about future demand and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excluding computer equipment, must have a useful life greater than one year and a cost equal to or greater than $5,000 for individual assets or $5,000 for assets purchased in bulk. To qualify for capitalization, computer equipment, must have a useful life of greater than one year and a cost equal to or greater than $1,000 for individual assets or $5,000 for assets purchased in bulk.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25-33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900" w:type="dxa"/>
            <w:vAlign w:val="bottom"/>
          </w:tcPr>
          <w:p>
            <w:pPr>
              <w:ind w:left="600"/>
              <w:spacing w:after="0"/>
              <w:rPr>
                <w:sz w:val="20"/>
                <w:szCs w:val="20"/>
                <w:color w:val="auto"/>
              </w:rPr>
            </w:pPr>
            <w:r>
              <w:rPr>
                <w:rFonts w:ascii="Arial" w:cs="Arial" w:eastAsia="Arial" w:hAnsi="Arial"/>
                <w:sz w:val="18"/>
                <w:szCs w:val="18"/>
                <w:color w:val="auto"/>
              </w:rPr>
              <w:t>2-7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Software</w:t>
            </w:r>
          </w:p>
        </w:tc>
        <w:tc>
          <w:tcPr>
            <w:tcW w:w="4900" w:type="dxa"/>
            <w:vAlign w:val="bottom"/>
          </w:tcPr>
          <w:p>
            <w:pPr>
              <w:ind w:left="600"/>
              <w:spacing w:after="0"/>
              <w:rPr>
                <w:sz w:val="20"/>
                <w:szCs w:val="20"/>
                <w:color w:val="auto"/>
              </w:rPr>
            </w:pPr>
            <w:r>
              <w:rPr>
                <w:rFonts w:ascii="Arial" w:cs="Arial" w:eastAsia="Arial" w:hAnsi="Arial"/>
                <w:sz w:val="18"/>
                <w:szCs w:val="18"/>
                <w:color w:val="auto"/>
              </w:rPr>
              <w:t>3-7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5-8 Years</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900" w:type="dxa"/>
            <w:vAlign w:val="bottom"/>
          </w:tcPr>
          <w:p>
            <w:pPr>
              <w:ind w:left="60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our single reporting unit to the reporting unit's carrying amount, including goodwill. We estimate the fair value of our reporting unit based on income and market approaches. Under the income approach, we calculate the fair value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consist principally of distribution rights, patents, trademarks and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 for the application, maintenance and extension of the useful life of patents. Intangible assets are amortized using the straight-line method over their estimated period of benefit, ranging from one to 15 years.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See Notes 6 and 15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expense until technological feasibility has been established. We have determined that technological feasibility for our products is typically established when a working prototype is complete. Once technological feasibility is established, software development costs are capitalized until the product is available for general release to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of the amounts computed using:</w:t>
      </w:r>
    </w:p>
    <w:p>
      <w:pPr>
        <w:spacing w:after="0" w:line="116"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 is generally two years.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periods and the amount of the write-down is not subsequently restored. See Note 7 for further information concerning capitalized software development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0"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Note 22 for further information concerning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currency exposures are primarily concentrated in the Argentinian Peso, Brazilian Real, British Pound, Chinese Yuan Renminbi, Euro, Hong Kong Dollar, Indian Rupee, Japanese Yen and Mexican Peso. We periodically enter into foreign currency exchange contracts with terms normally lasting less than nine months to protect against the adverse effects that exchange-rate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may have on our foreign currency-denominated receivables, payables, cash flows and reported income. We do not enter into financial instruments for speculation or trading purposes.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20 for further information concerning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60" w:right="60" w:hanging="1025"/>
        <w:spacing w:after="0" w:line="264" w:lineRule="auto"/>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do not expect to early adopt ASU 2014-09. We are currently reviewing contract terms and assessing the impact of adopting this standard on our consolidated financial statements. While we are still in the process of conducting this analysis, the impact of this new guidance may accelerate revenue recognition for certain of our contractual arrangements, and the impact could be material. We expect to complete our assessment over the next six to nine months during which time we will also select a transition method.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amends Accounting Standards Codification ("ASC") 350, "Intangibles - Goodwill and Other". The amendments provide guidance as to whether a cloud computing arrangement includes a software license, and based on that determination, how to account for such arrangements. ASU 2015-05 is effective for fiscal periods beginning after December 15, 2015 and permits the use of either the prospective or retrospective transition method. The adoption of ASU 2015-05 did not have a material impact on our consolidated financial position or results of operations.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Early adoption is permitted. We do not anticipate that the adoption of ASU 2015-11 will have a material impact on our consolidated financial position or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2015, the FASB issued ASU 2015-16, "Simplifying the Accounting for Measurement-period Adjustments." This new guidance requires an acquirer in a business combination to recognize adjustments to the provisional amounts that are identified during the measurement period in the period in which the adjustment amounts are determined. In addition, the effect on earnings of changes in depreciation, amortization and other items as a result of the change to the provisional amounts, calculated as if the accounting had been complete as of the acquisition date, must be recorded in the reporting period in which the adjustment amounts are determined. ASU 2015-16 is effective for fiscal periods beginning after December 15, 2015 and must be applied prospectively. The adoption of ASU 2015-16 did not have a material impact on our consolidated financial position or results of operations.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Early adoption is permitted. We have not yet selected a transition method and are currently evaluating the impact that ASU 2015-17 will have on our consolidated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2016-09,"Improvements to Employee Share-Based Payment Accounting", which amends ASC 718, "Compensation - Stock Compensation". ASU 2016-09 is intended to simplify several aspects of the accounting for share-based payment transactions, including income tax consequences, classification of awards as either equity or liabilities, and classification on the statement of cash flows. ASU 2016-09 is effective for fiscal periods beginning after December 15, 2016. Early adoption is permitted. We are currently evaluating the impact that ASU 2016-09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Early adoption is permitted as long as all amendments are adopted in the same period. We are currently evaluating the impact that ASU 2016-15 will have on our consolidated financial statements.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changes the accounting for income taxes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Early adoption is permitted. The impact of the adoption of ASU 2016-16 could be material depending on the size of any intra-entity transfers we may implement in future periods.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Early adoption is permitted. The adoption of ASU 2016-18 will modify our current disclosures by reclassifying certain amounts within the consolidated statement of cash flows, but is not expected to have a material effect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22,142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28,681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19,630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8,093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2,388</w:t>
            </w:r>
          </w:p>
        </w:tc>
      </w:tr>
      <w:tr>
        <w:trPr>
          <w:trHeight w:val="257"/>
        </w:trPr>
        <w:tc>
          <w:tcPr>
            <w:tcW w:w="77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50,611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52,966</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court order issued on September 4, 2015, we placed $4.6 million of cash into a collateralized surety bond. This bond has certain restrictions for liquidation and has therefore been classified as restricted cash. Refer to Note 13 for further information about this ongoing litigation.</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pending sale of our Guangzhou factory in the PRC (Note 13), the buyer made a cash deposit of RMB 32 million ($4.6 million based on December 31, 2016 exchange rates) into an escrow account on September 29, 2016. Under the terms of the escrow account, these funds will not be released to us until the close of the sale. Accordingly, this deposit is presented as long-term restricted cash within our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6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1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120,965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119,522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117,761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124,592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121,801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4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180" w:type="dxa"/>
            <w:vAlign w:val="bottom"/>
            <w:tcBorders>
              <w:bottom w:val="single" w:sz="8" w:color="CCEEFF"/>
            </w:tcBorders>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822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vMerge w:val="restart"/>
          </w:tcPr>
          <w:p>
            <w:pPr>
              <w:jc w:val="right"/>
              <w:ind w:right="850"/>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sales returns at December 31, 2016 and 2015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$0.4 million and $0.3 million on December 31, 2016 and 2015, respectively. The value of these returned goods was included in our inventory balance at December 31, 2016 and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tcPr>
          <w:p>
            <w:pPr>
              <w:spacing w:after="0"/>
              <w:rPr>
                <w:sz w:val="13"/>
                <w:szCs w:val="13"/>
                <w:color w:val="auto"/>
              </w:rPr>
            </w:pPr>
          </w:p>
        </w:tc>
        <w:tc>
          <w:tcPr>
            <w:tcW w:w="15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9"/>
              </w:rPr>
              <w:t>% of Net</w:t>
            </w:r>
          </w:p>
        </w:tc>
        <w:tc>
          <w:tcPr>
            <w:tcW w:w="140" w:type="dxa"/>
            <w:vAlign w:val="bottom"/>
          </w:tcPr>
          <w:p>
            <w:pPr>
              <w:spacing w:after="0"/>
              <w:rPr>
                <w:sz w:val="13"/>
                <w:szCs w:val="13"/>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tcPr>
          <w:p>
            <w:pPr>
              <w:spacing w:after="0"/>
              <w:rPr>
                <w:sz w:val="13"/>
                <w:szCs w:val="13"/>
                <w:color w:val="auto"/>
              </w:rPr>
            </w:pPr>
          </w:p>
        </w:tc>
        <w:tc>
          <w:tcPr>
            <w:tcW w:w="15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3"/>
                <w:szCs w:val="13"/>
                <w:color w:val="auto"/>
              </w:rPr>
            </w:pPr>
          </w:p>
        </w:tc>
        <w:tc>
          <w:tcPr>
            <w:tcW w:w="100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w w:val="89"/>
              </w:rPr>
              <w:t>$ (thousands)</w:t>
            </w:r>
          </w:p>
        </w:tc>
        <w:tc>
          <w:tcPr>
            <w:tcW w:w="3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360" w:type="dxa"/>
            <w:vAlign w:val="bottom"/>
          </w:tcPr>
          <w:p>
            <w:pPr>
              <w:jc w:val="center"/>
              <w:ind w:right="447"/>
              <w:spacing w:after="0" w:line="153" w:lineRule="exact"/>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ind w:right="447"/>
              <w:spacing w:after="0"/>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149,476</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3"/>
              </w:rPr>
              <w:t>22.9%</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129,475</w:t>
            </w:r>
          </w:p>
        </w:tc>
        <w:tc>
          <w:tcPr>
            <w:tcW w:w="15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7"/>
              </w:rPr>
              <w:t>21.5%</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right"/>
              <w:ind w:right="3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360" w:type="dxa"/>
            <w:vAlign w:val="bottom"/>
            <w:shd w:val="clear" w:color="auto" w:fill="CCEEFF"/>
          </w:tcPr>
          <w:p>
            <w:pPr>
              <w:jc w:val="right"/>
              <w:ind w:right="87"/>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DIRECTV</w:t>
            </w: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68,110</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74,857</w:t>
            </w: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7"/>
              <w:spacing w:after="0"/>
              <w:rPr>
                <w:sz w:val="20"/>
                <w:szCs w:val="20"/>
                <w:color w:val="auto"/>
              </w:rPr>
            </w:pPr>
            <w:r>
              <w:rPr>
                <w:rFonts w:ascii="Arial" w:cs="Arial" w:eastAsia="Arial" w:hAnsi="Arial"/>
                <w:sz w:val="18"/>
                <w:szCs w:val="18"/>
                <w:color w:val="auto"/>
              </w:rPr>
              <w:t>58,622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447"/>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this period.</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Trade receivables associated with Comcast Corporation accounted for $23.7 million, or 19.0% of our accounts receivable, net at December 31, 2016. Trade receivables associated with DIRECTV accounted for $12.9 million, or 10.3% of our accounts receivable, net at December 31, 2016. Trade receivables associated with Comcast Corporation accounted for $29.4 million, or 24.1% of our accounts receivable, net at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15,046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80,119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7"/>
        </w:trPr>
        <w:tc>
          <w:tcPr>
            <w:tcW w:w="434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4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129,879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122,366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vMerge w:val="restart"/>
          </w:tcPr>
          <w:p>
            <w:pPr>
              <w:jc w:val="right"/>
              <w:ind w:right="1850"/>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2,714</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3,181</w:t>
            </w: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2,539</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2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$0.3 million, $0.3 million, and $0.3 million for the years ended December 31, 2016, 2015, and 2014,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ind w:left="660" w:hanging="328"/>
        <w:spacing w:after="0" w:line="180"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integrated circuits, components and finished goods from multiple sources. Texas Instruments provided $42.4 million or 11.7% of total inventory purchases during the year ended December 31, 2016. Maxim Integrated Products International Limited provided $31.2 million or 10.7% of total inventory purchases during the year ended December 31, 2014. No single supplier provided more than 10% of our total inventory purchases during the years ended December 31, 2015.</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supplier.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11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2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accounts payable to this supplier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payable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50,044</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67,726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60,078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26,231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22,680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19,926</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4,005</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4,557</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191,041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175,908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(101,768)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(96,365)</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89,273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79,543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10,472</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105,351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90,015</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$20.7 million, $15.6 million and $14.1 million for the years ended December 31, 2016, 2015, and 2014, respectively.</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net book value of property, plant, and equipment located within the PRC was $90.0 million and $79.4 million on December 31,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6,620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in progress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2017. We will begin to depreciate the cost of these assets under construction once they are placed into service.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40" w:type="dxa"/>
            <w:vAlign w:val="bottom"/>
          </w:tcPr>
          <w:p>
            <w:pPr>
              <w:jc w:val="center"/>
              <w:ind w:left="31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DECEMBER 31, 2016</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6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Note 7 — Goodwill and Intangible Assets, Net</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9940" w:type="dxa"/>
            <w:vAlign w:val="bottom"/>
            <w:gridSpan w:val="2"/>
          </w:tcPr>
          <w:p>
            <w:pPr>
              <w:spacing w:after="0"/>
              <w:rPr>
                <w:sz w:val="20"/>
                <w:szCs w:val="20"/>
                <w:color w:val="auto"/>
              </w:rPr>
            </w:pPr>
            <w:r>
              <w:rPr>
                <w:rFonts w:ascii="Arial" w:cs="Arial" w:eastAsia="Arial" w:hAnsi="Arial"/>
                <w:sz w:val="18"/>
                <w:szCs w:val="18"/>
                <w:color w:val="auto"/>
              </w:rPr>
              <w:t>Goodwill and changes in the carrying amount of goodwill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2"/>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w:t>
            </w:r>
          </w:p>
        </w:tc>
      </w:tr>
      <w:tr>
        <w:trPr>
          <w:trHeight w:val="270"/>
        </w:trPr>
        <w:tc>
          <w:tcPr>
            <w:tcW w:w="994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12,564</w:t>
            </w:r>
          </w:p>
        </w:tc>
      </w:tr>
      <w:tr>
        <w:trPr>
          <w:trHeight w:val="27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43,116</w:t>
            </w:r>
          </w:p>
        </w:tc>
      </w:tr>
      <w:tr>
        <w:trPr>
          <w:trHeight w:val="27"/>
        </w:trPr>
        <w:tc>
          <w:tcPr>
            <w:tcW w:w="1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43,052</w:t>
            </w:r>
          </w:p>
        </w:tc>
      </w:tr>
      <w:tr>
        <w:trPr>
          <w:trHeight w:val="27"/>
        </w:trPr>
        <w:tc>
          <w:tcPr>
            <w:tcW w:w="1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2015, we recognized $12.6 million of goodwill related to the Ecolink Intelligent Technology, Inc. acquisition. Please refer to Note 22 for further information about this acquisition.</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conducted annual goodwill impairment reviews on December 31, 2016, 2015, and 2014 utilizing significant unobservable inputs (level 3).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8"/>
                <w:szCs w:val="8"/>
                <w:b w:val="1"/>
                <w:bCs w:val="1"/>
                <w:color w:val="auto"/>
              </w:rPr>
              <w:t>(1)</w:t>
            </w:r>
          </w:p>
        </w:tc>
        <w:tc>
          <w:tcPr>
            <w:tcW w:w="38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 (10 years)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 (10 years)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(10 years)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 (5-15</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years) </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8,517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(10-15 years)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11,359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$10.2 million and $9.0 million on December 31, 2016 and 2015, respectively.</w:t>
      </w:r>
    </w:p>
    <w:p>
      <w:pPr>
        <w:spacing w:after="0" w:line="203" w:lineRule="exact"/>
        <w:rPr>
          <w:rFonts w:ascii="Arial" w:cs="Arial" w:eastAsia="Arial" w:hAnsi="Arial"/>
          <w:sz w:val="25"/>
          <w:szCs w:val="25"/>
          <w:color w:val="auto"/>
          <w:vertAlign w:val="superscript"/>
        </w:rPr>
      </w:pPr>
    </w:p>
    <w:p>
      <w:pPr>
        <w:jc w:val="both"/>
        <w:ind w:left="660" w:hanging="328"/>
        <w:spacing w:after="0" w:line="232"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2015, we purchased a trade name valued at $0.4 million, which is being amortized ratably over seven years; developed technology valued at $9.1 million, which is being amortized over a weighted average period of approximately five years; and customer relationships valued at $1.3 million, which are being amortized ratably over five years. Refer to Note 22 for further information regarding our purchase of these intangible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4,009</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6,274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720" w:type="dxa"/>
            <w:vAlign w:val="bottom"/>
            <w:gridSpan w:val="2"/>
          </w:tcPr>
          <w:p>
            <w:pPr>
              <w:spacing w:after="0"/>
              <w:rPr>
                <w:sz w:val="20"/>
                <w:szCs w:val="20"/>
                <w:color w:val="auto"/>
              </w:rPr>
            </w:pPr>
            <w:r>
              <w:rPr>
                <w:rFonts w:ascii="Arial" w:cs="Arial" w:eastAsia="Arial" w:hAnsi="Arial"/>
                <w:sz w:val="18"/>
                <w:szCs w:val="18"/>
                <w:color w:val="auto"/>
                <w:w w:val="90"/>
              </w:rPr>
              <w:t>Estimated future amortization expense related to our intangible assets at December 31, 2016, is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2018</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6,390</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5,222</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1,278</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4.8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19, 2016, we extended the term of our Amended and Restated Credit Agreement ("Amended Credit Agreement") with U.S. Bank National Association ("U.S. Bank") to November 1, 2018. The Amended Credit Agreement provides for an $85.0 million line of credit ("Credit Line") that may be used for working capital and other general corporate purposes including acquisitions, share repurchases and capital expenditures. On January 18, 2017, we entered into the Sixth Amendment to the Amended Credit Agreement in which the Credit Line was temporarily increased to $105.0 million through April 15, 2017, after which the Credit Line will revert back to $85.0 million. Amounts available for borrowing under the Credit Line are reduced by the balance of any outstanding letters of credit, of which there were $13 thousand at December 31, 2016.</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 The applicable margins are calculated quarterly and vary based on our cash flow leverage ratio as set forth in the Amended Credit Agreement. The interest rate in effect at December 31, 2016 was 1.89%.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December 31, 2016, we were in compliance with the covenants and conditions of the Amended Credit Agreement.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2016, we had $50.0 million outstanding under the Credit Line. Our total interest expense on borrowings was $1.3 million, $0.3 million and $23 thousand during the years ended December 31,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was attributed to the following jurisdictions: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42,832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43,244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25,188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charged to operations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1,748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assets were comprised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research costs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Capitalized inventory costs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Acquired intangible assets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tax credits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12,509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23,389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Nondeductible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deductibility of social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permanent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we had foreign tax credit carryforwards of approximately $1.7 million, and federal and state Research and Experimentation ("R&amp;E") income tax credit carryforwards of approximately $3.0 million and $7.6 million, respectively. The foreign tax credits begin to expire in 2024. The federal R&amp;E credits begin to expire in 2032. The state R&amp;E income tax credits do not have an expiration date.</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2016, we had federal, state and foreign net operating loss carryforwards of $0.6 million, $2.1 million and $0.2 million, respectively. Included in our U.S. net operating loss deferred tax assets above is $3.5 million of unrealized gross deferred tax assets attributable to excess tax benefits associated with stock-based compensation that will impact stockholders' equity if and when such excess benefits are ultimately realized. The federal, state and foreign net operating loss carryforwards begin to expire during 2024, 2018 and 2021, respectively. Internal Revenue Code Section 382 places certain limitations on the annual amount of net operating loss carryforwards that may be utilized if certain changes to a company’s ownership occur. The annual federal limitation is approximately $0.6 million for 2016 and thereafter.</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2016,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the Company’s deferred tax assets, we established a valuation allowance against certain deferred tax assets. This valuation allowance primarily relates to state R&amp;E income tax credits generated during prior years and the current year. Additionally, we recorded $1.0 million of valuation allowance during the year ended December 31, 2016 primarily against certain deferred tax assets associated with our Guangzhou factory as a result of the pending sale of this factory and related transition of manufacturing activities (see Note 13 for further details). If and when recognized, the tax benefits relating to any reversal of valuation allowance will be recorded as a reduction of income tax expense. The total valuation allowance increased by $2.0 million and $1.0 million during the years ended December 31, 2016 and 2015, respectively.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years ended December 31, 2016 and 2015, we recognized an increase to paid-in capital and a decrease to income taxes payable of $2.0 million and $3.1 million related to the tax benefit from the exercise of non-qualified stock options and vesting of restricted stock under our stock-based incentive plans.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2012, China's State Administration of Taxation issued Circular 15 which required us to reevaluate our foreign deferred tax assets relating to our Chinese subsidiaries. These subsidiaries have recorded a deferred tax asset for social insurance and housing funds with the intent of being able to deduct these expenses once such liabilities have been settled. Circular 15 stipulates that payments into the aforementioned funds must be made within five years of recording the initial accrual or the tax deduction for these expenses will be forfeited. At December 31, 2016, we evaluated fund payments made prior to the preceding five years and determined that none of our foreign deferred tax assets related to social insurance and housing would provide a future tax benefit due to the change in Chinese law. In adhering to the new law, we recorded increases to income tax expense of $0.6 million and $0.7 million for the years ended December 31, 2015 and 2014, respectively, relating to decreases in the deferred tax assets of our Chinese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2016 and 2015, we had unrecognized tax benefits of approximately $3.9 million and $3.7 million, including interest and penalties, respectively. We classify interest and penalties as components of tax expense. Interest and penalties were $0.3 million, $0.2 million, and $0.2 million for the years ended December 31, 2016, 2015 and 2014, respectively. Interest and penalties are included in the unrecognized tax benefits.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3,469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$3.6 million, $3.3 million and $3.2 million of the total amount of gross unrecognized tax benefits at December 31, 2016, 2015 and 2014, respectively, if not for the state Research and Experimentation income tax credit valuation allowance, would affect the annual effective tax rate, if recognized. We are unaware of any positions for which it is reasonably possible that the total amounts of unrecognized tax benefits will significantly change within the next twelve months. We anticipate a decrease in gross unrecognized tax benefits of approximately $0.1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At December 31, 2016, the open statutes of limitations for our significant tax jurisdictions are the following: federal are 2013 through 2015, state are 2012 through 2015 and foreign are 2010 through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19,974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18,923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7,549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Accrued bonus</w:t>
            </w:r>
            <w:r>
              <w:rPr>
                <w:rFonts w:ascii="Arial" w:cs="Arial" w:eastAsia="Arial" w:hAnsi="Arial"/>
                <w:sz w:val="25"/>
                <w:szCs w:val="25"/>
                <w:color w:val="auto"/>
                <w:vertAlign w:val="superscript"/>
              </w:rPr>
              <w:t>(2)</w:t>
            </w:r>
          </w:p>
        </w:tc>
        <w:tc>
          <w:tcPr>
            <w:tcW w:w="4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35,580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37,452</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8"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2016 and 2015.</w:t>
      </w:r>
    </w:p>
    <w:p>
      <w:pPr>
        <w:spacing w:after="0" w:line="73" w:lineRule="exact"/>
        <w:rPr>
          <w:rFonts w:ascii="Arial" w:cs="Arial" w:eastAsia="Arial" w:hAnsi="Arial"/>
          <w:sz w:val="22"/>
          <w:szCs w:val="22"/>
          <w:color w:val="auto"/>
          <w:vertAlign w:val="superscript"/>
        </w:rPr>
      </w:pPr>
    </w:p>
    <w:p>
      <w:pPr>
        <w:jc w:val="both"/>
        <w:ind w:left="660" w:hanging="328"/>
        <w:spacing w:after="0" w:line="220"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$0.7 million and $0.7 million at December 31, 2016 and 2015,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court order and settlement agreement (Notes 3 and 13)</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Utilities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24,410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21,466</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18" w:right="23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obtained certain engineering support services for our India subsidiary from JAP Techno Solutions ("JAP"). The owner of JAP is the spouse of the managing director of our India operations. Total fees paid to JAP for the years ended December 31, 2015 and 2014 were $77 thousand and $39 thousand, respectively. No amounts were paid to this vendor during the year ended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$4.0 million, $3.6 million and $3.7 million for the years ended December 31, 2016, 2015 and 2014,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minimum non-cancelable operating lease payments at December 31, 2016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2,983</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1,247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1,167</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commitments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48 months to 125 months. The related short term liability is recorded in other accrued expenses (see Note 11) and the related long term liability is recorded in other long term liabilities. The total liability related to rent escalations was $1.1 million and $1.1 million at December 31, 2016 and 2015,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lease agreement for our corporate headquarters contains an allowance for moving expenses and tenant improvements of $1.5 million. These moving and tenant improvement allowances are recorded within other accrued expenses and other long term liabilities, depending on the short-term or long-term nature, and are being amortized as a reduction of rent expense over the 125-month term of the lease, which began on May 15,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operating leases incurred during a construction period are expensed.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two factories within the PRC on which the land is leased from the government as of December 31, 2016. These land leases were prepaid to the PRC government at the time our subsidiary occupied the land. We have obtained land-use right certificates for the land pertaining to these factories.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factory is located in the city of Guangzhou in the Guangdong province. The remaining net book value of this prepaid lease was $1.1 million on December 31, 2016, and will be amortized on a straight-line basis over approximately 14 years. The buildings located on this land had a net book value of $11.2 million on December 31, 2016 and will be depreciated over a remaining weighted average period of 16 years. As further discussed in Note 13, this factory is subject to a pending sale that is expected to close in 2018.</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factory is located in the city of Yangzhou in the Jiangsu province. The remaining net book value of this prepaid lease was $2.6 million on December 31, 2016, and will be amortized on a straight-line basis over the remaining term of approximately 42 years. The buildings located on this land had a net book value of $20.8 million on December 31, 2016 and will be depreciated over a remaining weighted average period of 23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net book value of prepaid land leases is included within prepaid expenses and other current assets and other assets, depending on the short term or long term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2016, we implemented a plan to reduce our manufacturing costs by transitioning manufacturing activities from our southern-most China factory, located in the city of Guangzhou in the Guangdong province, to our other three China factories where labor rates are lower. As a result, we incurred severance costs of $4.5 million during the year ended December 31, 2016, which are included within selling, general and administrative expenses. We expect to incur additional severance costs of approximately $7 million as we continue to execute this transition over the next nine to 12 months. Because severance costs relate to involuntary terminations, we record the related liability at the communication date. At December 31, 2016, we had $2.7 million of unpaid severance costs included within accrued compensation.</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26, 2016, we entered into an agreement to sell our Guangzhou manufacturing facility for RMB 320 million (approximately $46 million based on December 31, 2016 exchange rates). Under the terms of the agreement, we have up to 24 months to cease all operations within the facility. The closing of the sale will be subject to customary due diligence and local regulatory approval and is expected to be completed within approximately 28 months from the execution of the agreement. In accordance with the terms of the agreement, the buyer deposited 10% of the purchase price into an escrow account upon the execution of the agreement, which we have presented as long-term restricted cash in our consolidated balance sheet (also refer to Note 3). The remaining balance of the purchase price is to be placed into the escrow account prior to the closing of the sale and will be released to us upon closing.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 2012 and June 28, 2013, we filed two different lawsuits against Universal Remote Control, Inc. ("URC") alleging that URC, and in some cases its affiliated suppliers Ohsung Electronics Co., Ltd. and Ohsung Electronics USA, Inc. (collectively "Ohsung"), were infringing on certain of our patents. In September 2015, the court awarded URC $4.6 million in attorneys' fees and costs related to the first lawsuit, which we accrued within selling, general and administrative expenses for the year ended December 31, 2015 and placed an equal amount into a surety bond (described in Note 3). In December 2016, in connection with</w:t>
      </w:r>
    </w:p>
    <w:p>
      <w:pPr>
        <w:sectPr>
          <w:pgSz w:w="11900" w:h="16838" w:orient="portrait"/>
          <w:cols w:equalWidth="0" w:num="1">
            <w:col w:w="11420"/>
          </w:cols>
          <w:pgMar w:left="240" w:top="118"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18"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matters, we entered into a confidential Settlement, License and Release Agreement dated September 22, 2016 with URC and Ohsung (collectively the “URC Parties”) to settle all litigation matters (including the malicious prosecution litigation described below) between us and the URC Parties. By and during the term of this agreement, we and the URC Parties have dismissed all litigation matters and appeals with prejudice. Additionally, the URC Parties have received a limited paid up license to the technologies covered by the patents in this litigation and a limited covenant not to sue with respect to certain of URC's products existing as of the settlement date. As a result of the Settlement, License and Release Agreement, we accrued $2.0 million within selling, general and administrative expenses for the year ended December 31, 2016, bringing the total liability accrued in connection with the URC matters to $6.6 million at December 31, 2016. On January 30, 2017, we paid URC $6.6 million, and on February 10, 2017, the $4.6 million surety bond was returned to us.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28, 2016, URC filed a malicious prosecution lawsuit against us in the Superior Court of California, County of Orange (Universal Remote Control, Inc. v. Universal Electronics Inc., 30-2016-00849239-CU-BT-CJC). This lawsuit was dismissed with prejudice by URC as part of the overall Settlement, License and Release Agreement discussed above.</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the appeal and on February 15, 2016, the appellate court heard oral arguments. While awaiting the appellate court’s ruling, we requested and received permission to submit additional filings in support of our position. As such, the court set a new date for all new filings to be submitted and set a status conference for March 2017. In addition, in September 2015, UEBV filed an Opposition with the European Patent Office seeking to invalidate the one utility patent asserted against UEBV and Telenet by Ruwido. The hearing on this opposition has been set for July 2017. Finally, on or about February 9, 2016, Ruwido filed a writ of summons for proceeding on the merits with respect to asserted patents. UEBV and Telenet have replied, denying all of Ruwido's allegations and we intend to vigorously defend against these claims. A hearing on this matter occurred in February 2017 with the court allowing the parties to submit additional filings to further support their respective positions. A further hearing has been scheduled for early summer 2017.</w:t>
      </w:r>
    </w:p>
    <w:p>
      <w:pPr>
        <w:spacing w:after="0" w:line="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26, 2017, OpenTV, Inc., Naga USA, Inc., Nagravision SA, and Kudelski SA (collectively, the “Kudelski Group”) filed a request with the U.S. International Trade Commission (“ITC”) to institute an investigation pursuant to Section 337 of the Tariff Act of 1930, as amended concerning certain remote control devices we supply Comcast Corporation (“Comcast”) to which the ITC agreed to accept this request. By this request, the Kudelski Group will seek exclusion of certain digital television set-top boxes, remote control devices, and components thereof imported into the United States by Comcast and/or various of its subsidiaries, ARRIS International plc and/or various of its subsidiaries, and us and/or certain of our subsidiaries. We deny the allegations made by the Kudelski Group against us and we intend to vigorously defend against them.</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2016 based on its latest actuarial report. The India Plan has an independent external manager that advises us of the appropriate funding contribution requirements to which we comply. At December 31, 2016, approximately 47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December 31, 2016 and 2015 for the India Plan was not material. During the years ended December 31, 2016, 2015, and 2014, the net periodic benefit costs were also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2016, we had 370,565 shares available for repurchase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89,395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16,168</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year ended December 31, 2014, we issued 15,000 shares from treasury to outside directors for services performed (see Note 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201,579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89,527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109,960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129,614</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98,057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74,113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65,579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70,663</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38,912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24,883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26,156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23,504</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651,371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602,833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562,329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94,113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83,794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110,247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95,380</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6,444</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3,102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18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33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17.96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13.64</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2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4.56</w:t>
            </w:r>
          </w:p>
        </w:tc>
      </w:tr>
      <w:tr>
        <w:trPr>
          <w:trHeight w:val="918"/>
        </w:trPr>
        <w:tc>
          <w:tcPr>
            <w:tcW w:w="4180" w:type="dxa"/>
            <w:vAlign w:val="bottom"/>
          </w:tcPr>
          <w:p>
            <w:pPr>
              <w:spacing w:after="0"/>
              <w:rPr>
                <w:sz w:val="24"/>
                <w:szCs w:val="24"/>
                <w:color w:val="auto"/>
              </w:rPr>
            </w:pPr>
          </w:p>
        </w:tc>
        <w:tc>
          <w:tcPr>
            <w:tcW w:w="2400" w:type="dxa"/>
            <w:vAlign w:val="bottom"/>
          </w:tcPr>
          <w:p>
            <w:pPr>
              <w:jc w:val="right"/>
              <w:ind w:right="69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3"/>
                <w:szCs w:val="13"/>
                <w:color w:val="auto"/>
              </w:rPr>
              <w:t>2016</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3"/>
                <w:szCs w:val="13"/>
                <w:color w:val="auto"/>
              </w:rPr>
              <w:t>2015</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color w:val="auto"/>
                <w:w w:val="96"/>
              </w:rPr>
              <w:t>2014</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9"/>
        </w:trPr>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2"/>
              </w:rPr>
              <w:t>Average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6"/>
              </w:rPr>
              <w:t>Aggregate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4"/>
          </w:tcPr>
          <w:p>
            <w:pPr>
              <w:jc w:val="center"/>
              <w:ind w:right="26"/>
              <w:spacing w:after="0" w:line="122" w:lineRule="exact"/>
              <w:rPr>
                <w:sz w:val="20"/>
                <w:szCs w:val="20"/>
                <w:color w:val="auto"/>
              </w:rPr>
            </w:pPr>
            <w:r>
              <w:rPr>
                <w:rFonts w:ascii="Arial" w:cs="Arial" w:eastAsia="Arial" w:hAnsi="Arial"/>
                <w:sz w:val="11"/>
                <w:szCs w:val="11"/>
                <w:color w:val="auto"/>
                <w:w w:val="96"/>
              </w:rPr>
              <w:t>Weighted-   Weighted-Average   Aggregate</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60" w:type="dxa"/>
            <w:vAlign w:val="bottom"/>
          </w:tcPr>
          <w:p>
            <w:pPr>
              <w:jc w:val="center"/>
              <w:ind w:right="105"/>
              <w:spacing w:after="0" w:line="122" w:lineRule="exact"/>
              <w:rPr>
                <w:sz w:val="20"/>
                <w:szCs w:val="20"/>
                <w:color w:val="auto"/>
              </w:rPr>
            </w:pPr>
            <w:r>
              <w:rPr>
                <w:rFonts w:ascii="Arial" w:cs="Arial" w:eastAsia="Arial" w:hAnsi="Arial"/>
                <w:sz w:val="11"/>
                <w:szCs w:val="11"/>
                <w:color w:val="auto"/>
                <w:w w:val="91"/>
              </w:rPr>
              <w:t>Weighted-</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color w:val="auto"/>
                <w:w w:val="90"/>
              </w:rPr>
              <w:t>Aggregate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40" w:type="dxa"/>
            <w:vAlign w:val="bottom"/>
          </w:tcPr>
          <w:p>
            <w:pPr>
              <w:jc w:val="right"/>
              <w:ind w:right="125"/>
              <w:spacing w:after="0" w:line="122" w:lineRule="exact"/>
              <w:rPr>
                <w:sz w:val="20"/>
                <w:szCs w:val="20"/>
                <w:color w:val="auto"/>
              </w:rPr>
            </w:pPr>
            <w:r>
              <w:rPr>
                <w:rFonts w:ascii="Arial" w:cs="Arial" w:eastAsia="Arial" w:hAnsi="Arial"/>
                <w:sz w:val="11"/>
                <w:szCs w:val="11"/>
                <w:color w:val="auto"/>
                <w:w w:val="87"/>
              </w:rPr>
              <w:t>Weighted-</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94"/>
              </w:rPr>
              <w:t>Intrinsic</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940" w:type="dxa"/>
            <w:vAlign w:val="bottom"/>
          </w:tcPr>
          <w:p>
            <w:pPr>
              <w:jc w:val="center"/>
              <w:ind w:left="5"/>
              <w:spacing w:after="0" w:line="122" w:lineRule="exact"/>
              <w:rPr>
                <w:sz w:val="20"/>
                <w:szCs w:val="20"/>
                <w:color w:val="auto"/>
              </w:rPr>
            </w:pPr>
            <w:r>
              <w:rPr>
                <w:rFonts w:ascii="Arial" w:cs="Arial" w:eastAsia="Arial" w:hAnsi="Arial"/>
                <w:sz w:val="11"/>
                <w:szCs w:val="11"/>
                <w:color w:val="auto"/>
                <w:w w:val="91"/>
              </w:rPr>
              <w:t>Remaining</w:t>
            </w:r>
          </w:p>
        </w:tc>
        <w:tc>
          <w:tcPr>
            <w:tcW w:w="120" w:type="dxa"/>
            <w:vAlign w:val="bottom"/>
          </w:tcPr>
          <w:p>
            <w:pPr>
              <w:spacing w:after="0"/>
              <w:rPr>
                <w:sz w:val="10"/>
                <w:szCs w:val="10"/>
                <w:color w:val="auto"/>
              </w:rPr>
            </w:pPr>
          </w:p>
        </w:tc>
        <w:tc>
          <w:tcPr>
            <w:tcW w:w="560" w:type="dxa"/>
            <w:vAlign w:val="bottom"/>
          </w:tcPr>
          <w:p>
            <w:pPr>
              <w:jc w:val="center"/>
              <w:ind w:right="66"/>
              <w:spacing w:after="0" w:line="122" w:lineRule="exact"/>
              <w:rPr>
                <w:sz w:val="20"/>
                <w:szCs w:val="20"/>
                <w:color w:val="auto"/>
              </w:rPr>
            </w:pPr>
            <w:r>
              <w:rPr>
                <w:rFonts w:ascii="Arial" w:cs="Arial" w:eastAsia="Arial" w:hAnsi="Arial"/>
                <w:sz w:val="11"/>
                <w:szCs w:val="11"/>
                <w:color w:val="auto"/>
                <w:w w:val="94"/>
              </w:rPr>
              <w:t>Intrinsic</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60" w:type="dxa"/>
            <w:vAlign w:val="bottom"/>
          </w:tcPr>
          <w:p>
            <w:pPr>
              <w:jc w:val="center"/>
              <w:ind w:right="85"/>
              <w:spacing w:after="0" w:line="122" w:lineRule="exact"/>
              <w:rPr>
                <w:sz w:val="20"/>
                <w:szCs w:val="20"/>
                <w:color w:val="auto"/>
              </w:rPr>
            </w:pPr>
            <w:r>
              <w:rPr>
                <w:rFonts w:ascii="Arial" w:cs="Arial" w:eastAsia="Arial" w:hAnsi="Arial"/>
                <w:sz w:val="11"/>
                <w:szCs w:val="11"/>
                <w:color w:val="auto"/>
                <w:w w:val="87"/>
              </w:rPr>
              <w:t>Average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5"/>
              </w:rPr>
              <w:t>Term</w:t>
            </w: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Intrinsic Value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40" w:type="dxa"/>
            <w:vAlign w:val="bottom"/>
          </w:tcPr>
          <w:p>
            <w:pPr>
              <w:jc w:val="right"/>
              <w:ind w:right="165"/>
              <w:spacing w:after="0" w:line="122" w:lineRule="exact"/>
              <w:rPr>
                <w:sz w:val="20"/>
                <w:szCs w:val="20"/>
                <w:color w:val="auto"/>
              </w:rPr>
            </w:pPr>
            <w:r>
              <w:rPr>
                <w:rFonts w:ascii="Arial" w:cs="Arial" w:eastAsia="Arial" w:hAnsi="Arial"/>
                <w:sz w:val="11"/>
                <w:szCs w:val="11"/>
                <w:color w:val="auto"/>
                <w:w w:val="97"/>
              </w:rPr>
              <w:t>Average</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5"/>
              </w:rPr>
              <w:t>Term</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5"/>
              </w:rPr>
              <w:t>Value</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85"/>
              </w:rPr>
              <w:t>Exercise</w:t>
            </w:r>
          </w:p>
        </w:tc>
        <w:tc>
          <w:tcPr>
            <w:tcW w:w="940" w:type="dxa"/>
            <w:vAlign w:val="bottom"/>
          </w:tcPr>
          <w:p>
            <w:pPr>
              <w:jc w:val="center"/>
              <w:ind w:left="5"/>
              <w:spacing w:after="0" w:line="122" w:lineRule="exact"/>
              <w:rPr>
                <w:sz w:val="20"/>
                <w:szCs w:val="20"/>
                <w:color w:val="auto"/>
              </w:rPr>
            </w:pPr>
            <w:r>
              <w:rPr>
                <w:rFonts w:ascii="Arial" w:cs="Arial" w:eastAsia="Arial" w:hAnsi="Arial"/>
                <w:sz w:val="11"/>
                <w:szCs w:val="11"/>
                <w:color w:val="auto"/>
                <w:w w:val="89"/>
              </w:rPr>
              <w:t>Contractual Term</w:t>
            </w:r>
          </w:p>
        </w:tc>
        <w:tc>
          <w:tcPr>
            <w:tcW w:w="120" w:type="dxa"/>
            <w:vAlign w:val="bottom"/>
          </w:tcPr>
          <w:p>
            <w:pPr>
              <w:spacing w:after="0"/>
              <w:rPr>
                <w:sz w:val="10"/>
                <w:szCs w:val="10"/>
                <w:color w:val="auto"/>
              </w:rPr>
            </w:pPr>
          </w:p>
        </w:tc>
        <w:tc>
          <w:tcPr>
            <w:tcW w:w="560" w:type="dxa"/>
            <w:vAlign w:val="bottom"/>
          </w:tcPr>
          <w:p>
            <w:pPr>
              <w:jc w:val="center"/>
              <w:ind w:right="46"/>
              <w:spacing w:after="0" w:line="122" w:lineRule="exact"/>
              <w:rPr>
                <w:sz w:val="20"/>
                <w:szCs w:val="20"/>
                <w:color w:val="auto"/>
              </w:rPr>
            </w:pPr>
            <w:r>
              <w:rPr>
                <w:rFonts w:ascii="Arial" w:cs="Arial" w:eastAsia="Arial" w:hAnsi="Arial"/>
                <w:sz w:val="11"/>
                <w:szCs w:val="11"/>
                <w:color w:val="auto"/>
                <w:w w:val="92"/>
              </w:rPr>
              <w:t>Value</w:t>
            </w:r>
          </w:p>
        </w:tc>
      </w:tr>
      <w:tr>
        <w:trPr>
          <w:trHeight w:val="136"/>
        </w:trPr>
        <w:tc>
          <w:tcPr>
            <w:tcW w:w="2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60" w:type="dxa"/>
            <w:vAlign w:val="bottom"/>
            <w:gridSpan w:val="2"/>
          </w:tcPr>
          <w:p>
            <w:pPr>
              <w:jc w:val="center"/>
              <w:ind w:right="5"/>
              <w:spacing w:after="0"/>
              <w:rPr>
                <w:sz w:val="20"/>
                <w:szCs w:val="20"/>
                <w:color w:val="auto"/>
              </w:rPr>
            </w:pPr>
            <w:r>
              <w:rPr>
                <w:rFonts w:ascii="Arial" w:cs="Arial" w:eastAsia="Arial" w:hAnsi="Arial"/>
                <w:sz w:val="11"/>
                <w:szCs w:val="11"/>
                <w:color w:val="auto"/>
                <w:w w:val="88"/>
              </w:rPr>
              <w:t>Exercise Price</w:t>
            </w: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6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(in 000's)</w:t>
            </w: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40" w:type="dxa"/>
            <w:vAlign w:val="bottom"/>
            <w:gridSpan w:val="2"/>
          </w:tcPr>
          <w:p>
            <w:pPr>
              <w:ind w:left="40"/>
              <w:spacing w:after="0"/>
              <w:rPr>
                <w:sz w:val="20"/>
                <w:szCs w:val="20"/>
                <w:color w:val="auto"/>
              </w:rPr>
            </w:pPr>
            <w:r>
              <w:rPr>
                <w:rFonts w:ascii="Arial" w:cs="Arial" w:eastAsia="Arial" w:hAnsi="Arial"/>
                <w:sz w:val="11"/>
                <w:szCs w:val="11"/>
                <w:color w:val="auto"/>
                <w:w w:val="96"/>
              </w:rPr>
              <w:t>Exercise Price</w:t>
            </w:r>
          </w:p>
        </w:tc>
        <w:tc>
          <w:tcPr>
            <w:tcW w:w="68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6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(in 000's)</w:t>
            </w: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940" w:type="dxa"/>
            <w:vAlign w:val="bottom"/>
          </w:tcPr>
          <w:p>
            <w:pPr>
              <w:jc w:val="center"/>
              <w:ind w:left="25"/>
              <w:spacing w:after="0"/>
              <w:rPr>
                <w:sz w:val="20"/>
                <w:szCs w:val="20"/>
                <w:color w:val="auto"/>
              </w:rPr>
            </w:pPr>
            <w:r>
              <w:rPr>
                <w:rFonts w:ascii="Arial" w:cs="Arial" w:eastAsia="Arial" w:hAnsi="Arial"/>
                <w:sz w:val="11"/>
                <w:szCs w:val="11"/>
                <w:color w:val="auto"/>
                <w:w w:val="91"/>
              </w:rPr>
              <w:t>(in years)</w:t>
            </w:r>
          </w:p>
        </w:tc>
        <w:tc>
          <w:tcPr>
            <w:tcW w:w="120" w:type="dxa"/>
            <w:vAlign w:val="bottom"/>
          </w:tcPr>
          <w:p>
            <w:pPr>
              <w:spacing w:after="0"/>
              <w:rPr>
                <w:sz w:val="11"/>
                <w:szCs w:val="11"/>
                <w:color w:val="auto"/>
              </w:rPr>
            </w:pPr>
          </w:p>
        </w:tc>
        <w:tc>
          <w:tcPr>
            <w:tcW w:w="560" w:type="dxa"/>
            <w:vAlign w:val="bottom"/>
          </w:tcPr>
          <w:p>
            <w:pPr>
              <w:jc w:val="center"/>
              <w:ind w:right="46"/>
              <w:spacing w:after="0"/>
              <w:rPr>
                <w:sz w:val="20"/>
                <w:szCs w:val="20"/>
                <w:color w:val="auto"/>
              </w:rPr>
            </w:pPr>
            <w:r>
              <w:rPr>
                <w:rFonts w:ascii="Arial" w:cs="Arial" w:eastAsia="Arial" w:hAnsi="Arial"/>
                <w:sz w:val="11"/>
                <w:szCs w:val="11"/>
                <w:color w:val="auto"/>
                <w:w w:val="93"/>
              </w:rPr>
              <w:t>(in 000's)</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30.50</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650</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25.56</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22.04</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Granted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49.67</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Arial" w:cs="Arial" w:eastAsia="Arial" w:hAnsi="Arial"/>
                <w:sz w:val="11"/>
                <w:szCs w:val="11"/>
                <w:color w:val="auto"/>
              </w:rPr>
              <w:t>64.81</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21"/>
                <w:szCs w:val="2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35.28</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26.09</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23.97</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20.76</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10,651</w:t>
            </w: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Forfeited/canceled/expired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Arial" w:cs="Arial" w:eastAsia="Arial" w:hAnsi="Arial"/>
                <w:sz w:val="11"/>
                <w:szCs w:val="11"/>
                <w:color w:val="auto"/>
              </w:rPr>
              <w:t>20.64</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21"/>
                <w:szCs w:val="2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20.77</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r>
      <w:tr>
        <w:trPr>
          <w:trHeight w:val="23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8"/>
                <w:szCs w:val="8"/>
                <w:color w:val="auto"/>
              </w:rPr>
              <w:t>(1)</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39.27</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3"/>
              </w:rPr>
              <w:t>4.78</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16,553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30.50</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3"/>
              </w:rPr>
              <w:t>4.85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14,556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650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25.56</w:t>
            </w:r>
          </w:p>
        </w:tc>
        <w:tc>
          <w:tcPr>
            <w:tcW w:w="940" w:type="dxa"/>
            <w:vAlign w:val="bottom"/>
            <w:tcBorders>
              <w:bottom w:val="single" w:sz="8" w:color="CCEEFF"/>
            </w:tcBorders>
            <w:shd w:val="clear" w:color="auto" w:fill="CCEEFF"/>
          </w:tcPr>
          <w:p>
            <w:pPr>
              <w:jc w:val="center"/>
              <w:ind w:left="25"/>
              <w:spacing w:after="0"/>
              <w:rPr>
                <w:sz w:val="20"/>
                <w:szCs w:val="20"/>
                <w:color w:val="auto"/>
              </w:rPr>
            </w:pPr>
            <w:r>
              <w:rPr>
                <w:rFonts w:ascii="Arial" w:cs="Arial" w:eastAsia="Arial" w:hAnsi="Arial"/>
                <w:sz w:val="11"/>
                <w:szCs w:val="11"/>
                <w:color w:val="auto"/>
                <w:w w:val="83"/>
              </w:rPr>
              <w:t>5.59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25,653</w:t>
            </w: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1"/>
                <w:szCs w:val="11"/>
                <w:color w:val="auto"/>
                <w:w w:val="95"/>
              </w:rPr>
              <w:t xml:space="preserve">Vested and expected to vest at the end of the year </w:t>
            </w:r>
            <w:r>
              <w:rPr>
                <w:rFonts w:ascii="Arial" w:cs="Arial" w:eastAsia="Arial" w:hAnsi="Arial"/>
                <w:sz w:val="8"/>
                <w:szCs w:val="8"/>
                <w:color w:val="auto"/>
                <w:w w:val="95"/>
              </w:rPr>
              <w:t>(1)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652</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39.27</w:t>
            </w:r>
          </w:p>
        </w:tc>
        <w:tc>
          <w:tcPr>
            <w:tcW w:w="700" w:type="dxa"/>
            <w:vAlign w:val="bottom"/>
          </w:tcPr>
          <w:p>
            <w:pPr>
              <w:jc w:val="center"/>
              <w:spacing w:after="0"/>
              <w:rPr>
                <w:sz w:val="20"/>
                <w:szCs w:val="20"/>
                <w:color w:val="auto"/>
              </w:rPr>
            </w:pPr>
            <w:r>
              <w:rPr>
                <w:rFonts w:ascii="Arial" w:cs="Arial" w:eastAsia="Arial" w:hAnsi="Arial"/>
                <w:sz w:val="11"/>
                <w:szCs w:val="11"/>
                <w:color w:val="auto"/>
                <w:w w:val="83"/>
              </w:rPr>
              <w:t>4.78</w:t>
            </w:r>
          </w:p>
        </w:tc>
        <w:tc>
          <w:tcPr>
            <w:tcW w:w="160" w:type="dxa"/>
            <w:vAlign w:val="bottom"/>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16,548</w:t>
            </w:r>
          </w:p>
        </w:tc>
        <w:tc>
          <w:tcPr>
            <w:tcW w:w="12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648</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5"/>
              <w:spacing w:after="0"/>
              <w:rPr>
                <w:sz w:val="20"/>
                <w:szCs w:val="20"/>
                <w:color w:val="auto"/>
              </w:rPr>
            </w:pPr>
            <w:r>
              <w:rPr>
                <w:rFonts w:ascii="Arial" w:cs="Arial" w:eastAsia="Arial" w:hAnsi="Arial"/>
                <w:sz w:val="11"/>
                <w:szCs w:val="11"/>
                <w:color w:val="auto"/>
              </w:rPr>
              <w:t>30.50</w:t>
            </w:r>
          </w:p>
        </w:tc>
        <w:tc>
          <w:tcPr>
            <w:tcW w:w="680" w:type="dxa"/>
            <w:vAlign w:val="bottom"/>
          </w:tcPr>
          <w:p>
            <w:pPr>
              <w:jc w:val="center"/>
              <w:spacing w:after="0"/>
              <w:rPr>
                <w:sz w:val="20"/>
                <w:szCs w:val="20"/>
                <w:color w:val="auto"/>
              </w:rPr>
            </w:pPr>
            <w:r>
              <w:rPr>
                <w:rFonts w:ascii="Arial" w:cs="Arial" w:eastAsia="Arial" w:hAnsi="Arial"/>
                <w:sz w:val="11"/>
                <w:szCs w:val="11"/>
                <w:color w:val="auto"/>
                <w:w w:val="83"/>
              </w:rPr>
              <w:t>4.85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14,551</w:t>
            </w:r>
          </w:p>
        </w:tc>
        <w:tc>
          <w:tcPr>
            <w:tcW w:w="120" w:type="dxa"/>
            <w:vAlign w:val="bottom"/>
          </w:tcPr>
          <w:p>
            <w:pPr>
              <w:spacing w:after="0"/>
              <w:rPr>
                <w:sz w:val="17"/>
                <w:szCs w:val="17"/>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649</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25.57</w:t>
            </w:r>
          </w:p>
        </w:tc>
        <w:tc>
          <w:tcPr>
            <w:tcW w:w="940" w:type="dxa"/>
            <w:vAlign w:val="bottom"/>
          </w:tcPr>
          <w:p>
            <w:pPr>
              <w:jc w:val="center"/>
              <w:ind w:left="25"/>
              <w:spacing w:after="0"/>
              <w:rPr>
                <w:sz w:val="20"/>
                <w:szCs w:val="20"/>
                <w:color w:val="auto"/>
              </w:rPr>
            </w:pPr>
            <w:r>
              <w:rPr>
                <w:rFonts w:ascii="Arial" w:cs="Arial" w:eastAsia="Arial" w:hAnsi="Arial"/>
                <w:sz w:val="11"/>
                <w:szCs w:val="11"/>
                <w:color w:val="auto"/>
                <w:w w:val="83"/>
              </w:rPr>
              <w:t>5.58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25,618</w:t>
            </w: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8"/>
        </w:trPr>
        <w:tc>
          <w:tcPr>
            <w:tcW w:w="252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363</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30.21</w:t>
            </w:r>
          </w:p>
        </w:tc>
        <w:tc>
          <w:tcPr>
            <w:tcW w:w="7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3.88</w:t>
            </w:r>
          </w:p>
        </w:tc>
        <w:tc>
          <w:tcPr>
            <w:tcW w:w="1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12,511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493</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rPr>
              <w:t>25.03</w:t>
            </w:r>
          </w:p>
        </w:tc>
        <w:tc>
          <w:tcPr>
            <w:tcW w:w="6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4.51</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12,979</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421</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23.84</w:t>
            </w:r>
          </w:p>
        </w:tc>
        <w:tc>
          <w:tcPr>
            <w:tcW w:w="940" w:type="dxa"/>
            <w:vAlign w:val="bottom"/>
            <w:shd w:val="clear" w:color="auto" w:fill="CCEEFF"/>
          </w:tcPr>
          <w:p>
            <w:pPr>
              <w:jc w:val="center"/>
              <w:ind w:left="25"/>
              <w:spacing w:after="0"/>
              <w:rPr>
                <w:sz w:val="20"/>
                <w:szCs w:val="20"/>
                <w:color w:val="auto"/>
              </w:rPr>
            </w:pPr>
            <w:r>
              <w:rPr>
                <w:rFonts w:ascii="Arial" w:cs="Arial" w:eastAsia="Arial" w:hAnsi="Arial"/>
                <w:sz w:val="11"/>
                <w:szCs w:val="11"/>
                <w:color w:val="auto"/>
                <w:w w:val="83"/>
              </w:rPr>
              <w:t>4.87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17,345</w:t>
            </w:r>
          </w:p>
        </w:tc>
      </w:tr>
      <w:tr>
        <w:trPr>
          <w:trHeight w:val="22"/>
        </w:trPr>
        <w:tc>
          <w:tcPr>
            <w:tcW w:w="2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2016, 2015, and 2014 and the exercise price, multiplied by the number of in-the-money options) that would have been received by the option holders had they all exercised their options on December 31, 2016, 2015, and 2014. This amount will change based on the fair market value of our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2016, 2015, and 2014, there were no modifications made to outstanding 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option exercises for the years ended December 31, 2016, 2015, and 2014 was $6.2 million, $1.7 million, and $8.1 million, respectively. The actual tax benefit realized from option exercises was $2.6 million, $0.5 million and $3.1 million for the years ended December 31, 2016, 2015, and 2014,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2016 and the related weighted average exercise price and life information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17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$18.25 to $21.95</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26.48 to 28.08</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35.28 to 48.61</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51.38 to 65.54</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363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we expect to recognize $3.8 million of total unrecognized pre-tax stock-based compensation expense related to non-vested stock options over a remaining weighted-average life of 1.9 years.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8, 2017, certain executive employees were granted 91,795 stock options in connection with the 2016 annual review cycle. The options were granted as part of long-term incentive compensation to assist us in meeting our performance and retention objectives and are subject to a three-year vesting period (33.33% on February 8, 2018 and 8.33% each quarter thereafter). The total grant date fair value of these awards was $1.8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2016</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 000’s)</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 000’s)</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beginning of the year</w:t>
            </w: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285</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Vested</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end of the year</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51.31</w:t>
            </w: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266</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we expect to recognize $7.8 million of total unrecognized pre-tax stock-based compensation expense related to non-vested restricted stock awards over a weighted-average life of 1.5 years.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2017, certain executives and employees were granted 96,705 restricted stock awards in connection with the 2016 annual review cycle. These awards were granted as part of long-term incentive compensation to assist us in meeting our performance and retention objectives and are subject to a three-year vesting period (28,705 of these awards vest 33.33% on February 8, 2018 and 8.33% each quarter thereafter; and 68,000 of these awards vest at a rate of 33.33% per year beginning on February 16, 2018). The total grant date fair value of these awards was $6.1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1999, 2003, 2006, 2010 and 2014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four-year time frame. Stock options have a maximum ten-year term. Restricted stock awards vest in various proportions over a one- to three-year time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Initial Shares</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Remaining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Approval Date</w:t>
            </w:r>
          </w:p>
        </w:tc>
        <w:tc>
          <w:tcPr>
            <w:tcW w:w="1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1999A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10/7/1999</w:t>
            </w:r>
          </w:p>
        </w:tc>
        <w:tc>
          <w:tcPr>
            <w:tcW w:w="19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2003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6/18/2003</w:t>
            </w:r>
          </w:p>
        </w:tc>
        <w:tc>
          <w:tcPr>
            <w:tcW w:w="1960" w:type="dxa"/>
            <w:vAlign w:val="bottom"/>
            <w:gridSpan w:val="2"/>
          </w:tcPr>
          <w:p>
            <w:pPr>
              <w:jc w:val="right"/>
              <w:ind w:right="68"/>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37,541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2006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6/13/2006</w:t>
            </w:r>
          </w:p>
        </w:tc>
        <w:tc>
          <w:tcPr>
            <w:tcW w:w="19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2010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6/15/2010</w:t>
            </w:r>
          </w:p>
        </w:tc>
        <w:tc>
          <w:tcPr>
            <w:tcW w:w="1960" w:type="dxa"/>
            <w:vAlign w:val="bottom"/>
            <w:gridSpan w:val="2"/>
          </w:tcPr>
          <w:p>
            <w:pPr>
              <w:jc w:val="right"/>
              <w:ind w:right="68"/>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222,935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6/12/2014</w:t>
            </w:r>
          </w:p>
        </w:tc>
        <w:tc>
          <w:tcPr>
            <w:tcW w:w="19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517,066</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418,800</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517,066</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805,329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60" w:type="dxa"/>
            <w:vAlign w:val="bottom"/>
            <w:gridSpan w:val="2"/>
            <w:vMerge w:val="restart"/>
          </w:tcPr>
          <w:p>
            <w:pPr>
              <w:jc w:val="right"/>
              <w:ind w:right="1708"/>
              <w:spacing w:after="0"/>
              <w:rPr>
                <w:sz w:val="20"/>
                <w:szCs w:val="20"/>
                <w:color w:val="auto"/>
              </w:rPr>
            </w:pPr>
            <w:r>
              <w:rPr>
                <w:rFonts w:ascii="Arial" w:cs="Arial" w:eastAsia="Arial" w:hAnsi="Arial"/>
                <w:sz w:val="18"/>
                <w:szCs w:val="18"/>
                <w:color w:val="auto"/>
                <w:w w:val="79"/>
              </w:rPr>
              <w:t>68</w:t>
            </w: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Performance-Based Common Stock Warrants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the warrants contain performance criteria under which Comcast must achieve specified aggregate purchase levels for the warrants to vest, as detailed above, the measurement date for the warrants is the date on which the warrants vest. At December 31, 2016, none of the warrants had vested.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we utilized in the Black-Scholes option pricing model and the resulting fair value of the warrants were the following:</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2300" w:type="dxa"/>
            <w:vAlign w:val="bottom"/>
          </w:tcPr>
          <w:p>
            <w:pPr>
              <w:jc w:val="right"/>
              <w:ind w:right="110"/>
              <w:spacing w:after="0"/>
              <w:rPr>
                <w:sz w:val="20"/>
                <w:szCs w:val="20"/>
                <w:color w:val="auto"/>
              </w:rPr>
            </w:pPr>
            <w:r>
              <w:rPr>
                <w:rFonts w:ascii="Arial" w:cs="Arial" w:eastAsia="Arial" w:hAnsi="Arial"/>
                <w:sz w:val="18"/>
                <w:szCs w:val="18"/>
                <w:color w:val="auto"/>
              </w:rPr>
              <w:t>December 31, 2016</w:t>
            </w:r>
          </w:p>
        </w:tc>
      </w:tr>
      <w:tr>
        <w:trPr>
          <w:trHeight w:val="27"/>
        </w:trPr>
        <w:tc>
          <w:tcPr>
            <w:tcW w:w="88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2300" w:type="dxa"/>
            <w:vAlign w:val="bottom"/>
          </w:tcPr>
          <w:p>
            <w:pPr>
              <w:jc w:val="right"/>
              <w:spacing w:after="0"/>
              <w:rPr>
                <w:sz w:val="20"/>
                <w:szCs w:val="20"/>
                <w:color w:val="auto"/>
              </w:rPr>
            </w:pPr>
            <w:r>
              <w:rPr>
                <w:rFonts w:ascii="Arial" w:cs="Arial" w:eastAsia="Arial" w:hAnsi="Arial"/>
                <w:sz w:val="18"/>
                <w:szCs w:val="18"/>
                <w:color w:val="auto"/>
              </w:rPr>
              <w:t>$65.78</w:t>
            </w:r>
          </w:p>
        </w:tc>
      </w:tr>
      <w:tr>
        <w:trPr>
          <w:trHeight w:val="27"/>
        </w:trPr>
        <w:tc>
          <w:tcPr>
            <w:tcW w:w="88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00" w:type="dxa"/>
            <w:vAlign w:val="bottom"/>
          </w:tcPr>
          <w:p>
            <w:pPr>
              <w:jc w:val="right"/>
              <w:spacing w:after="0"/>
              <w:rPr>
                <w:sz w:val="20"/>
                <w:szCs w:val="20"/>
                <w:color w:val="auto"/>
              </w:rPr>
            </w:pPr>
            <w:r>
              <w:rPr>
                <w:rFonts w:ascii="Arial" w:cs="Arial" w:eastAsia="Arial" w:hAnsi="Arial"/>
                <w:sz w:val="18"/>
                <w:szCs w:val="18"/>
                <w:color w:val="auto"/>
              </w:rPr>
              <w:t>39.30%</w:t>
            </w:r>
          </w:p>
        </w:tc>
      </w:tr>
      <w:tr>
        <w:trPr>
          <w:trHeight w:val="27"/>
        </w:trPr>
        <w:tc>
          <w:tcPr>
            <w:tcW w:w="88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w:t>
            </w:r>
          </w:p>
        </w:tc>
      </w:tr>
      <w:tr>
        <w:trPr>
          <w:trHeight w:val="27"/>
        </w:trPr>
        <w:tc>
          <w:tcPr>
            <w:tcW w:w="88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2016, we recorded $2.7 million as a reduction to net sales in connection with common stock warrants, and the related income tax benefit was $1.0 million. At December 31, 2016, we estimated the number of warrants that will vest based on the combination of purchases already made and projected future purchases that will be made by Comcast and its affiliates. These estimates may increase or decrease based on actual future purchases. The aggregate unrecognized estimated fair value of unvested warrants at December 31, 2016 was $19.7 million.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gain (loss) on foreign currency exchange contracts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20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20,354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32,534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20,354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32,534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Derivatives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Japanese Yen and Mexican Peso. Derivative financial instruments are used to manage risk and are not used for trading or other speculative purposes. We do not use leveraged derivative financial instruments and these derivatives have not qualified for hedge accounting.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2015</w:t>
            </w:r>
          </w:p>
        </w:tc>
        <w:tc>
          <w:tcPr>
            <w:tcW w:w="90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(1,584)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(1,146)</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$1.3 million, a net pre-tax gain of $0.3 million, and a net pre-tax loss of $0.5 million for the years ended December 31, 2016, 2015, and 2014,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Gain/(Loss) Recorded</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Forward Rate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27, 2017</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6.7230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13, 2017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6.6757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13, 2017</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3.4775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13, 2017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3.2316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13, 2017</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6.2565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15, 2016</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Brazilian Real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3.7461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15, 2016</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2015</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3.9503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15, 2016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40" w:hanging="328"/>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Gains on foreign currency exchange contracts are recorded in prepaid expenses and other current assets. Losses on foreign currency exchange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Benefit Plans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$0.9 million, $0.9 million and $0.8 million of expense for company contributions for the years ended December 31, 2016, 2015, and 2014,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Combination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purchase price of $24.1 million was comprised of $12.9 million in cash and $11.2 million of contingent consideration. Additionally, we incurred $0.2 million in acquisition costs, consisting primarily of legal and accounting expenses, which are included within selling, general and administrative expenses for the year ended December 31, 2015. The acquisition of these assets will allow us to extend our product offerings to include home security and automation products previously marketed by Ecolink and to sell these products to our existing customers.</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acquisition, management determined that we were the primary beneficiary of Encore due to our ability to direct the activities that most significantly impact the economic performance of Encore, and thus we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2016, we sold our ownership interest in Encore to Encore's noncontrolling interest holder in exchange for full rights and ownership of Encore's patents and developed technology as well as the noncontrolling interest's portion of certain of Encore's tangible net assets. Additionally, as a condition of the sale of our ownership interest in Encore, we agreed to grant a royalty-free license to Encore for the use of Encore's developed technology and patents in connection with selling specific products to specific customers. As a result of this transaction, we no longer have any involvement with Encore other than the granting of this limited license. Upon deconsolidation, we recorded a gain of $65 thousand, based on the difference between the fair value of the net assets received and our ownership interest in Encore. This gain is presented in our consolidated income statement within other income (expense), net for the year ended December 31, 2016.</w:t>
      </w:r>
    </w:p>
    <w:p>
      <w:pPr>
        <w:spacing w:after="0" w:line="13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consolidated income statement for the year ended December 31, 2016 includes net sales of $4.8 million and a net loss of $1.3 million attributable to Ecolink. Our consolidated income statement for the the year ended December 31, 2015 includes net sales of $1.6 million and a net loss of $1.0 million attributable to Ecolink for the period commencing on August 31,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required to make annual earnout payments upon the achievement of certain operating income levels attributable to Ecolink over the five year period from 2016 through 2020. The amount of earnout contingent consideration has no upper limit and is calculated at the end of each calendar year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2015 the fair value of the earnout contingent consideration was $11.8 million. During the year ended December 31, 2016, the fair value of the earnout contingent consideration decreased $1.3 million , primarily to reflect adjustments to the timing and amount of earnout payments as well as the related accretion driven by the time value of money. These adjustments were recorded within selling, general and administrative expenses. The fair value of earnout contingent consideration at December 31, 2016 was $10.5 million. The fair value of earnout contingent consideration is presented as long-term contingent consideration in our consolidated balance sheets.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was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7"/>
              </w:rPr>
              <w:t>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7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0" w:type="dxa"/>
            <w:vAlign w:val="bottom"/>
            <w:tcBorders>
              <w:bottom w:val="single" w:sz="8" w:color="CCEEFF"/>
            </w:tcBorders>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89"/>
              </w:rPr>
              <w:t>4-14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5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Encore</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7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12,949</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Ecolink’s trade name.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133"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color w:val="auto"/>
        </w:rPr>
        <w:t xml:space="preserve">The trade name, developed technology and customer relationships intangible assets are expected to be deductible for income tax purposes. </w:t>
      </w:r>
      <w:r>
        <w:rPr>
          <w:rFonts w:ascii="Arial" w:cs="Arial" w:eastAsia="Arial" w:hAnsi="Arial"/>
          <w:sz w:val="18"/>
          <w:szCs w:val="18"/>
          <w:i w:val="1"/>
          <w:iCs w:val="1"/>
          <w:color w:val="auto"/>
        </w:rPr>
        <w:t>Pro Forma Results (Unaudited)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Ecolink as if this transaction had occurred on January 1, 2014. This unaudited pro forma financial information is not intended to represent or be indicative of the consolidated results of operations that would have been achieved had the acquisition actually been completed as of January 1, 2014, and should not be taken as a projection of the future consolidated results of our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606,872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569,804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28,947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31,861</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31,456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1.99</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r>
      <w:tr>
        <w:trPr>
          <w:trHeight w:val="27"/>
        </w:trPr>
        <w:tc>
          <w:tcPr>
            <w:tcW w:w="8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purposes of determining pro forma net income attributable to Universal Electronics Inc., adjustments were made to each period presented in the table above. The pro forma net income and net income attributable to Universal Electronics Inc. assumes that amortization of acquired intangible assets and of fair value adjustments related to inventories began at January 1, 2014 rather than on September 1, 2015. The result is a net increase in amortization expense of $1.3 million and $2.3 million for the years ended December 31, 2015 and 2014, respectively. Additionally, acquisition costs totaling $0.2 million are excluded from pro forma net income attributable to Universal Electronics Inc. All adjustments have been made net of their related tax effects.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2016</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160,542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41,236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3,236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3,236</w:t>
            </w: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attributable to Universal Electronics Inc.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0.22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r>
      <w:tr>
        <w:trPr>
          <w:trHeight w:val="521"/>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2015</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147,551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162,110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42,809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46,251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9,335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9,339</w:t>
            </w: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Earnings per share attributable to Universal Electronics Inc.</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0.65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20" w:hanging="328"/>
        <w:spacing w:after="0" w:line="227"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internal controls or in other factors that may significantly affect our internal controls during the fourth quarter of 2016.</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Universal Electronics Inc. (a Delaware corporation) (the "Company") as of December 31, 2016,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Company as of and for the year ended December 31, 2016, and our report dated March 9, 2017 expressed an unqualified opinion on those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2017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2017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2017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2017 Annual Meeting of Stockholders to be filed pursuant to Regulation 14A promulgated by the Securities and Exchange Commission under the Exchange Act.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2017 Annual Meeting of Stockholders to be filed pursuant to Regulation 14A promulgated by the Securities and Exchange Commission under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644,450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39.41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517,066</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20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651,950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517,066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16" for a description of each of our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2017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2017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9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94"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Refer to the Exhibit Index, which is incorporated herein by reference. Any stockholder who would like a copy of any of the exhibits listed on the Exhibit Index in this Report may obtain one from us upon request at a charge that reflects the reproduction cost of such Exhibits. Requests should be made to the Secretary, Universal Electronics Inc., 201 E. Sandpointe Avenue, 8th Floor, Santa Ana, California 92707.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Santa Ana, State of California.</w:t>
      </w: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2017</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320" w:type="dxa"/>
            <w:vAlign w:val="bottom"/>
          </w:tcPr>
          <w:p>
            <w:pPr>
              <w:spacing w:after="0"/>
              <w:rPr>
                <w:sz w:val="16"/>
                <w:szCs w:val="16"/>
                <w:color w:val="auto"/>
              </w:rPr>
            </w:pPr>
          </w:p>
        </w:tc>
        <w:tc>
          <w:tcPr>
            <w:tcW w:w="2860" w:type="dxa"/>
            <w:vAlign w:val="bottom"/>
          </w:tcPr>
          <w:p>
            <w:pPr>
              <w:ind w:left="100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jc w:val="center"/>
              <w:ind w:left="57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0"/>
                <w:szCs w:val="20"/>
                <w:color w:val="auto"/>
              </w:rPr>
            </w:pPr>
            <w:r>
              <w:rPr>
                <w:rFonts w:ascii="Arial" w:cs="Arial" w:eastAsia="Arial" w:hAnsi="Arial"/>
                <w:sz w:val="18"/>
                <w:szCs w:val="18"/>
                <w:color w:val="auto"/>
              </w:rPr>
              <w:t>Paul D. Arling</w:t>
            </w: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700" w:type="dxa"/>
            <w:vAlign w:val="bottom"/>
          </w:tcPr>
          <w:p>
            <w:pPr>
              <w:jc w:val="center"/>
              <w:ind w:left="572"/>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color w:val="auto"/>
              </w:rPr>
              <w:t>79</w:t>
            </w: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140" w:type="dxa"/>
            <w:vAlign w:val="bottom"/>
            <w:gridSpan w:val="2"/>
          </w:tcPr>
          <w:p>
            <w:pPr>
              <w:ind w:left="4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7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47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180" w:right="20" w:hanging="591"/>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w:t>
      </w:r>
    </w:p>
    <w:p>
      <w:pPr>
        <w:spacing w:after="0" w:line="130" w:lineRule="exact"/>
        <w:rPr>
          <w:sz w:val="20"/>
          <w:szCs w:val="20"/>
          <w:color w:val="auto"/>
        </w:rPr>
      </w:pPr>
    </w:p>
    <w:p>
      <w:pPr>
        <w:jc w:val="both"/>
        <w:ind w:left="1180" w:right="20" w:hanging="591"/>
        <w:spacing w:after="0" w:line="277" w:lineRule="auto"/>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Universal Electronics Inc. (Incorporated by reference to Exhibit 3.2 to the Company's Form S-1 Registration filed on or about December 24, 1992 (File No. 33-56358))</w:t>
      </w:r>
    </w:p>
    <w:p>
      <w:pPr>
        <w:spacing w:after="0" w:line="130" w:lineRule="exact"/>
        <w:rPr>
          <w:sz w:val="20"/>
          <w:szCs w:val="20"/>
          <w:color w:val="auto"/>
        </w:rPr>
      </w:pPr>
    </w:p>
    <w:p>
      <w:pPr>
        <w:jc w:val="both"/>
        <w:ind w:left="1180" w:right="20" w:hanging="591"/>
        <w:spacing w:after="0" w:line="308" w:lineRule="auto"/>
        <w:tabs>
          <w:tab w:leader="none" w:pos="11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Certificate of Amendment to Restated Certificate of Incorporation of Universal Electronics Inc. (Incorporated by reference to Exhibit 3.3 to the Company's Annual Report on Form 10-K for the year ended December 31, 1995 filed on April 1, 1996 (File No. 0-21044))</w:t>
      </w:r>
    </w:p>
    <w:p>
      <w:pPr>
        <w:spacing w:after="0" w:line="106" w:lineRule="exact"/>
        <w:rPr>
          <w:sz w:val="20"/>
          <w:szCs w:val="20"/>
          <w:color w:val="auto"/>
        </w:rPr>
      </w:pPr>
    </w:p>
    <w:p>
      <w:pPr>
        <w:jc w:val="both"/>
        <w:ind w:left="1180" w:hanging="591"/>
        <w:spacing w:after="0" w:line="25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w:t>
      </w:r>
    </w:p>
    <w:p>
      <w:pPr>
        <w:spacing w:after="0" w:line="148" w:lineRule="exact"/>
        <w:rPr>
          <w:sz w:val="20"/>
          <w:szCs w:val="20"/>
          <w:color w:val="auto"/>
        </w:rPr>
      </w:pPr>
    </w:p>
    <w:p>
      <w:pPr>
        <w:jc w:val="both"/>
        <w:ind w:left="1180" w:hanging="591"/>
        <w:spacing w:after="0" w:line="308" w:lineRule="auto"/>
        <w:tabs>
          <w:tab w:leader="none" w:pos="1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Common Stock Purchase Warrant dated March 9, 2016 between Universal Electronics Inc. and Comcast Corporation (Incorporated by references to Exhibit 4.1 to the Company's Current Report on Form 8-K dated March 9, 2016 filed on March 9, 2016 (File No. 0-21044))</w:t>
      </w:r>
    </w:p>
    <w:p>
      <w:pPr>
        <w:spacing w:after="0" w:line="106"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10.25 to the Company's Annual Report on Form 10-K for the year ended December 31, 1997, filed on March 30, 1998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Universal Electronics Inc. 1999A Nonqualified Stock Plan effective October 7, 1999 and subsequently amended February 1, 2000 (Incorporated by reference to Exhibit 10.42 to the Company's Annual Report on Form 10-K for the year ended December 31, 1999 filed on March 30, 2000 (File No. 0-21044))</w:t>
      </w:r>
    </w:p>
    <w:p>
      <w:pPr>
        <w:spacing w:after="0" w:line="141" w:lineRule="exact"/>
        <w:rPr>
          <w:sz w:val="20"/>
          <w:szCs w:val="20"/>
          <w:color w:val="auto"/>
        </w:rPr>
      </w:pPr>
    </w:p>
    <w:p>
      <w:pPr>
        <w:jc w:val="both"/>
        <w:ind w:left="1180" w:right="20" w:hanging="803"/>
        <w:spacing w:after="0" w:line="312"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w:t>
      </w:r>
    </w:p>
    <w:p>
      <w:pPr>
        <w:spacing w:after="0" w:line="106" w:lineRule="exact"/>
        <w:rPr>
          <w:sz w:val="20"/>
          <w:szCs w:val="20"/>
          <w:color w:val="auto"/>
        </w:rPr>
      </w:pPr>
    </w:p>
    <w:p>
      <w:pPr>
        <w:jc w:val="both"/>
        <w:ind w:left="1180" w:hanging="803"/>
        <w:spacing w:after="0" w:line="308"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Universal Electronics Inc. 2003 Stock Incentive Plan (Incorporated by reference to Appendix B to the Company's Definitive Proxy Materials for the 2003 Annual Meeting of Stockholders of Universal Electronics Inc. filed on April 28, 2003 (File No. 0-21044))</w:t>
      </w:r>
    </w:p>
    <w:p>
      <w:pPr>
        <w:spacing w:after="0" w:line="106"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p>
    <w:p>
      <w:pPr>
        <w:spacing w:after="0" w:line="141" w:lineRule="exact"/>
        <w:rPr>
          <w:sz w:val="20"/>
          <w:szCs w:val="20"/>
          <w:color w:val="auto"/>
        </w:rPr>
      </w:pPr>
    </w:p>
    <w:p>
      <w:pPr>
        <w:jc w:val="both"/>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w:t>
      </w:r>
    </w:p>
    <w:p>
      <w:pPr>
        <w:spacing w:after="0" w:line="141" w:lineRule="exact"/>
        <w:rPr>
          <w:sz w:val="20"/>
          <w:szCs w:val="20"/>
          <w:color w:val="auto"/>
        </w:rPr>
      </w:pPr>
    </w:p>
    <w:p>
      <w:pPr>
        <w:jc w:val="both"/>
        <w:ind w:left="1180" w:hanging="803"/>
        <w:spacing w:after="0" w:line="308" w:lineRule="auto"/>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Form of Universal Electronics Inc. 2006 Stock Incentive Plan (Incorporated by reference to Appendix C to the Company's Definitive Proxy Materials for the 2006 Annual Meeting of Stockholders of Universal Electronics Inc. filed on April 26, 2006 (File No. 0-21044))</w:t>
      </w:r>
    </w:p>
    <w:p>
      <w:pPr>
        <w:spacing w:after="0" w:line="106" w:lineRule="exact"/>
        <w:rPr>
          <w:sz w:val="20"/>
          <w:szCs w:val="20"/>
          <w:color w:val="auto"/>
        </w:rPr>
      </w:pPr>
    </w:p>
    <w:p>
      <w:pPr>
        <w:jc w:val="both"/>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Lease dated January 31, 2007 between FirstCal Industrial 2 Acquisition, LLC and Universal Electronics Inc. (Incorporated by reference to Exhibit 10.26 to the Company's Annual Report on Form 10-K for the year ended December 31, 2006 filed on March 16, 2007 (File No. 0-21044))</w:t>
      </w:r>
    </w:p>
    <w:p>
      <w:pPr>
        <w:spacing w:after="0" w:line="141" w:lineRule="exact"/>
        <w:rPr>
          <w:sz w:val="20"/>
          <w:szCs w:val="20"/>
          <w:color w:val="auto"/>
        </w:rPr>
      </w:pPr>
    </w:p>
    <w:p>
      <w:pPr>
        <w:jc w:val="both"/>
        <w:ind w:left="1180" w:right="20" w:hanging="844"/>
        <w:spacing w:after="0" w:line="264" w:lineRule="auto"/>
        <w:tabs>
          <w:tab w:leader="none" w:pos="11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0-21044))</w:t>
      </w:r>
    </w:p>
    <w:p>
      <w:pPr>
        <w:sectPr>
          <w:pgSz w:w="11900" w:h="16838" w:orient="portrait"/>
          <w:cols w:equalWidth="0" w:num="1">
            <w:col w:w="11400"/>
          </w:cols>
          <w:pgMar w:left="240" w:top="118" w:right="25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118" w:right="25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3340" w:type="dxa"/>
            <w:vAlign w:val="bottom"/>
          </w:tcPr>
          <w:p>
            <w:pPr>
              <w:jc w:val="center"/>
              <w:ind w:right="208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108"/>
              <w:spacing w:after="0"/>
              <w:rPr>
                <w:sz w:val="20"/>
                <w:szCs w:val="20"/>
                <w:color w:val="auto"/>
              </w:rPr>
            </w:pPr>
            <w:r>
              <w:rPr>
                <w:rFonts w:ascii="Arial" w:cs="Arial" w:eastAsia="Arial" w:hAnsi="Arial"/>
                <w:sz w:val="14"/>
                <w:szCs w:val="14"/>
                <w:b w:val="1"/>
                <w:bCs w:val="1"/>
                <w:u w:val="single" w:color="auto"/>
                <w:color w:val="auto"/>
                <w:w w:val="98"/>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Unit Agreement (Incorporated herein by reference to Exhibit 4.5 to the Company's Form S-8 Registration Statement filed on March 27, 2008 (File No. 333-149926))</w:t>
      </w:r>
    </w:p>
    <w:p>
      <w:pPr>
        <w:spacing w:after="0" w:line="130"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Pledge Agreement dated November 1, 2010 between UEI Hong Kong Private Limited and Enson Assets Limited to U.S. Bank National Association (Incorporated by reference to Exhibit 10.30 to the Company's Annual Report on Form 10-K for the year ended December 31, 2010 filed on March 16, 2011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Security Agreement dated November 1, 2010 from Universal Electronics Inc. to U.S. Bank National Association (Incorporated by reference to Exhibit 10.31 to the Company's Annual Report on Form 10-K for the year ended December 31, 2010 filed on March 16, 2011 (File No. 0-21044))</w:t>
      </w:r>
    </w:p>
    <w:p>
      <w:pPr>
        <w:spacing w:after="0" w:line="141"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Universal Electronics Inc. 2010 Stock Incentive Plan (Incorporated by reference to Appendix C to the Company's Proxy Statement for its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2010 Annual Meeting of Stockholders filed on April 30, 2010 (File No. 0-21044))</w:t>
      </w:r>
    </w:p>
    <w:p>
      <w:pPr>
        <w:spacing w:after="0" w:line="170" w:lineRule="exact"/>
        <w:rPr>
          <w:sz w:val="20"/>
          <w:szCs w:val="20"/>
          <w:color w:val="auto"/>
        </w:rPr>
      </w:pPr>
    </w:p>
    <w:p>
      <w:pPr>
        <w:jc w:val="both"/>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Option Agreement used in connection with the Universal Electronics Inc. 2010 Stock Incentive Plan (Incorporated by reference to Exhibit 4.6 to the Company's Registration Statement on Form S-8 filed on July 5, 2011 (File No. 333-175345))</w:t>
      </w:r>
    </w:p>
    <w:p>
      <w:pPr>
        <w:spacing w:after="0" w:line="130" w:lineRule="exact"/>
        <w:rPr>
          <w:sz w:val="20"/>
          <w:szCs w:val="20"/>
          <w:color w:val="auto"/>
        </w:rPr>
      </w:pPr>
    </w:p>
    <w:p>
      <w:pPr>
        <w:jc w:val="both"/>
        <w:ind w:left="1180" w:right="20" w:hanging="848"/>
        <w:spacing w:after="0" w:line="342" w:lineRule="auto"/>
        <w:tabs>
          <w:tab w:leader="none" w:pos="11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Restricted Stock Unit Agreement used in connection with the Universal Electronics Inc. 2010 Stock Incentive Plan (Incorporated by reference to Exhibit 4.7 to the Company's Registration Statement on Form S-8 filed on July 5, 2011 (File No. 333-175345))</w:t>
      </w:r>
    </w:p>
    <w:p>
      <w:pPr>
        <w:spacing w:after="0" w:line="97" w:lineRule="exact"/>
        <w:rPr>
          <w:sz w:val="20"/>
          <w:szCs w:val="20"/>
          <w:color w:val="auto"/>
        </w:rPr>
      </w:pPr>
    </w:p>
    <w:p>
      <w:pPr>
        <w:jc w:val="both"/>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Second Amendment to Executive Officer Employment Agreement dated February 29, 2008 by and between Universal Electronics Inc. and Paul D. Arling (Incorporated by reference to Exhibit 10.31 to the Company's Annual Report on Form 10-K for the year ended December 31, 2012 filed on March 14, 2013 (File No. 0-21044))</w:t>
      </w:r>
    </w:p>
    <w:p>
      <w:pPr>
        <w:spacing w:after="0" w:line="141" w:lineRule="exact"/>
        <w:rPr>
          <w:sz w:val="20"/>
          <w:szCs w:val="20"/>
          <w:color w:val="auto"/>
        </w:rPr>
      </w:pPr>
    </w:p>
    <w:p>
      <w:pPr>
        <w:jc w:val="both"/>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Acknowledgment and Agreement of Pledgor dated October 26, 2011 from UEI Hong Kong Private Limited (Incorporated by reference to Exhibit 10.36 to the Company's Annual Report on Form 10-K for the year ended December 31, 2011 filed on March 14, 2012 (File No. 0-21044))</w:t>
      </w:r>
    </w:p>
    <w:p>
      <w:pPr>
        <w:spacing w:after="0" w:line="141" w:lineRule="exact"/>
        <w:rPr>
          <w:sz w:val="20"/>
          <w:szCs w:val="20"/>
          <w:color w:val="auto"/>
        </w:rPr>
      </w:pPr>
    </w:p>
    <w:p>
      <w:pPr>
        <w:jc w:val="both"/>
        <w:ind w:left="1180" w:right="20" w:hanging="803"/>
        <w:spacing w:after="0" w:line="342" w:lineRule="auto"/>
        <w:tabs>
          <w:tab w:leader="none" w:pos="11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Standard Office Lease between Universal Electronics Inc. and The Realty Associates Fund VIII, L.P., dated May 11, 2012 (Incorporated by references to Exhibit 10.1 to the Company's Current Report on Form 8-K dated May 11, 2012 filed on May 18, 2012 (File No. 0-21044))</w:t>
      </w:r>
    </w:p>
    <w:p>
      <w:pPr>
        <w:spacing w:after="0" w:line="83"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Amended and Restated Credit Agreement dated October 2, 2012 between Universal Electronics Inc. and U.S. Bank National Association (Incorporated by reference to Exhibit 10.36 to the Company's Annual Report on Form 10-K for the year ended December 31, 2012 filed on March 14, 2013 (File No. 0-21044))</w:t>
      </w:r>
    </w:p>
    <w:p>
      <w:pPr>
        <w:spacing w:after="0" w:line="141" w:lineRule="exact"/>
        <w:rPr>
          <w:sz w:val="20"/>
          <w:szCs w:val="20"/>
          <w:color w:val="auto"/>
        </w:rPr>
      </w:pPr>
    </w:p>
    <w:p>
      <w:pPr>
        <w:jc w:val="both"/>
        <w:ind w:left="1180" w:right="20" w:hanging="848"/>
        <w:spacing w:after="0" w:line="277" w:lineRule="auto"/>
        <w:tabs>
          <w:tab w:leader="none" w:pos="11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Summary of Universal Electronics Inc. 2013 Director Compensation (Incorporated by reference to Exhibit 10.34 to the Company's Annual Report on 10-K for the year ended December 31, 2013 filed on March 12, 2014 (File No. 0-21044))</w:t>
      </w:r>
    </w:p>
    <w:p>
      <w:pPr>
        <w:spacing w:after="0" w:line="130" w:lineRule="exact"/>
        <w:rPr>
          <w:sz w:val="20"/>
          <w:szCs w:val="20"/>
          <w:color w:val="auto"/>
        </w:rPr>
      </w:pPr>
    </w:p>
    <w:p>
      <w:pPr>
        <w:jc w:val="both"/>
        <w:ind w:left="1180" w:hanging="848"/>
        <w:spacing w:after="0" w:line="264" w:lineRule="auto"/>
        <w:tabs>
          <w:tab w:leader="none" w:pos="11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Universal Electronics Inc. 2003 Stock Incentive Plan, Universal Electronics Inc. Compensation Plan for Outside Members of the Board of Directors (2001), and Universal Electronics Inc. 2004 Directors' Compensation Plan (Incorporated by reference to the Company's Registration Statement on Form S-8 filed on March 12, 2014 (File No. 333-194511))</w:t>
      </w:r>
    </w:p>
    <w:p>
      <w:pPr>
        <w:spacing w:after="0" w:line="141" w:lineRule="exact"/>
        <w:rPr>
          <w:sz w:val="20"/>
          <w:szCs w:val="20"/>
          <w:color w:val="auto"/>
        </w:rPr>
      </w:pPr>
    </w:p>
    <w:p>
      <w:pPr>
        <w:jc w:val="both"/>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Universal Electronics Inc. 2014 Stock Incentive Plan (Incorporated by reference to Exhibit 4.5 to the Company's Registration Statement on Form S-8 filed on August 12, 2014 (File No. 333-198083))</w:t>
      </w:r>
    </w:p>
    <w:p>
      <w:pPr>
        <w:spacing w:after="0" w:line="130" w:lineRule="exact"/>
        <w:rPr>
          <w:sz w:val="20"/>
          <w:szCs w:val="20"/>
          <w:color w:val="auto"/>
        </w:rPr>
      </w:pPr>
    </w:p>
    <w:p>
      <w:pPr>
        <w:jc w:val="both"/>
        <w:ind w:left="1180" w:hanging="848"/>
        <w:spacing w:after="0" w:line="277" w:lineRule="auto"/>
        <w:tabs>
          <w:tab w:leader="none" w:pos="11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Option Agreement used in connection with the Universal Electronics Inc. 2014 Stock Incentive Plan (Incorporated by reference to Exhibit 4.6 to the Company's Registration Statement on Form S-8 filed on August 12, 2014 (File No. 333-198083))</w:t>
      </w:r>
    </w:p>
    <w:p>
      <w:pPr>
        <w:spacing w:after="0" w:line="130" w:lineRule="exact"/>
        <w:rPr>
          <w:sz w:val="20"/>
          <w:szCs w:val="20"/>
          <w:color w:val="auto"/>
        </w:rPr>
      </w:pPr>
    </w:p>
    <w:p>
      <w:pPr>
        <w:jc w:val="both"/>
        <w:ind w:left="1180" w:right="20" w:hanging="848"/>
        <w:spacing w:after="0" w:line="342" w:lineRule="auto"/>
        <w:tabs>
          <w:tab w:leader="none" w:pos="11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Form of Restricted Stock Unit Agreement used in connection with the Universal Electronics Inc. 2014 Stock Incentive Plan (Incorporated by reference to Exhibit 4.7 to the Company's Registration Statement on Form S-8 filed on August 12, 2014 (File No. 333-198083))</w:t>
      </w:r>
    </w:p>
    <w:p>
      <w:pPr>
        <w:spacing w:after="0" w:line="83"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First Amendment to Amended and Restated Credit Agreement dated October 9, 2014 between Universal Electronics Inc. and U.S. Bank National Association (Incorporated by reference to Exhibit 10.31 to the Company's Annual Report on Form 10-K for the year ended December 31, 2014 filed on March 5, 2015 (File No. 0-21044))</w:t>
      </w:r>
    </w:p>
    <w:p>
      <w:pPr>
        <w:spacing w:after="0" w:line="141" w:lineRule="exact"/>
        <w:rPr>
          <w:sz w:val="20"/>
          <w:szCs w:val="20"/>
          <w:color w:val="auto"/>
        </w:rPr>
      </w:pPr>
    </w:p>
    <w:p>
      <w:pPr>
        <w:jc w:val="both"/>
        <w:ind w:left="1180" w:hanging="803"/>
        <w:spacing w:after="0" w:line="264" w:lineRule="auto"/>
        <w:tabs>
          <w:tab w:leader="none" w:pos="11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Second Amendment to Amended and Restated Credit Agreement dated September 3, 2015 between Universal Electronics Inc. and U.S. Bank National Association (Incorporated by reference to Exhibit 10.1 to the Company's Quarterly Report on Form 10-Q for the quarter ended September 30, 2015 filed on November 6, 2015 (File No. 0-21044))</w:t>
      </w:r>
    </w:p>
    <w:p>
      <w:pPr>
        <w:sectPr>
          <w:pgSz w:w="11900" w:h="16838" w:orient="portrait"/>
          <w:cols w:equalWidth="0" w:num="1">
            <w:col w:w="11400"/>
          </w:cols>
          <w:pgMar w:left="240" w:top="118" w:right="25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118" w:right="25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3">
              <w:r>
                <w:rPr>
                  <w:rFonts w:ascii="Arial" w:cs="Arial" w:eastAsia="Arial" w:hAnsi="Arial"/>
                  <w:sz w:val="14"/>
                  <w:szCs w:val="14"/>
                  <w:b w:val="1"/>
                  <w:bCs w:val="1"/>
                  <w:color w:val="0000EE"/>
                  <w:w w:val="91"/>
                </w:rPr>
                <w:t>Table of Contents</w:t>
              </w:r>
            </w:hyperlink>
          </w:p>
        </w:tc>
        <w:tc>
          <w:tcPr>
            <w:tcW w:w="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320" w:type="dxa"/>
            <w:vAlign w:val="bottom"/>
          </w:tcPr>
          <w:p>
            <w:pPr>
              <w:spacing w:after="0"/>
              <w:rPr>
                <w:sz w:val="24"/>
                <w:szCs w:val="2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4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00" w:type="dxa"/>
            <w:vAlign w:val="bottom"/>
            <w:gridSpan w:val="2"/>
          </w:tcPr>
          <w:p>
            <w:pPr>
              <w:spacing w:after="0"/>
              <w:rPr>
                <w:sz w:val="13"/>
                <w:szCs w:val="13"/>
                <w:color w:val="auto"/>
              </w:rPr>
            </w:pPr>
          </w:p>
        </w:tc>
        <w:tc>
          <w:tcPr>
            <w:tcW w:w="44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4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10.29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1"/>
              </w:rPr>
              <w:t>Third Amendment to Amended and Restated Credit Agreement dated as of November 10, 2015 between Universal Electronics Inc. and U.S.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3"/>
              </w:rPr>
              <w:t>Bank National Association (Incorporated by reference to Exhibit 10.33 to the Company's Annual Report on Form 10-K for the year ended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December 31, 2015 filed on March 11, 2016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2"/>
              </w:rPr>
              <w:t>Fourth Amendment to Amended and Restated Credit Agreement dated as of February 3, 2016 between Universal Electronics Inc. and U.S.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3"/>
              </w:rPr>
              <w:t>Bank National Association (Incorporated by reference to Exhibit 10.34 to the Company's Annual Report on Form 10-K for the year ended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December 31, 2015 filed on March 11, 2016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7"/>
              </w:rPr>
              <w:t>Registration Rights Agreement dated March 9, 2016 between Universal Electronics Inc. and Comcast Corporation (Incorporated by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3"/>
              </w:rPr>
              <w:t>references to Exhibit 10.1 to the Company's Current Report on Form 8-K dated March 9, 2016 filed on March 9, 2016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1"/>
              </w:rPr>
              <w:t>Fifth Amendment to Amended and Restated Credit Agreement dated as of September 19, 2016 between Universal Electronics Inc. and U.S.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5"/>
              </w:rPr>
              <w:t>Bank National Association (Incorporated by reference to Exhibit 10.1 to the Company's Quarterly Report on Form 10-Q for the quarter</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ended September 30, 2016 filed on November 8, 2016 (File No. 0-21044))</w:t>
            </w:r>
          </w:p>
        </w:tc>
        <w:tc>
          <w:tcPr>
            <w:tcW w:w="0" w:type="dxa"/>
            <w:vAlign w:val="bottom"/>
          </w:tcPr>
          <w:p>
            <w:pPr>
              <w:spacing w:after="0"/>
              <w:rPr>
                <w:sz w:val="1"/>
                <w:szCs w:val="1"/>
                <w:color w:val="auto"/>
              </w:rPr>
            </w:pPr>
          </w:p>
        </w:tc>
      </w:tr>
      <w:tr>
        <w:trPr>
          <w:trHeight w:val="391"/>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3"/>
              </w:rPr>
              <w:t>Equity Transfer Agreement with Respect to Panyu Gemstar Project (Incorporated by reference to Exhibit 10.2 to the Company's Quarterly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Report on Form 10-Q for the quarter ended September 30, 2016 filed on November 8, 2016 (File No. 0-21044))</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2"/>
              </w:rPr>
              <w:t>*10.34</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0"/>
              </w:rPr>
              <w:t>Employment and Separation Agreement and General Release made and entered into on October 26, 2016 between Universal Electronics BV</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and Paul J.M. Bennett (filed herewith)</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10.35</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3"/>
              </w:rPr>
              <w:t>Sixth Amendment to Amended and Restated Credit Agreement dated as of January 18, 2017 between Universal Electronics Inc. and U.S.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Bank National Association (filed herewith)</w:t>
            </w:r>
          </w:p>
        </w:tc>
        <w:tc>
          <w:tcPr>
            <w:tcW w:w="0" w:type="dxa"/>
            <w:vAlign w:val="bottom"/>
          </w:tcPr>
          <w:p>
            <w:pPr>
              <w:spacing w:after="0"/>
              <w:rPr>
                <w:sz w:val="1"/>
                <w:szCs w:val="1"/>
                <w:color w:val="auto"/>
              </w:rPr>
            </w:pPr>
          </w:p>
        </w:tc>
      </w:tr>
      <w:tr>
        <w:trPr>
          <w:trHeight w:val="377"/>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14.1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 31,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2003 filed on March 14, 2004 (File No. 0-21044))</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21.1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23.1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Consent of Independent Registered Public Accounting Firm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24.1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31.2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7"/>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Section 1350 Certifications of the Chief Executive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32.2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w w:val="98"/>
              </w:rPr>
              <w:t>Section 1350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2"/>
              </w:rPr>
              <w:t>101.INS</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3"/>
              </w:rPr>
              <w:t>101.SCH</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7"/>
              </w:rPr>
              <w:t>101.CAL</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0"/>
              </w:rPr>
              <w:t>101.DEF</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98"/>
              </w:rPr>
              <w:t>101.LAB</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Arial" w:cs="Arial" w:eastAsia="Arial" w:hAnsi="Arial"/>
                <w:sz w:val="18"/>
                <w:szCs w:val="18"/>
                <w:color w:val="auto"/>
                <w:w w:val="88"/>
              </w:rPr>
              <w:t>101.PRE</w:t>
            </w:r>
          </w:p>
        </w:tc>
        <w:tc>
          <w:tcPr>
            <w:tcW w:w="1026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620" w:right="1780" w:hanging="4919"/>
        <w:spacing w:after="0" w:line="590" w:lineRule="auto"/>
        <w:tabs>
          <w:tab w:leader="none" w:pos="8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82</w:t>
      </w:r>
    </w:p>
    <w:p>
      <w:pPr>
        <w:sectPr>
          <w:pgSz w:w="11900" w:h="16838" w:orient="portrait"/>
          <w:cols w:equalWidth="0" w:num="1">
            <w:col w:w="11400"/>
          </w:cols>
          <w:pgMar w:left="240" w:top="113"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10.34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Employment and Separation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Release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This Employment and Separation Agreement and General Release </w:t>
      </w:r>
      <w:r>
        <w:rPr>
          <w:rFonts w:ascii="Arial" w:cs="Arial" w:eastAsia="Arial" w:hAnsi="Arial"/>
          <w:sz w:val="20"/>
          <w:szCs w:val="20"/>
          <w:color w:val="auto"/>
        </w:rPr>
        <w:t>(“Agreement”) is made and entered into this 26th day of</w:t>
      </w:r>
      <w:r>
        <w:rPr>
          <w:rFonts w:ascii="Arial" w:cs="Arial" w:eastAsia="Arial" w:hAnsi="Arial"/>
          <w:sz w:val="20"/>
          <w:szCs w:val="20"/>
          <w:b w:val="1"/>
          <w:bCs w:val="1"/>
          <w:color w:val="auto"/>
        </w:rPr>
        <w:t xml:space="preserve"> </w:t>
      </w:r>
      <w:r>
        <w:rPr>
          <w:rFonts w:ascii="Arial" w:cs="Arial" w:eastAsia="Arial" w:hAnsi="Arial"/>
          <w:sz w:val="20"/>
          <w:szCs w:val="20"/>
          <w:color w:val="auto"/>
        </w:rPr>
        <w:t>October, 2016 (the “Effective Date”) by and between Universal Electronics BV, a Netherlands Corporation (“UEBV”) on behalf of itself, its officers, directors, shareholders, employees and agents (in their individual and representative capacities), and its parent, affiliates, predecessor, successor, subsidiary and other related entities, and its insurers and each of them, jointly and severally (herein collectively called the “UEBV Entities”), and Paul J. M. Bennett, a Netherlands resident, on behalf of himself and his heirs, executors, guardians, administrators, successors and assigns, and each of them, jointly and severally (herein singularly and collectively called “Executive”), who agree to be bound by all of the terms and conditions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has been employed by and/or holds various director and/or employee positions of the various UEBV Entities,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collectively the “Positions”.</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has advised that he would like to retire and in this regard has indicated his willingness to work full time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2017 and thereafter work on a part-time basis until June 30, 2019, during which times he will assist in the transition and education of his successor and on such other projects on which his services may be requested; and</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effective on the “Separation Date” (as defined in Paragraph 2 of this Agreement), Executive’s employment with the UEBV</w:t>
      </w:r>
      <w:r>
        <w:rPr>
          <w:rFonts w:ascii="Arial" w:cs="Arial" w:eastAsia="Arial" w:hAnsi="Arial"/>
          <w:sz w:val="20"/>
          <w:szCs w:val="20"/>
          <w:b w:val="1"/>
          <w:bCs w:val="1"/>
          <w:color w:val="auto"/>
        </w:rPr>
        <w:t xml:space="preserve"> </w:t>
      </w:r>
      <w:r>
        <w:rPr>
          <w:rFonts w:ascii="Arial" w:cs="Arial" w:eastAsia="Arial" w:hAnsi="Arial"/>
          <w:sz w:val="20"/>
          <w:szCs w:val="20"/>
          <w:color w:val="auto"/>
        </w:rPr>
        <w:t>Entities shall be terminated and such termination shall be deemed voluntary and without cause for purposes of this Agreement, and on such date Executive shall voluntarily acknowledge and accept such termination; and</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the Effective Date, Executive shall resign all director and/or member positons with the UEBV Entities and shall execute</w:t>
      </w:r>
      <w:r>
        <w:rPr>
          <w:rFonts w:ascii="Arial" w:cs="Arial" w:eastAsia="Arial" w:hAnsi="Arial"/>
          <w:sz w:val="20"/>
          <w:szCs w:val="20"/>
          <w:b w:val="1"/>
          <w:bCs w:val="1"/>
          <w:color w:val="auto"/>
        </w:rPr>
        <w:t xml:space="preserve"> </w:t>
      </w:r>
      <w:r>
        <w:rPr>
          <w:rFonts w:ascii="Arial" w:cs="Arial" w:eastAsia="Arial" w:hAnsi="Arial"/>
          <w:sz w:val="20"/>
          <w:szCs w:val="20"/>
          <w:color w:val="auto"/>
        </w:rPr>
        <w:t>such documents as are necessary to effect such resignations.</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promises of the parties to this Agreement,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UEBV’s agreement to pay Executive pursuant to Paragraph 3 of this Agreement and the acceleration of the stock options and other stock awards pursuant to Paragraph 4 of this Agreement, the receipt and sufficiency of which are hereby acknowledged, Executive and UEBV (on behalf of itself and the UEBV Entities) agree as follows:</w:t>
      </w:r>
    </w:p>
    <w:p>
      <w:pPr>
        <w:spacing w:after="0" w:line="197" w:lineRule="exact"/>
        <w:rPr>
          <w:sz w:val="20"/>
          <w:szCs w:val="20"/>
          <w:color w:val="auto"/>
        </w:rPr>
      </w:pPr>
    </w:p>
    <w:p>
      <w:pPr>
        <w:ind w:left="1440" w:hanging="784"/>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20"/>
          <w:szCs w:val="20"/>
          <w:b w:val="1"/>
          <w:bCs w:val="1"/>
          <w:u w:val="single" w:color="auto"/>
          <w:color w:val="auto"/>
        </w:rPr>
        <w:t>EMPLOYMENT AND BOARD/MEMBER POSITIONS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color w:val="auto"/>
        </w:rPr>
      </w:pPr>
    </w:p>
    <w:p>
      <w:pPr>
        <w:jc w:val="both"/>
        <w:ind w:left="660" w:firstLine="645"/>
        <w:spacing w:after="0" w:line="272" w:lineRule="auto"/>
        <w:tabs>
          <w:tab w:leader="none" w:pos="2156" w:val="left"/>
        </w:tabs>
        <w:numPr>
          <w:ilvl w:val="1"/>
          <w:numId w:val="35"/>
        </w:numPr>
        <w:rPr>
          <w:rFonts w:ascii="Arial" w:cs="Arial" w:eastAsia="Arial" w:hAnsi="Arial"/>
          <w:sz w:val="18"/>
          <w:szCs w:val="18"/>
          <w:color w:val="auto"/>
        </w:rPr>
      </w:pPr>
      <w:r>
        <w:rPr>
          <w:rFonts w:ascii="Arial" w:cs="Arial" w:eastAsia="Arial" w:hAnsi="Arial"/>
          <w:sz w:val="20"/>
          <w:szCs w:val="20"/>
          <w:color w:val="auto"/>
        </w:rPr>
        <w:t xml:space="preserve">From the Effective Date until the end of business (Central European Time) on December 31, 2017 (or the Separation Date should it occur prior to December 31, 2017), Executive will continue to be employed by those UEBV Entities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retaining such employment titles as further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(until requested by Executive’s superiors to change such titles) and shall continue to serve the UEBV Entities as an employee, and shall faithfully, diligently, competently and, to the best of his ability, devote his full business time, energy and attention (unless otherwise agreed to by the parties) to the business of the UEBV Entities and to the promotion of their interest.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4" w:name="page85"/>
    <w:bookmarkEnd w:id="84"/>
    <w:p>
      <w:pPr>
        <w:jc w:val="both"/>
        <w:ind w:left="-540" w:firstLine="645"/>
        <w:spacing w:after="0" w:line="278" w:lineRule="auto"/>
        <w:tabs>
          <w:tab w:leader="none" w:pos="966" w:val="left"/>
        </w:tabs>
        <w:numPr>
          <w:ilvl w:val="0"/>
          <w:numId w:val="36"/>
        </w:numPr>
        <w:rPr>
          <w:rFonts w:ascii="Arial" w:cs="Arial" w:eastAsia="Arial" w:hAnsi="Arial"/>
          <w:sz w:val="18"/>
          <w:szCs w:val="18"/>
          <w:color w:val="auto"/>
        </w:rPr>
      </w:pPr>
      <w:r>
        <w:rPr>
          <w:rFonts w:ascii="Arial" w:cs="Arial" w:eastAsia="Arial" w:hAnsi="Arial"/>
          <w:sz w:val="20"/>
          <w:szCs w:val="20"/>
          <w:color w:val="auto"/>
        </w:rPr>
        <w:t xml:space="preserve">Immediately on the Effective Date, Executive shall resign all Board positions of any of the UEBV Entities (as such Board positions are also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by executing and delivering such letters of resignation in the form attached here 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6" w:lineRule="exact"/>
        <w:rPr>
          <w:rFonts w:ascii="Arial" w:cs="Arial" w:eastAsia="Arial" w:hAnsi="Arial"/>
          <w:sz w:val="18"/>
          <w:szCs w:val="18"/>
          <w:color w:val="auto"/>
        </w:rPr>
      </w:pPr>
    </w:p>
    <w:p>
      <w:pPr>
        <w:jc w:val="both"/>
        <w:ind w:left="-540" w:firstLine="645"/>
        <w:spacing w:after="0" w:line="287" w:lineRule="auto"/>
        <w:tabs>
          <w:tab w:leader="none" w:pos="956" w:val="left"/>
        </w:tabs>
        <w:numPr>
          <w:ilvl w:val="0"/>
          <w:numId w:val="36"/>
        </w:numPr>
        <w:rPr>
          <w:rFonts w:ascii="Arial" w:cs="Arial" w:eastAsia="Arial" w:hAnsi="Arial"/>
          <w:sz w:val="17"/>
          <w:szCs w:val="17"/>
          <w:color w:val="auto"/>
        </w:rPr>
      </w:pPr>
      <w:r>
        <w:rPr>
          <w:rFonts w:ascii="Arial" w:cs="Arial" w:eastAsia="Arial" w:hAnsi="Arial"/>
          <w:sz w:val="19"/>
          <w:szCs w:val="19"/>
          <w:color w:val="auto"/>
        </w:rPr>
        <w:t xml:space="preserve">Effective on and commencing on January 1, 2018 and continuing until the end of business (Central European Time) on the Separation Date, Executive will continue to be employed by those UEBV Entities as further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retaining such employment titles as further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(until requested by Executive’s superiors to change such titles), and shall faithfully, diligently, competently and, to the best of his ability, devote no less than 20 hours per week of his business time, energy and attention (unless otherwise agreed to by the parties) to the business of the UEBV Entities and to the promotion of their interest, although it is understood and agreed to by the parties that commencing on January 1, 2018 Executive shall no longer be required to maintain a presence in the offices of UEBV.</w:t>
      </w:r>
    </w:p>
    <w:p>
      <w:pPr>
        <w:spacing w:after="0" w:line="183" w:lineRule="exact"/>
        <w:rPr>
          <w:rFonts w:ascii="Arial" w:cs="Arial" w:eastAsia="Arial" w:hAnsi="Arial"/>
          <w:sz w:val="17"/>
          <w:szCs w:val="17"/>
          <w:color w:val="auto"/>
        </w:rPr>
      </w:pPr>
    </w:p>
    <w:p>
      <w:pPr>
        <w:jc w:val="both"/>
        <w:ind w:left="-540" w:firstLine="645"/>
        <w:spacing w:after="0" w:line="272" w:lineRule="auto"/>
        <w:tabs>
          <w:tab w:leader="none" w:pos="966" w:val="left"/>
        </w:tabs>
        <w:numPr>
          <w:ilvl w:val="0"/>
          <w:numId w:val="36"/>
        </w:numPr>
        <w:rPr>
          <w:rFonts w:ascii="Arial" w:cs="Arial" w:eastAsia="Arial" w:hAnsi="Arial"/>
          <w:sz w:val="18"/>
          <w:szCs w:val="18"/>
          <w:color w:val="auto"/>
        </w:rPr>
      </w:pPr>
      <w:r>
        <w:rPr>
          <w:rFonts w:ascii="Arial" w:cs="Arial" w:eastAsia="Arial" w:hAnsi="Arial"/>
          <w:sz w:val="20"/>
          <w:szCs w:val="20"/>
          <w:color w:val="auto"/>
        </w:rPr>
        <w:t>During Executive’s employment and until the Separation Date, Executive shall report to the Chief Executive Officer of Universal Electronics Inc. (“UEI”) and perform those duties and carry out those responsibilities as shall be assigned to him from time to time by UEI’s Chief Executive Officer, which duties and responsibilities shall include, without limitation, assisting in the search for, hiring of, and training and other education of members in the UEBV organization, including his successor (which shall include introducing his successor to clients, customers, suppliers, and other company relations) and such other projects or duties as shall be assigned to Executive from time to time.</w:t>
      </w:r>
    </w:p>
    <w:p>
      <w:pPr>
        <w:spacing w:after="0" w:line="191" w:lineRule="exact"/>
        <w:rPr>
          <w:rFonts w:ascii="Arial" w:cs="Arial" w:eastAsia="Arial" w:hAnsi="Arial"/>
          <w:sz w:val="18"/>
          <w:szCs w:val="18"/>
          <w:color w:val="auto"/>
        </w:rPr>
      </w:pPr>
    </w:p>
    <w:p>
      <w:pPr>
        <w:jc w:val="both"/>
        <w:ind w:left="-540" w:firstLine="645"/>
        <w:spacing w:after="0" w:line="273" w:lineRule="auto"/>
        <w:tabs>
          <w:tab w:leader="none" w:pos="956" w:val="left"/>
        </w:tabs>
        <w:numPr>
          <w:ilvl w:val="0"/>
          <w:numId w:val="36"/>
        </w:numPr>
        <w:rPr>
          <w:rFonts w:ascii="Arial" w:cs="Arial" w:eastAsia="Arial" w:hAnsi="Arial"/>
          <w:sz w:val="18"/>
          <w:szCs w:val="18"/>
          <w:color w:val="auto"/>
        </w:rPr>
      </w:pPr>
      <w:r>
        <w:rPr>
          <w:rFonts w:ascii="Arial" w:cs="Arial" w:eastAsia="Arial" w:hAnsi="Arial"/>
          <w:sz w:val="20"/>
          <w:szCs w:val="20"/>
          <w:color w:val="auto"/>
        </w:rPr>
        <w:t>Executive recognizes that the UEBV Entities’ organization, business and relationship with clients, prospective clients and others having business dealings with the UEBV Entities are and will be the sole property of the UEBV Entities and Executive shall have no separate interests or rights with respect thereto, except as an employee of the UEBV Entities. Executive may own less than a five percent (5%) interest in a supplier, customer, client, or competitor of UEI if the supplier, client, or competitor is a publicly traded company.</w:t>
      </w:r>
    </w:p>
    <w:p>
      <w:pPr>
        <w:spacing w:after="0" w:line="191" w:lineRule="exact"/>
        <w:rPr>
          <w:rFonts w:ascii="Arial" w:cs="Arial" w:eastAsia="Arial" w:hAnsi="Arial"/>
          <w:sz w:val="18"/>
          <w:szCs w:val="18"/>
          <w:color w:val="auto"/>
        </w:rPr>
      </w:pPr>
    </w:p>
    <w:p>
      <w:pPr>
        <w:jc w:val="both"/>
        <w:ind w:left="-540" w:firstLine="645"/>
        <w:spacing w:after="0" w:line="301" w:lineRule="auto"/>
        <w:tabs>
          <w:tab w:leader="none" w:pos="936" w:val="left"/>
        </w:tabs>
        <w:numPr>
          <w:ilvl w:val="0"/>
          <w:numId w:val="36"/>
        </w:numPr>
        <w:rPr>
          <w:rFonts w:ascii="Arial" w:cs="Arial" w:eastAsia="Arial" w:hAnsi="Arial"/>
          <w:sz w:val="16"/>
          <w:szCs w:val="16"/>
          <w:color w:val="auto"/>
        </w:rPr>
      </w:pPr>
      <w:r>
        <w:rPr>
          <w:rFonts w:ascii="Arial" w:cs="Arial" w:eastAsia="Arial" w:hAnsi="Arial"/>
          <w:sz w:val="18"/>
          <w:szCs w:val="18"/>
          <w:color w:val="auto"/>
        </w:rPr>
        <w:t>Executive agrees that the UEBV Entities shall be entitled to all of the benefits, emoluments, profits, discoveries or other issues arising from, incident to and related to any and all work, services and advice of Executive to the UEBV Entities in carrying out his duties and responsibilities hereunder. During Executive’s employment, Executive shall not, without the written consent of the UEBV Entities, directly or indirectly, render services to or for any person, firm, corporation or other entity or organization, whether or not in exchange for compensation, regardless of the form in which such compensation, if any, is paid and whether or not it is paid directly or indirectly to him if the rendering of such service would interfere with the performance of his duties and responsibilities to the UEBV Entities hereunder or are otherwise in competition with the UEBV Entities. Notwithstanding the foregoing sentence, Executive may spend time and attention to personal investment and community activity matters and such other personal matters consistent with the UEBV Entities’ policies and procedures set forth within the UEBV Entities’ policy manuals in effect from time to time which are equally applicable to all of UEI’s employees, so long as the spending of such time and attention does not substantially interfere with the performance of his duties and responsibilities to the UEBV Entities hereunder; provided however, that the UEBV Entities understands and agrees that during his employment until the Separation Date, Executive shall be permitted to devote a reasonable amount of time during the work day to seek new employment or other professional opportunities.</w:t>
      </w:r>
    </w:p>
    <w:p>
      <w:pPr>
        <w:spacing w:after="0" w:line="177" w:lineRule="exact"/>
        <w:rPr>
          <w:rFonts w:ascii="Arial" w:cs="Arial" w:eastAsia="Arial" w:hAnsi="Arial"/>
          <w:sz w:val="16"/>
          <w:szCs w:val="16"/>
          <w:color w:val="auto"/>
        </w:rPr>
      </w:pPr>
    </w:p>
    <w:p>
      <w:pPr>
        <w:ind w:left="-540" w:firstLine="645"/>
        <w:spacing w:after="0" w:line="289" w:lineRule="auto"/>
        <w:tabs>
          <w:tab w:leader="none" w:pos="966" w:val="left"/>
        </w:tabs>
        <w:numPr>
          <w:ilvl w:val="0"/>
          <w:numId w:val="36"/>
        </w:numPr>
        <w:rPr>
          <w:rFonts w:ascii="Arial" w:cs="Arial" w:eastAsia="Arial" w:hAnsi="Arial"/>
          <w:sz w:val="18"/>
          <w:szCs w:val="18"/>
          <w:color w:val="auto"/>
        </w:rPr>
      </w:pPr>
      <w:r>
        <w:rPr>
          <w:rFonts w:ascii="Arial" w:cs="Arial" w:eastAsia="Arial" w:hAnsi="Arial"/>
          <w:sz w:val="20"/>
          <w:szCs w:val="20"/>
          <w:color w:val="auto"/>
        </w:rPr>
        <w:t>During the period of Executive’s employment with the UEBV Entities from the Effective Date until the Separation Date, the UEBV Entities shall pay and/or provide to Executive the following:</w:t>
      </w:r>
    </w:p>
    <w:p>
      <w:pPr>
        <w:spacing w:after="0" w:line="175" w:lineRule="exact"/>
        <w:rPr>
          <w:rFonts w:ascii="Arial" w:cs="Arial" w:eastAsia="Arial" w:hAnsi="Arial"/>
          <w:sz w:val="18"/>
          <w:szCs w:val="18"/>
          <w:color w:val="auto"/>
        </w:rPr>
      </w:pPr>
    </w:p>
    <w:p>
      <w:pPr>
        <w:jc w:val="both"/>
        <w:ind w:left="100" w:firstLine="653"/>
        <w:spacing w:after="0" w:line="314" w:lineRule="auto"/>
        <w:tabs>
          <w:tab w:leader="none" w:pos="1566" w:val="left"/>
        </w:tabs>
        <w:numPr>
          <w:ilvl w:val="1"/>
          <w:numId w:val="36"/>
        </w:numPr>
        <w:rPr>
          <w:rFonts w:ascii="Arial" w:cs="Arial" w:eastAsia="Arial" w:hAnsi="Arial"/>
          <w:sz w:val="16"/>
          <w:szCs w:val="16"/>
          <w:color w:val="auto"/>
        </w:rPr>
      </w:pPr>
      <w:r>
        <w:rPr>
          <w:rFonts w:ascii="Arial" w:cs="Arial" w:eastAsia="Arial" w:hAnsi="Arial"/>
          <w:sz w:val="18"/>
          <w:szCs w:val="18"/>
          <w:color w:val="auto"/>
        </w:rPr>
        <w:t>From the Effective Date and continuing until the end of business (Central European Time) on December 31, 2017 (or the Separation Date should it occur prior to December 31, 2017), a base salary equal to Executive’s base salary in place and paid to him by the UEBV Entities in the same percentage split as immediately prior to the Effective Date and otherwise in accordance with the UEBV Entities’ standard and established payroll practices and procedures.</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595" w:right="239" w:bottom="1440" w:gutter="0" w:footer="0" w:header="0"/>
        </w:sectPr>
      </w:pPr>
    </w:p>
    <w:bookmarkStart w:id="85" w:name="page86"/>
    <w:bookmarkEnd w:id="85"/>
    <w:p>
      <w:pPr>
        <w:jc w:val="both"/>
        <w:ind w:left="1300" w:firstLine="653"/>
        <w:spacing w:after="0" w:line="314" w:lineRule="auto"/>
        <w:tabs>
          <w:tab w:leader="none" w:pos="2816" w:val="left"/>
        </w:tabs>
        <w:numPr>
          <w:ilvl w:val="2"/>
          <w:numId w:val="37"/>
        </w:numPr>
        <w:rPr>
          <w:rFonts w:ascii="Arial" w:cs="Arial" w:eastAsia="Arial" w:hAnsi="Arial"/>
          <w:sz w:val="16"/>
          <w:szCs w:val="16"/>
          <w:color w:val="auto"/>
        </w:rPr>
      </w:pPr>
      <w:r>
        <w:rPr>
          <w:rFonts w:ascii="Arial" w:cs="Arial" w:eastAsia="Arial" w:hAnsi="Arial"/>
          <w:sz w:val="18"/>
          <w:szCs w:val="18"/>
          <w:color w:val="auto"/>
        </w:rPr>
        <w:t>Commencing on January 1, 2018 and continuing until the end of business (Central European Time) on the Separation Date, a base salary equal to the monthly rate of Fourteen Thousand, Four Hundred Forty-Four and 45/100 Euros (€14.444,45), to be paid to him by the UEBV Entities in the same percentage split as immediately prior to January 1, 2018 and otherwise in accordance with the UEBV Entities’ standard and established payroll practices and procedures.</w:t>
      </w:r>
    </w:p>
    <w:p>
      <w:pPr>
        <w:spacing w:after="0" w:line="145" w:lineRule="exact"/>
        <w:rPr>
          <w:rFonts w:ascii="Arial" w:cs="Arial" w:eastAsia="Arial" w:hAnsi="Arial"/>
          <w:sz w:val="16"/>
          <w:szCs w:val="16"/>
          <w:color w:val="auto"/>
        </w:rPr>
      </w:pPr>
    </w:p>
    <w:p>
      <w:pPr>
        <w:jc w:val="both"/>
        <w:ind w:left="1300" w:firstLine="653"/>
        <w:spacing w:after="0" w:line="246" w:lineRule="auto"/>
        <w:tabs>
          <w:tab w:leader="none" w:pos="2533" w:val="left"/>
        </w:tabs>
        <w:numPr>
          <w:ilvl w:val="2"/>
          <w:numId w:val="37"/>
        </w:numPr>
        <w:rPr>
          <w:rFonts w:ascii="Arial" w:cs="Arial" w:eastAsia="Arial" w:hAnsi="Arial"/>
          <w:sz w:val="20"/>
          <w:szCs w:val="20"/>
          <w:color w:val="auto"/>
        </w:rPr>
      </w:pPr>
      <w:r>
        <w:rPr>
          <w:rFonts w:ascii="Arial" w:cs="Arial" w:eastAsia="Arial" w:hAnsi="Arial"/>
          <w:sz w:val="20"/>
          <w:szCs w:val="20"/>
          <w:color w:val="auto"/>
        </w:rPr>
        <w:t>So long as Executive remains in the employ of the UEBV Entities through and until June 30, 2019 and is otherwise not in breach of any of the terms of this Agreement, Executive shall be entitled to a stay bonus equal to One Hundred, Twenty-Five Thousand and 00/100 Euros (€125.000,00) (the “Stay Bonus”), which shall be paid to him at the time of payment of his final payroll as set forth in Paragraph 3.</w:t>
      </w:r>
    </w:p>
    <w:p>
      <w:pPr>
        <w:spacing w:after="0" w:line="191" w:lineRule="exact"/>
        <w:rPr>
          <w:rFonts w:ascii="Arial" w:cs="Arial" w:eastAsia="Arial" w:hAnsi="Arial"/>
          <w:sz w:val="20"/>
          <w:szCs w:val="20"/>
          <w:color w:val="auto"/>
        </w:rPr>
      </w:pPr>
    </w:p>
    <w:p>
      <w:pPr>
        <w:jc w:val="both"/>
        <w:ind w:left="1300" w:firstLine="653"/>
        <w:spacing w:after="0" w:line="257" w:lineRule="auto"/>
        <w:tabs>
          <w:tab w:leader="none" w:pos="2454" w:val="left"/>
        </w:tabs>
        <w:numPr>
          <w:ilvl w:val="2"/>
          <w:numId w:val="37"/>
        </w:numPr>
        <w:rPr>
          <w:rFonts w:ascii="Arial" w:cs="Arial" w:eastAsia="Arial" w:hAnsi="Arial"/>
          <w:sz w:val="19"/>
          <w:szCs w:val="19"/>
          <w:color w:val="auto"/>
        </w:rPr>
      </w:pPr>
      <w:r>
        <w:rPr>
          <w:rFonts w:ascii="Arial" w:cs="Arial" w:eastAsia="Arial" w:hAnsi="Arial"/>
          <w:sz w:val="19"/>
          <w:szCs w:val="19"/>
          <w:color w:val="auto"/>
        </w:rPr>
        <w:t>All benefits listed in this subparagraph 1(g)(iv) and that were in place and provided to Executive by the UEBV Entities and on the same terms and conditions in effect immediately prior to the Effective Date, which benefits include vacation, life, health and disability insurances, automobile allowance, and participation in Executive’s pension scheme and the 2016 bonus plan ratified and approved by the Board of Directors of UEI at its meeting held on December 9, 2015 and the 2017 bonus plan, if any, that may be ratified and approved by the Board of Directors of UEI during the fourth quarter of 2016. Executive further acknowledges and agree that as of the Effective Date, except as set forth in this subparagraph 1(g)(iv) he shall no longer participate in nor be entitled to any bonus programs or plans or new stock option or restricted stock grants or issuances established and/or approved after the Effective Date.</w:t>
      </w:r>
    </w:p>
    <w:p>
      <w:pPr>
        <w:spacing w:after="0" w:line="181" w:lineRule="exact"/>
        <w:rPr>
          <w:rFonts w:ascii="Arial" w:cs="Arial" w:eastAsia="Arial" w:hAnsi="Arial"/>
          <w:sz w:val="19"/>
          <w:szCs w:val="19"/>
          <w:color w:val="auto"/>
        </w:rPr>
      </w:pPr>
    </w:p>
    <w:p>
      <w:pPr>
        <w:jc w:val="both"/>
        <w:ind w:left="1300" w:firstLine="653"/>
        <w:spacing w:after="0" w:line="250" w:lineRule="auto"/>
        <w:tabs>
          <w:tab w:leader="none" w:pos="2440" w:val="left"/>
        </w:tabs>
        <w:numPr>
          <w:ilvl w:val="2"/>
          <w:numId w:val="37"/>
        </w:numPr>
        <w:rPr>
          <w:rFonts w:ascii="Arial" w:cs="Arial" w:eastAsia="Arial" w:hAnsi="Arial"/>
          <w:sz w:val="20"/>
          <w:szCs w:val="20"/>
          <w:color w:val="auto"/>
        </w:rPr>
      </w:pPr>
      <w:r>
        <w:rPr>
          <w:rFonts w:ascii="Arial" w:cs="Arial" w:eastAsia="Arial" w:hAnsi="Arial"/>
          <w:sz w:val="20"/>
          <w:szCs w:val="20"/>
          <w:color w:val="auto"/>
        </w:rPr>
        <w:t>All previously granted stock options and restricted stock awards shall continue to vest in accordance with the terms of such grants, awards, and stock incentive plans and agreements provided to Executive prior to the Effective Date, all as set forth in Paragraph 4.</w:t>
      </w:r>
    </w:p>
    <w:p>
      <w:pPr>
        <w:spacing w:after="0" w:line="199" w:lineRule="exact"/>
        <w:rPr>
          <w:rFonts w:ascii="Arial" w:cs="Arial" w:eastAsia="Arial" w:hAnsi="Arial"/>
          <w:sz w:val="20"/>
          <w:szCs w:val="20"/>
          <w:color w:val="auto"/>
        </w:rPr>
      </w:pPr>
    </w:p>
    <w:p>
      <w:pPr>
        <w:jc w:val="both"/>
        <w:ind w:left="660" w:firstLine="645"/>
        <w:spacing w:after="0" w:line="273" w:lineRule="auto"/>
        <w:tabs>
          <w:tab w:leader="none" w:pos="2166" w:val="left"/>
        </w:tabs>
        <w:numPr>
          <w:ilvl w:val="1"/>
          <w:numId w:val="38"/>
        </w:numPr>
        <w:rPr>
          <w:rFonts w:ascii="Arial" w:cs="Arial" w:eastAsia="Arial" w:hAnsi="Arial"/>
          <w:sz w:val="18"/>
          <w:szCs w:val="18"/>
          <w:color w:val="auto"/>
        </w:rPr>
      </w:pPr>
      <w:r>
        <w:rPr>
          <w:rFonts w:ascii="Arial" w:cs="Arial" w:eastAsia="Arial" w:hAnsi="Arial"/>
          <w:sz w:val="20"/>
          <w:szCs w:val="20"/>
          <w:color w:val="auto"/>
        </w:rPr>
        <w:t>Notwithstanding anything contained in this Agreement to the contrary, Executive may resign prior to the June 30, 2019, in which event, all compensation as set forth in this Paragraph 1 (including specifically and without limitation, the Stay Bonus) shall cease on such resignation date, and for which Executive acknowledges and agrees that he has no independent right to any such compensation and specifically the Stay Bonus, and except for those provisions which by their terms survive, this Agreement shall terminate without further action by the parties.</w:t>
      </w:r>
    </w:p>
    <w:p>
      <w:pPr>
        <w:spacing w:after="0" w:line="185" w:lineRule="exact"/>
        <w:rPr>
          <w:rFonts w:ascii="Arial" w:cs="Arial" w:eastAsia="Arial" w:hAnsi="Arial"/>
          <w:sz w:val="18"/>
          <w:szCs w:val="18"/>
          <w:color w:val="auto"/>
        </w:rPr>
      </w:pPr>
    </w:p>
    <w:p>
      <w:pPr>
        <w:jc w:val="both"/>
        <w:ind w:firstLine="656"/>
        <w:spacing w:after="0" w:line="316" w:lineRule="auto"/>
        <w:tabs>
          <w:tab w:leader="none" w:pos="1431" w:val="left"/>
        </w:tabs>
        <w:numPr>
          <w:ilvl w:val="0"/>
          <w:numId w:val="39"/>
        </w:numPr>
        <w:rPr>
          <w:rFonts w:ascii="Arial" w:cs="Arial" w:eastAsia="Arial" w:hAnsi="Arial"/>
          <w:sz w:val="16"/>
          <w:szCs w:val="16"/>
          <w:color w:val="auto"/>
        </w:rPr>
      </w:pPr>
      <w:r>
        <w:rPr>
          <w:rFonts w:ascii="Arial" w:cs="Arial" w:eastAsia="Arial" w:hAnsi="Arial"/>
          <w:sz w:val="18"/>
          <w:szCs w:val="18"/>
          <w:b w:val="1"/>
          <w:bCs w:val="1"/>
          <w:u w:val="single" w:color="auto"/>
          <w:color w:val="auto"/>
        </w:rPr>
        <w:t>SEPARATION AS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resignations as set forth in subparagraphs 1(b) and 1(c), effective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business on June 30, 2019 (Central European Time) (or such earlier date should Executive resign earlier) (the “Separation Date”), Executive’s employment with UEBV shall be terminated without further action needed to be taken by UEBV or Executive and such termination shall be deemed voluntary and without cause and Executive hereby voluntarily acknowledges and accepts such termination.</w:t>
      </w:r>
    </w:p>
    <w:p>
      <w:pPr>
        <w:spacing w:after="0" w:line="152" w:lineRule="exact"/>
        <w:rPr>
          <w:rFonts w:ascii="Arial" w:cs="Arial" w:eastAsia="Arial" w:hAnsi="Arial"/>
          <w:sz w:val="16"/>
          <w:szCs w:val="16"/>
          <w:color w:val="auto"/>
        </w:rPr>
      </w:pPr>
    </w:p>
    <w:p>
      <w:pPr>
        <w:jc w:val="both"/>
        <w:ind w:firstLine="656"/>
        <w:spacing w:after="0" w:line="287" w:lineRule="auto"/>
        <w:tabs>
          <w:tab w:leader="none" w:pos="1431" w:val="left"/>
        </w:tabs>
        <w:numPr>
          <w:ilvl w:val="0"/>
          <w:numId w:val="39"/>
        </w:numPr>
        <w:rPr>
          <w:rFonts w:ascii="Arial" w:cs="Arial" w:eastAsia="Arial" w:hAnsi="Arial"/>
          <w:sz w:val="17"/>
          <w:szCs w:val="17"/>
          <w:color w:val="auto"/>
        </w:rPr>
      </w:pPr>
      <w:r>
        <w:rPr>
          <w:rFonts w:ascii="Arial" w:cs="Arial" w:eastAsia="Arial" w:hAnsi="Arial"/>
          <w:sz w:val="19"/>
          <w:szCs w:val="19"/>
          <w:b w:val="1"/>
          <w:bCs w:val="1"/>
          <w:u w:val="single" w:color="auto"/>
          <w:color w:val="auto"/>
        </w:rPr>
        <w:t>PAYMENTS ON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On the Separation Date, the UEBV Entities will pay to Executive, in the same percentage</w:t>
      </w:r>
      <w:r>
        <w:rPr>
          <w:rFonts w:ascii="Arial" w:cs="Arial" w:eastAsia="Arial" w:hAnsi="Arial"/>
          <w:sz w:val="19"/>
          <w:szCs w:val="19"/>
          <w:b w:val="1"/>
          <w:bCs w:val="1"/>
          <w:color w:val="auto"/>
        </w:rPr>
        <w:t xml:space="preserve"> </w:t>
      </w:r>
      <w:r>
        <w:rPr>
          <w:rFonts w:ascii="Arial" w:cs="Arial" w:eastAsia="Arial" w:hAnsi="Arial"/>
          <w:sz w:val="19"/>
          <w:szCs w:val="19"/>
          <w:color w:val="auto"/>
        </w:rPr>
        <w:t>split as immediately prior to the Separation Date and otherwise in accordance with the UEBV Entities’ standard and established payroll practices and procedures, Executive’s final payroll and Stay Bonus (provided however, the Stay Bonus will only be included in this final pay if Executive is entitled to the Stay Bonus as set forth in subparagraph 1(g)(iii)), less deduction of appropriate taxes and other customary withholdings. Such final pay (and Stay Bonus, if entitled) shall be given to Executive on the Separation Date, the receipt of which will be acknowledged by Executive in writing upon receipt, or in the absence of such written acknowledgment, shall be acknowledged by accepting and depositing such final pay (and Stay Bonus, if entitled) by Executive. Executive acknowledges and agrees that such final pay (and Stay Bonus, if entitled) represent all compensation, salary, profit sharing, bonuses, commissions and any other payments, benefits or other compensation of any kind to which Executive is entitled.</w:t>
      </w:r>
    </w:p>
    <w:p>
      <w:pPr>
        <w:spacing w:after="0" w:line="174" w:lineRule="exact"/>
        <w:rPr>
          <w:rFonts w:ascii="Arial" w:cs="Arial" w:eastAsia="Arial" w:hAnsi="Arial"/>
          <w:sz w:val="17"/>
          <w:szCs w:val="17"/>
          <w:color w:val="auto"/>
        </w:rPr>
      </w:pPr>
    </w:p>
    <w:p>
      <w:pPr>
        <w:jc w:val="both"/>
        <w:ind w:firstLine="656"/>
        <w:spacing w:after="0" w:line="281" w:lineRule="auto"/>
        <w:tabs>
          <w:tab w:leader="none" w:pos="1431"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STOCK OPTIONS AND OTHER STOCK AWARDS</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Effective Date, Executive hereby agrees that all stock</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and other stock awards granted to Executive and/or to which Executive has been promised or entitled are as listed below and Executive acknowledges, represents, warrants and agrees that (i) this Paragraph 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5" w:right="23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20"/>
          <w:szCs w:val="20"/>
          <w:color w:val="auto"/>
        </w:rPr>
        <w:t>accurately lists all stock options and other stock awards granted to Executive which have either not expired or have not been fully exercised, (ii) there are no other stock options or other stock awards which have been granted to Executive which have either not expired or have not been fully exercised, (iii) except as otherwise set forth herein, Executive has not exercised any of the stock options as listed herein, (iv) no other stock options, stock awards, or any other stock-based compensation have been promised to Executive, and (v) Executive is not entitled to any other stock options, stock awards, or stock-based compensation nor shall he be entitled to any other stock options, stock awards, or stock-based compensation during the term of this Agreement.</w:t>
      </w:r>
    </w:p>
    <w:p>
      <w:pPr>
        <w:spacing w:after="0" w:line="178"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20"/>
          <w:szCs w:val="20"/>
          <w:i w:val="1"/>
          <w:iCs w:val="1"/>
          <w:u w:val="single" w:color="auto"/>
          <w:color w:val="auto"/>
        </w:rPr>
        <w:t>Stock Options</w:t>
      </w:r>
      <w:r>
        <w:rPr>
          <w:rFonts w:ascii="Arial" w:cs="Arial" w:eastAsia="Arial" w:hAnsi="Arial"/>
          <w:sz w:val="20"/>
          <w:szCs w:val="20"/>
          <w:i w:val="1"/>
          <w:iCs w:val="1"/>
          <w:color w:val="auto"/>
        </w:rPr>
        <w:t>.</w:t>
      </w:r>
    </w:p>
    <w:p>
      <w:pPr>
        <w:spacing w:after="0" w:line="348" w:lineRule="exact"/>
        <w:rPr>
          <w:sz w:val="20"/>
          <w:szCs w:val="20"/>
          <w:color w:val="auto"/>
        </w:rPr>
      </w:pPr>
    </w:p>
    <w:tbl>
      <w:tblPr>
        <w:tblLayout w:type="fixed"/>
        <w:tblInd w:w="230" w:type="dxa"/>
        <w:tblCellMar>
          <w:top w:w="0" w:type="dxa"/>
          <w:left w:w="0" w:type="dxa"/>
          <w:bottom w:w="0" w:type="dxa"/>
          <w:right w:w="0" w:type="dxa"/>
        </w:tblCellMar>
      </w:tblPr>
      <w:tr>
        <w:trPr>
          <w:trHeight w:val="148"/>
        </w:trPr>
        <w:tc>
          <w:tcPr>
            <w:tcW w:w="1400" w:type="dxa"/>
            <w:vAlign w:val="bottom"/>
            <w:tcBorders>
              <w:top w:val="single" w:sz="8" w:color="auto"/>
              <w:left w:val="single" w:sz="8" w:color="auto"/>
            </w:tcBorders>
            <w:shd w:val="clear" w:color="auto" w:fill="BDE782"/>
          </w:tcPr>
          <w:p>
            <w:pPr>
              <w:spacing w:after="0"/>
              <w:rPr>
                <w:sz w:val="12"/>
                <w:szCs w:val="12"/>
                <w:color w:val="auto"/>
              </w:rPr>
            </w:pPr>
          </w:p>
        </w:tc>
        <w:tc>
          <w:tcPr>
            <w:tcW w:w="1040" w:type="dxa"/>
            <w:vAlign w:val="bottom"/>
            <w:tcBorders>
              <w:top w:val="single" w:sz="8" w:color="auto"/>
            </w:tcBorders>
            <w:shd w:val="clear" w:color="auto" w:fill="BDE782"/>
          </w:tcPr>
          <w:p>
            <w:pPr>
              <w:spacing w:after="0"/>
              <w:rPr>
                <w:sz w:val="12"/>
                <w:szCs w:val="12"/>
                <w:color w:val="auto"/>
              </w:rPr>
            </w:pPr>
          </w:p>
        </w:tc>
        <w:tc>
          <w:tcPr>
            <w:tcW w:w="1220" w:type="dxa"/>
            <w:vAlign w:val="bottom"/>
            <w:tcBorders>
              <w:top w:val="single" w:sz="8" w:color="auto"/>
            </w:tcBorders>
            <w:shd w:val="clear" w:color="auto" w:fill="BDE782"/>
          </w:tcPr>
          <w:p>
            <w:pPr>
              <w:spacing w:after="0"/>
              <w:rPr>
                <w:sz w:val="12"/>
                <w:szCs w:val="12"/>
                <w:color w:val="auto"/>
              </w:rPr>
            </w:pPr>
          </w:p>
        </w:tc>
        <w:tc>
          <w:tcPr>
            <w:tcW w:w="1300" w:type="dxa"/>
            <w:vAlign w:val="bottom"/>
            <w:tcBorders>
              <w:top w:val="single" w:sz="8" w:color="auto"/>
            </w:tcBorders>
            <w:shd w:val="clear" w:color="auto" w:fill="BDE782"/>
          </w:tcPr>
          <w:p>
            <w:pPr>
              <w:spacing w:after="0"/>
              <w:rPr>
                <w:sz w:val="12"/>
                <w:szCs w:val="12"/>
                <w:color w:val="auto"/>
              </w:rPr>
            </w:pPr>
          </w:p>
        </w:tc>
        <w:tc>
          <w:tcPr>
            <w:tcW w:w="1200" w:type="dxa"/>
            <w:vAlign w:val="bottom"/>
            <w:tcBorders>
              <w:top w:val="single" w:sz="8" w:color="auto"/>
            </w:tcBorders>
            <w:shd w:val="clear" w:color="auto" w:fill="BDE782"/>
          </w:tcPr>
          <w:p>
            <w:pPr>
              <w:spacing w:after="0"/>
              <w:rPr>
                <w:sz w:val="12"/>
                <w:szCs w:val="12"/>
                <w:color w:val="auto"/>
              </w:rPr>
            </w:pPr>
          </w:p>
        </w:tc>
        <w:tc>
          <w:tcPr>
            <w:tcW w:w="1240" w:type="dxa"/>
            <w:vAlign w:val="bottom"/>
            <w:tcBorders>
              <w:top w:val="single" w:sz="8" w:color="auto"/>
            </w:tcBorders>
            <w:shd w:val="clear" w:color="auto" w:fill="BDE782"/>
          </w:tcPr>
          <w:p>
            <w:pPr>
              <w:spacing w:after="0"/>
              <w:rPr>
                <w:sz w:val="12"/>
                <w:szCs w:val="12"/>
                <w:color w:val="auto"/>
              </w:rPr>
            </w:pPr>
          </w:p>
        </w:tc>
        <w:tc>
          <w:tcPr>
            <w:tcW w:w="1320" w:type="dxa"/>
            <w:vAlign w:val="bottom"/>
            <w:tcBorders>
              <w:top w:val="single" w:sz="8" w:color="auto"/>
            </w:tcBorders>
            <w:shd w:val="clear" w:color="auto" w:fill="BDE782"/>
          </w:tcPr>
          <w:p>
            <w:pPr>
              <w:jc w:val="right"/>
              <w:ind w:right="366"/>
              <w:spacing w:after="0"/>
              <w:rPr>
                <w:sz w:val="20"/>
                <w:szCs w:val="20"/>
                <w:color w:val="auto"/>
              </w:rPr>
            </w:pPr>
            <w:r>
              <w:rPr>
                <w:rFonts w:ascii="Arial" w:cs="Arial" w:eastAsia="Arial" w:hAnsi="Arial"/>
                <w:sz w:val="11"/>
                <w:szCs w:val="11"/>
                <w:b w:val="1"/>
                <w:bCs w:val="1"/>
                <w:color w:val="auto"/>
              </w:rPr>
              <w:t>Total Options</w:t>
            </w:r>
          </w:p>
        </w:tc>
        <w:tc>
          <w:tcPr>
            <w:tcW w:w="1080" w:type="dxa"/>
            <w:vAlign w:val="bottom"/>
            <w:tcBorders>
              <w:top w:val="single" w:sz="8" w:color="auto"/>
            </w:tcBorders>
            <w:shd w:val="clear" w:color="auto" w:fill="BDE782"/>
          </w:tcPr>
          <w:p>
            <w:pPr>
              <w:jc w:val="right"/>
              <w:ind w:right="186"/>
              <w:spacing w:after="0"/>
              <w:rPr>
                <w:sz w:val="20"/>
                <w:szCs w:val="20"/>
                <w:color w:val="auto"/>
              </w:rPr>
            </w:pPr>
            <w:r>
              <w:rPr>
                <w:rFonts w:ascii="Arial" w:cs="Arial" w:eastAsia="Arial" w:hAnsi="Arial"/>
                <w:sz w:val="11"/>
                <w:szCs w:val="11"/>
                <w:b w:val="1"/>
                <w:bCs w:val="1"/>
                <w:color w:val="auto"/>
              </w:rPr>
              <w:t>Vested Options</w:t>
            </w:r>
          </w:p>
        </w:tc>
        <w:tc>
          <w:tcPr>
            <w:tcW w:w="1220" w:type="dxa"/>
            <w:vAlign w:val="bottom"/>
            <w:tcBorders>
              <w:top w:val="single" w:sz="8" w:color="auto"/>
            </w:tcBorders>
            <w:shd w:val="clear" w:color="auto" w:fill="BDE782"/>
          </w:tcPr>
          <w:p>
            <w:pPr>
              <w:spacing w:after="0"/>
              <w:rPr>
                <w:sz w:val="12"/>
                <w:szCs w:val="12"/>
                <w:color w:val="auto"/>
              </w:rPr>
            </w:pPr>
          </w:p>
        </w:tc>
      </w:tr>
      <w:tr>
        <w:trPr>
          <w:trHeight w:val="167"/>
        </w:trPr>
        <w:tc>
          <w:tcPr>
            <w:tcW w:w="1400" w:type="dxa"/>
            <w:vAlign w:val="bottom"/>
            <w:tcBorders>
              <w:left w:val="single" w:sz="8" w:color="auto"/>
              <w:bottom w:val="single" w:sz="8" w:color="BDE782"/>
            </w:tcBorders>
            <w:shd w:val="clear" w:color="auto" w:fill="BDE782"/>
          </w:tcPr>
          <w:p>
            <w:pPr>
              <w:jc w:val="center"/>
              <w:ind w:right="26"/>
              <w:spacing w:after="0"/>
              <w:rPr>
                <w:sz w:val="20"/>
                <w:szCs w:val="20"/>
                <w:color w:val="auto"/>
              </w:rPr>
            </w:pPr>
            <w:r>
              <w:rPr>
                <w:rFonts w:ascii="Arial" w:cs="Arial" w:eastAsia="Arial" w:hAnsi="Arial"/>
                <w:sz w:val="11"/>
                <w:szCs w:val="11"/>
                <w:b w:val="1"/>
                <w:bCs w:val="1"/>
                <w:color w:val="auto"/>
                <w:w w:val="91"/>
              </w:rPr>
              <w:t>Certificate No.</w:t>
            </w:r>
          </w:p>
        </w:tc>
        <w:tc>
          <w:tcPr>
            <w:tcW w:w="1040" w:type="dxa"/>
            <w:vAlign w:val="bottom"/>
            <w:tcBorders>
              <w:bottom w:val="single" w:sz="8" w:color="BDE782"/>
            </w:tcBorders>
            <w:shd w:val="clear" w:color="auto" w:fill="BDE782"/>
          </w:tcPr>
          <w:p>
            <w:pPr>
              <w:ind w:left="420"/>
              <w:spacing w:after="0"/>
              <w:rPr>
                <w:sz w:val="20"/>
                <w:szCs w:val="20"/>
                <w:color w:val="auto"/>
              </w:rPr>
            </w:pPr>
            <w:r>
              <w:rPr>
                <w:rFonts w:ascii="Arial" w:cs="Arial" w:eastAsia="Arial" w:hAnsi="Arial"/>
                <w:sz w:val="11"/>
                <w:szCs w:val="11"/>
                <w:b w:val="1"/>
                <w:bCs w:val="1"/>
                <w:color w:val="auto"/>
              </w:rPr>
              <w:t>Plan</w:t>
            </w:r>
          </w:p>
        </w:tc>
        <w:tc>
          <w:tcPr>
            <w:tcW w:w="1220" w:type="dxa"/>
            <w:vAlign w:val="bottom"/>
            <w:tcBorders>
              <w:bottom w:val="single" w:sz="8" w:color="BDE782"/>
            </w:tcBorders>
            <w:shd w:val="clear" w:color="auto" w:fill="BDE782"/>
          </w:tcPr>
          <w:p>
            <w:pPr>
              <w:ind w:left="420"/>
              <w:spacing w:after="0"/>
              <w:rPr>
                <w:sz w:val="20"/>
                <w:szCs w:val="20"/>
                <w:color w:val="auto"/>
              </w:rPr>
            </w:pPr>
            <w:r>
              <w:rPr>
                <w:rFonts w:ascii="Arial" w:cs="Arial" w:eastAsia="Arial" w:hAnsi="Arial"/>
                <w:sz w:val="11"/>
                <w:szCs w:val="11"/>
                <w:b w:val="1"/>
                <w:bCs w:val="1"/>
                <w:color w:val="auto"/>
              </w:rPr>
              <w:t>Grant Date</w:t>
            </w:r>
          </w:p>
        </w:tc>
        <w:tc>
          <w:tcPr>
            <w:tcW w:w="1300" w:type="dxa"/>
            <w:vAlign w:val="bottom"/>
            <w:tcBorders>
              <w:bottom w:val="single" w:sz="8" w:color="BDE782"/>
            </w:tcBorders>
            <w:shd w:val="clear" w:color="auto" w:fill="BDE782"/>
          </w:tcPr>
          <w:p>
            <w:pPr>
              <w:jc w:val="right"/>
              <w:ind w:right="146"/>
              <w:spacing w:after="0"/>
              <w:rPr>
                <w:sz w:val="20"/>
                <w:szCs w:val="20"/>
                <w:color w:val="auto"/>
              </w:rPr>
            </w:pPr>
            <w:r>
              <w:rPr>
                <w:rFonts w:ascii="Arial" w:cs="Arial" w:eastAsia="Arial" w:hAnsi="Arial"/>
                <w:sz w:val="11"/>
                <w:szCs w:val="11"/>
                <w:b w:val="1"/>
                <w:bCs w:val="1"/>
                <w:color w:val="auto"/>
              </w:rPr>
              <w:t>Grant Price (US$)</w:t>
            </w:r>
          </w:p>
        </w:tc>
        <w:tc>
          <w:tcPr>
            <w:tcW w:w="1200" w:type="dxa"/>
            <w:vAlign w:val="bottom"/>
            <w:tcBorders>
              <w:bottom w:val="single" w:sz="8" w:color="BDE782"/>
            </w:tcBorders>
            <w:shd w:val="clear" w:color="auto" w:fill="BDE782"/>
          </w:tcPr>
          <w:p>
            <w:pPr>
              <w:jc w:val="right"/>
              <w:ind w:right="146"/>
              <w:spacing w:after="0"/>
              <w:rPr>
                <w:sz w:val="20"/>
                <w:szCs w:val="20"/>
                <w:color w:val="auto"/>
              </w:rPr>
            </w:pPr>
            <w:r>
              <w:rPr>
                <w:rFonts w:ascii="Arial" w:cs="Arial" w:eastAsia="Arial" w:hAnsi="Arial"/>
                <w:sz w:val="11"/>
                <w:szCs w:val="11"/>
                <w:b w:val="1"/>
                <w:bCs w:val="1"/>
                <w:color w:val="auto"/>
              </w:rPr>
              <w:t>Options Granted</w:t>
            </w:r>
          </w:p>
        </w:tc>
        <w:tc>
          <w:tcPr>
            <w:tcW w:w="1240" w:type="dxa"/>
            <w:vAlign w:val="bottom"/>
            <w:tcBorders>
              <w:bottom w:val="single" w:sz="8" w:color="BDE782"/>
            </w:tcBorders>
            <w:shd w:val="clear" w:color="auto" w:fill="BDE782"/>
          </w:tcPr>
          <w:p>
            <w:pPr>
              <w:jc w:val="center"/>
              <w:spacing w:after="0"/>
              <w:rPr>
                <w:sz w:val="20"/>
                <w:szCs w:val="20"/>
                <w:color w:val="auto"/>
              </w:rPr>
            </w:pPr>
            <w:r>
              <w:rPr>
                <w:rFonts w:ascii="Arial" w:cs="Arial" w:eastAsia="Arial" w:hAnsi="Arial"/>
                <w:sz w:val="11"/>
                <w:szCs w:val="11"/>
                <w:b w:val="1"/>
                <w:bCs w:val="1"/>
                <w:color w:val="auto"/>
                <w:w w:val="86"/>
              </w:rPr>
              <w:t>Options Exercised</w:t>
            </w:r>
          </w:p>
        </w:tc>
        <w:tc>
          <w:tcPr>
            <w:tcW w:w="1320" w:type="dxa"/>
            <w:vAlign w:val="bottom"/>
            <w:tcBorders>
              <w:bottom w:val="single" w:sz="8" w:color="BDE782"/>
            </w:tcBorders>
            <w:shd w:val="clear" w:color="auto" w:fill="BDE782"/>
          </w:tcPr>
          <w:p>
            <w:pPr>
              <w:jc w:val="right"/>
              <w:ind w:right="386"/>
              <w:spacing w:after="0"/>
              <w:rPr>
                <w:sz w:val="20"/>
                <w:szCs w:val="20"/>
                <w:color w:val="auto"/>
              </w:rPr>
            </w:pPr>
            <w:r>
              <w:rPr>
                <w:rFonts w:ascii="Arial" w:cs="Arial" w:eastAsia="Arial" w:hAnsi="Arial"/>
                <w:sz w:val="11"/>
                <w:szCs w:val="11"/>
                <w:b w:val="1"/>
                <w:bCs w:val="1"/>
                <w:color w:val="auto"/>
              </w:rPr>
              <w:t>Outstanding</w:t>
            </w:r>
          </w:p>
        </w:tc>
        <w:tc>
          <w:tcPr>
            <w:tcW w:w="1080" w:type="dxa"/>
            <w:vAlign w:val="bottom"/>
            <w:tcBorders>
              <w:bottom w:val="single" w:sz="8" w:color="BDE782"/>
            </w:tcBorders>
            <w:shd w:val="clear" w:color="auto" w:fill="BDE782"/>
          </w:tcPr>
          <w:p>
            <w:pPr>
              <w:jc w:val="right"/>
              <w:ind w:right="266"/>
              <w:spacing w:after="0"/>
              <w:rPr>
                <w:sz w:val="20"/>
                <w:szCs w:val="20"/>
                <w:color w:val="auto"/>
              </w:rPr>
            </w:pPr>
            <w:r>
              <w:rPr>
                <w:rFonts w:ascii="Arial" w:cs="Arial" w:eastAsia="Arial" w:hAnsi="Arial"/>
                <w:sz w:val="11"/>
                <w:szCs w:val="11"/>
                <w:b w:val="1"/>
                <w:bCs w:val="1"/>
                <w:color w:val="auto"/>
              </w:rPr>
              <w:t>Outstanding</w:t>
            </w:r>
          </w:p>
        </w:tc>
        <w:tc>
          <w:tcPr>
            <w:tcW w:w="1220" w:type="dxa"/>
            <w:vAlign w:val="bottom"/>
            <w:tcBorders>
              <w:bottom w:val="single" w:sz="8" w:color="BDE782"/>
            </w:tcBorders>
            <w:shd w:val="clear" w:color="auto" w:fill="BDE782"/>
          </w:tcPr>
          <w:p>
            <w:pPr>
              <w:ind w:left="240"/>
              <w:spacing w:after="0"/>
              <w:rPr>
                <w:sz w:val="20"/>
                <w:szCs w:val="20"/>
                <w:color w:val="auto"/>
              </w:rPr>
            </w:pPr>
            <w:r>
              <w:rPr>
                <w:rFonts w:ascii="Arial" w:cs="Arial" w:eastAsia="Arial" w:hAnsi="Arial"/>
                <w:sz w:val="11"/>
                <w:szCs w:val="11"/>
                <w:b w:val="1"/>
                <w:bCs w:val="1"/>
                <w:color w:val="auto"/>
              </w:rPr>
              <w:t>Expiration Date</w:t>
            </w:r>
          </w:p>
        </w:tc>
      </w:tr>
      <w:tr>
        <w:trPr>
          <w:trHeight w:val="147"/>
        </w:trPr>
        <w:tc>
          <w:tcPr>
            <w:tcW w:w="1400" w:type="dxa"/>
            <w:vAlign w:val="bottom"/>
            <w:tcBorders>
              <w:top w:val="single" w:sz="8" w:color="auto"/>
            </w:tcBorders>
          </w:tcPr>
          <w:p>
            <w:pPr>
              <w:jc w:val="center"/>
              <w:ind w:right="46"/>
              <w:spacing w:after="0"/>
              <w:rPr>
                <w:sz w:val="20"/>
                <w:szCs w:val="20"/>
                <w:color w:val="auto"/>
              </w:rPr>
            </w:pPr>
            <w:r>
              <w:rPr>
                <w:rFonts w:ascii="Arial" w:cs="Arial" w:eastAsia="Arial" w:hAnsi="Arial"/>
                <w:sz w:val="11"/>
                <w:szCs w:val="11"/>
                <w:color w:val="auto"/>
                <w:w w:val="84"/>
              </w:rPr>
              <w:t>00024</w:t>
            </w:r>
          </w:p>
        </w:tc>
        <w:tc>
          <w:tcPr>
            <w:tcW w:w="1040" w:type="dxa"/>
            <w:vAlign w:val="bottom"/>
            <w:tcBorders>
              <w:top w:val="single" w:sz="8" w:color="auto"/>
            </w:tcBorders>
          </w:tcPr>
          <w:p>
            <w:pPr>
              <w:ind w:left="400"/>
              <w:spacing w:after="0"/>
              <w:rPr>
                <w:sz w:val="20"/>
                <w:szCs w:val="20"/>
                <w:color w:val="auto"/>
              </w:rPr>
            </w:pPr>
            <w:r>
              <w:rPr>
                <w:rFonts w:ascii="Arial" w:cs="Arial" w:eastAsia="Arial" w:hAnsi="Arial"/>
                <w:sz w:val="11"/>
                <w:szCs w:val="11"/>
                <w:color w:val="auto"/>
              </w:rPr>
              <w:t>2006</w:t>
            </w:r>
          </w:p>
        </w:tc>
        <w:tc>
          <w:tcPr>
            <w:tcW w:w="1220" w:type="dxa"/>
            <w:vAlign w:val="bottom"/>
            <w:tcBorders>
              <w:top w:val="single" w:sz="8" w:color="auto"/>
            </w:tcBorders>
          </w:tcPr>
          <w:p>
            <w:pPr>
              <w:jc w:val="center"/>
              <w:ind w:left="106"/>
              <w:spacing w:after="0"/>
              <w:rPr>
                <w:sz w:val="20"/>
                <w:szCs w:val="20"/>
                <w:color w:val="auto"/>
              </w:rPr>
            </w:pPr>
            <w:r>
              <w:rPr>
                <w:rFonts w:ascii="Arial" w:cs="Arial" w:eastAsia="Arial" w:hAnsi="Arial"/>
                <w:sz w:val="11"/>
                <w:szCs w:val="11"/>
                <w:color w:val="auto"/>
                <w:w w:val="85"/>
              </w:rPr>
              <w:t>1/25/2010</w:t>
            </w:r>
          </w:p>
        </w:tc>
        <w:tc>
          <w:tcPr>
            <w:tcW w:w="1300" w:type="dxa"/>
            <w:vAlign w:val="bottom"/>
            <w:tcBorders>
              <w:top w:val="single" w:sz="8" w:color="auto"/>
            </w:tcBorders>
          </w:tcPr>
          <w:p>
            <w:pPr>
              <w:jc w:val="right"/>
              <w:ind w:right="606"/>
              <w:spacing w:after="0"/>
              <w:rPr>
                <w:sz w:val="20"/>
                <w:szCs w:val="20"/>
                <w:color w:val="auto"/>
              </w:rPr>
            </w:pPr>
            <w:r>
              <w:rPr>
                <w:rFonts w:ascii="Arial" w:cs="Arial" w:eastAsia="Arial" w:hAnsi="Arial"/>
                <w:sz w:val="11"/>
                <w:szCs w:val="11"/>
                <w:color w:val="auto"/>
              </w:rPr>
              <w:t>24.910</w:t>
            </w:r>
          </w:p>
        </w:tc>
        <w:tc>
          <w:tcPr>
            <w:tcW w:w="1200" w:type="dxa"/>
            <w:vAlign w:val="bottom"/>
            <w:tcBorders>
              <w:top w:val="single" w:sz="8" w:color="auto"/>
            </w:tcBorders>
          </w:tcPr>
          <w:p>
            <w:pPr>
              <w:jc w:val="right"/>
              <w:ind w:right="606"/>
              <w:spacing w:after="0"/>
              <w:rPr>
                <w:sz w:val="20"/>
                <w:szCs w:val="20"/>
                <w:color w:val="auto"/>
              </w:rPr>
            </w:pPr>
            <w:r>
              <w:rPr>
                <w:rFonts w:ascii="Arial" w:cs="Arial" w:eastAsia="Arial" w:hAnsi="Arial"/>
                <w:sz w:val="11"/>
                <w:szCs w:val="11"/>
                <w:color w:val="auto"/>
              </w:rPr>
              <w:t>16,700</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tcBorders>
          </w:tcPr>
          <w:p>
            <w:pPr>
              <w:jc w:val="right"/>
              <w:ind w:right="446"/>
              <w:spacing w:after="0"/>
              <w:rPr>
                <w:sz w:val="20"/>
                <w:szCs w:val="20"/>
                <w:color w:val="auto"/>
              </w:rPr>
            </w:pPr>
            <w:r>
              <w:rPr>
                <w:rFonts w:ascii="Arial" w:cs="Arial" w:eastAsia="Arial" w:hAnsi="Arial"/>
                <w:sz w:val="11"/>
                <w:szCs w:val="11"/>
                <w:color w:val="auto"/>
              </w:rPr>
              <w:t>16,700</w:t>
            </w:r>
          </w:p>
        </w:tc>
        <w:tc>
          <w:tcPr>
            <w:tcW w:w="108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color w:val="auto"/>
              </w:rPr>
              <w:t>16,700</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89"/>
              </w:rPr>
              <w:t>1/25/2020</w:t>
            </w:r>
          </w:p>
        </w:tc>
      </w:tr>
      <w:tr>
        <w:trPr>
          <w:trHeight w:val="176"/>
        </w:trPr>
        <w:tc>
          <w:tcPr>
            <w:tcW w:w="1400" w:type="dxa"/>
            <w:vAlign w:val="bottom"/>
          </w:tcPr>
          <w:p>
            <w:pPr>
              <w:jc w:val="center"/>
              <w:ind w:right="46"/>
              <w:spacing w:after="0"/>
              <w:rPr>
                <w:sz w:val="20"/>
                <w:szCs w:val="20"/>
                <w:color w:val="auto"/>
              </w:rPr>
            </w:pPr>
            <w:r>
              <w:rPr>
                <w:rFonts w:ascii="Arial" w:cs="Arial" w:eastAsia="Arial" w:hAnsi="Arial"/>
                <w:sz w:val="11"/>
                <w:szCs w:val="11"/>
                <w:color w:val="auto"/>
                <w:w w:val="84"/>
              </w:rPr>
              <w:t>00002</w:t>
            </w:r>
          </w:p>
        </w:tc>
        <w:tc>
          <w:tcPr>
            <w:tcW w:w="1040" w:type="dxa"/>
            <w:vAlign w:val="bottom"/>
          </w:tcPr>
          <w:p>
            <w:pPr>
              <w:ind w:left="400"/>
              <w:spacing w:after="0"/>
              <w:rPr>
                <w:sz w:val="20"/>
                <w:szCs w:val="20"/>
                <w:color w:val="auto"/>
              </w:rPr>
            </w:pPr>
            <w:r>
              <w:rPr>
                <w:rFonts w:ascii="Arial" w:cs="Arial" w:eastAsia="Arial" w:hAnsi="Arial"/>
                <w:sz w:val="11"/>
                <w:szCs w:val="11"/>
                <w:color w:val="auto"/>
              </w:rPr>
              <w:t>2010</w:t>
            </w:r>
          </w:p>
        </w:tc>
        <w:tc>
          <w:tcPr>
            <w:tcW w:w="1220" w:type="dxa"/>
            <w:vAlign w:val="bottom"/>
          </w:tcPr>
          <w:p>
            <w:pPr>
              <w:jc w:val="center"/>
              <w:ind w:left="106"/>
              <w:spacing w:after="0"/>
              <w:rPr>
                <w:sz w:val="20"/>
                <w:szCs w:val="20"/>
                <w:color w:val="auto"/>
              </w:rPr>
            </w:pPr>
            <w:r>
              <w:rPr>
                <w:rFonts w:ascii="Arial" w:cs="Arial" w:eastAsia="Arial" w:hAnsi="Arial"/>
                <w:sz w:val="11"/>
                <w:szCs w:val="11"/>
                <w:color w:val="auto"/>
                <w:w w:val="88"/>
              </w:rPr>
              <w:t>4/6/2011</w:t>
            </w:r>
          </w:p>
        </w:tc>
        <w:tc>
          <w:tcPr>
            <w:tcW w:w="1300" w:type="dxa"/>
            <w:vAlign w:val="bottom"/>
          </w:tcPr>
          <w:p>
            <w:pPr>
              <w:jc w:val="right"/>
              <w:ind w:right="626"/>
              <w:spacing w:after="0"/>
              <w:rPr>
                <w:sz w:val="20"/>
                <w:szCs w:val="20"/>
                <w:color w:val="auto"/>
              </w:rPr>
            </w:pPr>
            <w:r>
              <w:rPr>
                <w:rFonts w:ascii="Arial" w:cs="Arial" w:eastAsia="Arial" w:hAnsi="Arial"/>
                <w:sz w:val="11"/>
                <w:szCs w:val="11"/>
                <w:color w:val="auto"/>
              </w:rPr>
              <w:t>29.250</w:t>
            </w:r>
          </w:p>
        </w:tc>
        <w:tc>
          <w:tcPr>
            <w:tcW w:w="1200" w:type="dxa"/>
            <w:vAlign w:val="bottom"/>
          </w:tcPr>
          <w:p>
            <w:pPr>
              <w:jc w:val="right"/>
              <w:ind w:right="606"/>
              <w:spacing w:after="0"/>
              <w:rPr>
                <w:sz w:val="20"/>
                <w:szCs w:val="20"/>
                <w:color w:val="auto"/>
              </w:rPr>
            </w:pPr>
            <w:r>
              <w:rPr>
                <w:rFonts w:ascii="Arial" w:cs="Arial" w:eastAsia="Arial" w:hAnsi="Arial"/>
                <w:sz w:val="11"/>
                <w:szCs w:val="11"/>
                <w:color w:val="auto"/>
              </w:rPr>
              <w:t>13,700</w:t>
            </w:r>
          </w:p>
        </w:tc>
        <w:tc>
          <w:tcPr>
            <w:tcW w:w="124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446"/>
              <w:spacing w:after="0"/>
              <w:rPr>
                <w:sz w:val="20"/>
                <w:szCs w:val="20"/>
                <w:color w:val="auto"/>
              </w:rPr>
            </w:pPr>
            <w:r>
              <w:rPr>
                <w:rFonts w:ascii="Arial" w:cs="Arial" w:eastAsia="Arial" w:hAnsi="Arial"/>
                <w:sz w:val="11"/>
                <w:szCs w:val="11"/>
                <w:color w:val="auto"/>
              </w:rPr>
              <w:t>13,700</w:t>
            </w:r>
          </w:p>
        </w:tc>
        <w:tc>
          <w:tcPr>
            <w:tcW w:w="1080" w:type="dxa"/>
            <w:vAlign w:val="bottom"/>
          </w:tcPr>
          <w:p>
            <w:pPr>
              <w:jc w:val="right"/>
              <w:ind w:right="246"/>
              <w:spacing w:after="0"/>
              <w:rPr>
                <w:sz w:val="20"/>
                <w:szCs w:val="20"/>
                <w:color w:val="auto"/>
              </w:rPr>
            </w:pPr>
            <w:r>
              <w:rPr>
                <w:rFonts w:ascii="Arial" w:cs="Arial" w:eastAsia="Arial" w:hAnsi="Arial"/>
                <w:sz w:val="11"/>
                <w:szCs w:val="11"/>
                <w:color w:val="auto"/>
              </w:rPr>
              <w:t>13,700</w:t>
            </w:r>
          </w:p>
        </w:tc>
        <w:tc>
          <w:tcPr>
            <w:tcW w:w="1220" w:type="dxa"/>
            <w:vAlign w:val="bottom"/>
          </w:tcPr>
          <w:p>
            <w:pPr>
              <w:jc w:val="center"/>
              <w:spacing w:after="0"/>
              <w:rPr>
                <w:sz w:val="20"/>
                <w:szCs w:val="20"/>
                <w:color w:val="auto"/>
              </w:rPr>
            </w:pPr>
            <w:r>
              <w:rPr>
                <w:rFonts w:ascii="Arial" w:cs="Arial" w:eastAsia="Arial" w:hAnsi="Arial"/>
                <w:sz w:val="11"/>
                <w:szCs w:val="11"/>
                <w:color w:val="auto"/>
                <w:w w:val="88"/>
              </w:rPr>
              <w:t>4/6/2021</w:t>
            </w:r>
          </w:p>
        </w:tc>
      </w:tr>
      <w:tr>
        <w:trPr>
          <w:trHeight w:val="216"/>
        </w:trPr>
        <w:tc>
          <w:tcPr>
            <w:tcW w:w="1400" w:type="dxa"/>
            <w:vAlign w:val="bottom"/>
          </w:tcPr>
          <w:p>
            <w:pPr>
              <w:jc w:val="center"/>
              <w:ind w:right="46"/>
              <w:spacing w:after="0"/>
              <w:rPr>
                <w:sz w:val="20"/>
                <w:szCs w:val="20"/>
                <w:color w:val="auto"/>
              </w:rPr>
            </w:pPr>
            <w:r>
              <w:rPr>
                <w:rFonts w:ascii="Arial" w:cs="Arial" w:eastAsia="Arial" w:hAnsi="Arial"/>
                <w:sz w:val="11"/>
                <w:szCs w:val="11"/>
                <w:color w:val="auto"/>
                <w:w w:val="84"/>
              </w:rPr>
              <w:t>00021</w:t>
            </w:r>
          </w:p>
        </w:tc>
        <w:tc>
          <w:tcPr>
            <w:tcW w:w="1040" w:type="dxa"/>
            <w:vAlign w:val="bottom"/>
          </w:tcPr>
          <w:p>
            <w:pPr>
              <w:ind w:left="400"/>
              <w:spacing w:after="0"/>
              <w:rPr>
                <w:sz w:val="20"/>
                <w:szCs w:val="20"/>
                <w:color w:val="auto"/>
              </w:rPr>
            </w:pPr>
            <w:r>
              <w:rPr>
                <w:rFonts w:ascii="Arial" w:cs="Arial" w:eastAsia="Arial" w:hAnsi="Arial"/>
                <w:sz w:val="11"/>
                <w:szCs w:val="11"/>
                <w:color w:val="auto"/>
              </w:rPr>
              <w:t>2010</w:t>
            </w:r>
          </w:p>
        </w:tc>
        <w:tc>
          <w:tcPr>
            <w:tcW w:w="1220" w:type="dxa"/>
            <w:vAlign w:val="bottom"/>
          </w:tcPr>
          <w:p>
            <w:pPr>
              <w:jc w:val="center"/>
              <w:ind w:left="106"/>
              <w:spacing w:after="0"/>
              <w:rPr>
                <w:sz w:val="20"/>
                <w:szCs w:val="20"/>
                <w:color w:val="auto"/>
              </w:rPr>
            </w:pPr>
            <w:r>
              <w:rPr>
                <w:rFonts w:ascii="Arial" w:cs="Arial" w:eastAsia="Arial" w:hAnsi="Arial"/>
                <w:sz w:val="11"/>
                <w:szCs w:val="11"/>
                <w:color w:val="auto"/>
                <w:w w:val="85"/>
              </w:rPr>
              <w:t>2/12/2014</w:t>
            </w:r>
          </w:p>
        </w:tc>
        <w:tc>
          <w:tcPr>
            <w:tcW w:w="1300" w:type="dxa"/>
            <w:vAlign w:val="bottom"/>
          </w:tcPr>
          <w:p>
            <w:pPr>
              <w:jc w:val="right"/>
              <w:ind w:right="626"/>
              <w:spacing w:after="0"/>
              <w:rPr>
                <w:sz w:val="20"/>
                <w:szCs w:val="20"/>
                <w:color w:val="auto"/>
              </w:rPr>
            </w:pPr>
            <w:r>
              <w:rPr>
                <w:rFonts w:ascii="Arial" w:cs="Arial" w:eastAsia="Arial" w:hAnsi="Arial"/>
                <w:sz w:val="11"/>
                <w:szCs w:val="11"/>
                <w:color w:val="auto"/>
              </w:rPr>
              <w:t>35.245</w:t>
            </w:r>
          </w:p>
        </w:tc>
        <w:tc>
          <w:tcPr>
            <w:tcW w:w="1200" w:type="dxa"/>
            <w:vAlign w:val="bottom"/>
          </w:tcPr>
          <w:p>
            <w:pPr>
              <w:jc w:val="right"/>
              <w:ind w:right="606"/>
              <w:spacing w:after="0"/>
              <w:rPr>
                <w:sz w:val="20"/>
                <w:szCs w:val="20"/>
                <w:color w:val="auto"/>
              </w:rPr>
            </w:pPr>
            <w:r>
              <w:rPr>
                <w:rFonts w:ascii="Arial" w:cs="Arial" w:eastAsia="Arial" w:hAnsi="Arial"/>
                <w:sz w:val="11"/>
                <w:szCs w:val="11"/>
                <w:color w:val="auto"/>
              </w:rPr>
              <w:t>15,395</w:t>
            </w:r>
          </w:p>
        </w:tc>
        <w:tc>
          <w:tcPr>
            <w:tcW w:w="124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446"/>
              <w:spacing w:after="0"/>
              <w:rPr>
                <w:sz w:val="20"/>
                <w:szCs w:val="20"/>
                <w:color w:val="auto"/>
              </w:rPr>
            </w:pPr>
            <w:r>
              <w:rPr>
                <w:rFonts w:ascii="Arial" w:cs="Arial" w:eastAsia="Arial" w:hAnsi="Arial"/>
                <w:sz w:val="11"/>
                <w:szCs w:val="11"/>
                <w:color w:val="auto"/>
              </w:rPr>
              <w:t>15,395</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12,829</w:t>
            </w:r>
          </w:p>
        </w:tc>
        <w:tc>
          <w:tcPr>
            <w:tcW w:w="1220" w:type="dxa"/>
            <w:vAlign w:val="bottom"/>
          </w:tcPr>
          <w:p>
            <w:pPr>
              <w:jc w:val="center"/>
              <w:spacing w:after="0"/>
              <w:rPr>
                <w:sz w:val="20"/>
                <w:szCs w:val="20"/>
                <w:color w:val="auto"/>
              </w:rPr>
            </w:pPr>
            <w:r>
              <w:rPr>
                <w:rFonts w:ascii="Arial" w:cs="Arial" w:eastAsia="Arial" w:hAnsi="Arial"/>
                <w:sz w:val="11"/>
                <w:szCs w:val="11"/>
                <w:color w:val="auto"/>
                <w:w w:val="89"/>
              </w:rPr>
              <w:t>2/12/2021</w:t>
            </w:r>
          </w:p>
        </w:tc>
      </w:tr>
      <w:tr>
        <w:trPr>
          <w:trHeight w:val="176"/>
        </w:trPr>
        <w:tc>
          <w:tcPr>
            <w:tcW w:w="1400" w:type="dxa"/>
            <w:vAlign w:val="bottom"/>
          </w:tcPr>
          <w:p>
            <w:pPr>
              <w:jc w:val="center"/>
              <w:ind w:right="46"/>
              <w:spacing w:after="0"/>
              <w:rPr>
                <w:sz w:val="20"/>
                <w:szCs w:val="20"/>
                <w:color w:val="auto"/>
              </w:rPr>
            </w:pPr>
            <w:r>
              <w:rPr>
                <w:rFonts w:ascii="Arial" w:cs="Arial" w:eastAsia="Arial" w:hAnsi="Arial"/>
                <w:sz w:val="11"/>
                <w:szCs w:val="11"/>
                <w:color w:val="auto"/>
                <w:w w:val="84"/>
              </w:rPr>
              <w:t>00001</w:t>
            </w:r>
          </w:p>
        </w:tc>
        <w:tc>
          <w:tcPr>
            <w:tcW w:w="1040" w:type="dxa"/>
            <w:vAlign w:val="bottom"/>
          </w:tcPr>
          <w:p>
            <w:pPr>
              <w:ind w:left="400"/>
              <w:spacing w:after="0"/>
              <w:rPr>
                <w:sz w:val="20"/>
                <w:szCs w:val="20"/>
                <w:color w:val="auto"/>
              </w:rPr>
            </w:pPr>
            <w:r>
              <w:rPr>
                <w:rFonts w:ascii="Arial" w:cs="Arial" w:eastAsia="Arial" w:hAnsi="Arial"/>
                <w:sz w:val="11"/>
                <w:szCs w:val="11"/>
                <w:color w:val="auto"/>
              </w:rPr>
              <w:t>2014</w:t>
            </w:r>
          </w:p>
        </w:tc>
        <w:tc>
          <w:tcPr>
            <w:tcW w:w="1220" w:type="dxa"/>
            <w:vAlign w:val="bottom"/>
          </w:tcPr>
          <w:p>
            <w:pPr>
              <w:jc w:val="center"/>
              <w:ind w:left="106"/>
              <w:spacing w:after="0"/>
              <w:rPr>
                <w:sz w:val="20"/>
                <w:szCs w:val="20"/>
                <w:color w:val="auto"/>
              </w:rPr>
            </w:pPr>
            <w:r>
              <w:rPr>
                <w:rFonts w:ascii="Arial" w:cs="Arial" w:eastAsia="Arial" w:hAnsi="Arial"/>
                <w:sz w:val="11"/>
                <w:szCs w:val="11"/>
                <w:color w:val="auto"/>
                <w:w w:val="85"/>
              </w:rPr>
              <w:t>2/12/2015</w:t>
            </w:r>
          </w:p>
        </w:tc>
        <w:tc>
          <w:tcPr>
            <w:tcW w:w="1300" w:type="dxa"/>
            <w:vAlign w:val="bottom"/>
          </w:tcPr>
          <w:p>
            <w:pPr>
              <w:jc w:val="right"/>
              <w:ind w:right="626"/>
              <w:spacing w:after="0"/>
              <w:rPr>
                <w:sz w:val="20"/>
                <w:szCs w:val="20"/>
                <w:color w:val="auto"/>
              </w:rPr>
            </w:pPr>
            <w:r>
              <w:rPr>
                <w:rFonts w:ascii="Arial" w:cs="Arial" w:eastAsia="Arial" w:hAnsi="Arial"/>
                <w:sz w:val="11"/>
                <w:szCs w:val="11"/>
                <w:color w:val="auto"/>
              </w:rPr>
              <w:t>65.540</w:t>
            </w:r>
          </w:p>
        </w:tc>
        <w:tc>
          <w:tcPr>
            <w:tcW w:w="1200" w:type="dxa"/>
            <w:vAlign w:val="bottom"/>
          </w:tcPr>
          <w:p>
            <w:pPr>
              <w:jc w:val="right"/>
              <w:ind w:right="606"/>
              <w:spacing w:after="0"/>
              <w:rPr>
                <w:sz w:val="20"/>
                <w:szCs w:val="20"/>
                <w:color w:val="auto"/>
              </w:rPr>
            </w:pPr>
            <w:r>
              <w:rPr>
                <w:rFonts w:ascii="Arial" w:cs="Arial" w:eastAsia="Arial" w:hAnsi="Arial"/>
                <w:sz w:val="11"/>
                <w:szCs w:val="11"/>
                <w:color w:val="auto"/>
              </w:rPr>
              <w:t>10,095</w:t>
            </w:r>
          </w:p>
        </w:tc>
        <w:tc>
          <w:tcPr>
            <w:tcW w:w="124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446"/>
              <w:spacing w:after="0"/>
              <w:rPr>
                <w:sz w:val="20"/>
                <w:szCs w:val="20"/>
                <w:color w:val="auto"/>
              </w:rPr>
            </w:pPr>
            <w:r>
              <w:rPr>
                <w:rFonts w:ascii="Arial" w:cs="Arial" w:eastAsia="Arial" w:hAnsi="Arial"/>
                <w:sz w:val="11"/>
                <w:szCs w:val="11"/>
                <w:color w:val="auto"/>
              </w:rPr>
              <w:t>10,095</w:t>
            </w:r>
          </w:p>
        </w:tc>
        <w:tc>
          <w:tcPr>
            <w:tcW w:w="1080" w:type="dxa"/>
            <w:vAlign w:val="bottom"/>
          </w:tcPr>
          <w:p>
            <w:pPr>
              <w:jc w:val="right"/>
              <w:ind w:right="246"/>
              <w:spacing w:after="0"/>
              <w:rPr>
                <w:sz w:val="20"/>
                <w:szCs w:val="20"/>
                <w:color w:val="auto"/>
              </w:rPr>
            </w:pPr>
            <w:r>
              <w:rPr>
                <w:rFonts w:ascii="Arial" w:cs="Arial" w:eastAsia="Arial" w:hAnsi="Arial"/>
                <w:sz w:val="11"/>
                <w:szCs w:val="11"/>
                <w:color w:val="auto"/>
              </w:rPr>
              <w:t>5,047</w:t>
            </w:r>
          </w:p>
        </w:tc>
        <w:tc>
          <w:tcPr>
            <w:tcW w:w="1220" w:type="dxa"/>
            <w:vAlign w:val="bottom"/>
          </w:tcPr>
          <w:p>
            <w:pPr>
              <w:jc w:val="center"/>
              <w:spacing w:after="0"/>
              <w:rPr>
                <w:sz w:val="20"/>
                <w:szCs w:val="20"/>
                <w:color w:val="auto"/>
              </w:rPr>
            </w:pPr>
            <w:r>
              <w:rPr>
                <w:rFonts w:ascii="Arial" w:cs="Arial" w:eastAsia="Arial" w:hAnsi="Arial"/>
                <w:sz w:val="11"/>
                <w:szCs w:val="11"/>
                <w:color w:val="auto"/>
                <w:w w:val="89"/>
              </w:rPr>
              <w:t>2/12/2022</w:t>
            </w:r>
          </w:p>
        </w:tc>
      </w:tr>
      <w:tr>
        <w:trPr>
          <w:trHeight w:val="216"/>
        </w:trPr>
        <w:tc>
          <w:tcPr>
            <w:tcW w:w="1400" w:type="dxa"/>
            <w:vAlign w:val="bottom"/>
          </w:tcPr>
          <w:p>
            <w:pPr>
              <w:jc w:val="center"/>
              <w:ind w:right="46"/>
              <w:spacing w:after="0"/>
              <w:rPr>
                <w:sz w:val="20"/>
                <w:szCs w:val="20"/>
                <w:color w:val="auto"/>
              </w:rPr>
            </w:pPr>
            <w:r>
              <w:rPr>
                <w:rFonts w:ascii="Arial" w:cs="Arial" w:eastAsia="Arial" w:hAnsi="Arial"/>
                <w:sz w:val="11"/>
                <w:szCs w:val="11"/>
                <w:color w:val="auto"/>
                <w:w w:val="84"/>
              </w:rPr>
              <w:t>00006</w:t>
            </w:r>
          </w:p>
        </w:tc>
        <w:tc>
          <w:tcPr>
            <w:tcW w:w="1040" w:type="dxa"/>
            <w:vAlign w:val="bottom"/>
          </w:tcPr>
          <w:p>
            <w:pPr>
              <w:ind w:left="400"/>
              <w:spacing w:after="0"/>
              <w:rPr>
                <w:sz w:val="20"/>
                <w:szCs w:val="20"/>
                <w:color w:val="auto"/>
              </w:rPr>
            </w:pPr>
            <w:r>
              <w:rPr>
                <w:rFonts w:ascii="Arial" w:cs="Arial" w:eastAsia="Arial" w:hAnsi="Arial"/>
                <w:sz w:val="11"/>
                <w:szCs w:val="11"/>
                <w:color w:val="auto"/>
              </w:rPr>
              <w:t>2014</w:t>
            </w:r>
          </w:p>
        </w:tc>
        <w:tc>
          <w:tcPr>
            <w:tcW w:w="1220" w:type="dxa"/>
            <w:vAlign w:val="bottom"/>
          </w:tcPr>
          <w:p>
            <w:pPr>
              <w:jc w:val="center"/>
              <w:ind w:left="106"/>
              <w:spacing w:after="0"/>
              <w:rPr>
                <w:sz w:val="20"/>
                <w:szCs w:val="20"/>
                <w:color w:val="auto"/>
              </w:rPr>
            </w:pPr>
            <w:r>
              <w:rPr>
                <w:rFonts w:ascii="Arial" w:cs="Arial" w:eastAsia="Arial" w:hAnsi="Arial"/>
                <w:sz w:val="11"/>
                <w:szCs w:val="11"/>
                <w:color w:val="auto"/>
                <w:w w:val="88"/>
              </w:rPr>
              <w:t>1/1/2016</w:t>
            </w:r>
          </w:p>
        </w:tc>
        <w:tc>
          <w:tcPr>
            <w:tcW w:w="1300" w:type="dxa"/>
            <w:vAlign w:val="bottom"/>
          </w:tcPr>
          <w:p>
            <w:pPr>
              <w:jc w:val="right"/>
              <w:ind w:right="606"/>
              <w:spacing w:after="0"/>
              <w:rPr>
                <w:sz w:val="20"/>
                <w:szCs w:val="20"/>
                <w:color w:val="auto"/>
              </w:rPr>
            </w:pPr>
            <w:r>
              <w:rPr>
                <w:rFonts w:ascii="Arial" w:cs="Arial" w:eastAsia="Arial" w:hAnsi="Arial"/>
                <w:sz w:val="11"/>
                <w:szCs w:val="11"/>
                <w:color w:val="auto"/>
              </w:rPr>
              <w:t>51.385</w:t>
            </w:r>
          </w:p>
        </w:tc>
        <w:tc>
          <w:tcPr>
            <w:tcW w:w="1200" w:type="dxa"/>
            <w:vAlign w:val="bottom"/>
          </w:tcPr>
          <w:p>
            <w:pPr>
              <w:jc w:val="right"/>
              <w:ind w:right="586"/>
              <w:spacing w:after="0"/>
              <w:rPr>
                <w:sz w:val="20"/>
                <w:szCs w:val="20"/>
                <w:color w:val="auto"/>
              </w:rPr>
            </w:pPr>
            <w:r>
              <w:rPr>
                <w:rFonts w:ascii="Arial" w:cs="Arial" w:eastAsia="Arial" w:hAnsi="Arial"/>
                <w:sz w:val="11"/>
                <w:szCs w:val="11"/>
                <w:color w:val="auto"/>
              </w:rPr>
              <w:t>11,975</w:t>
            </w:r>
          </w:p>
        </w:tc>
        <w:tc>
          <w:tcPr>
            <w:tcW w:w="124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426"/>
              <w:spacing w:after="0"/>
              <w:rPr>
                <w:sz w:val="20"/>
                <w:szCs w:val="20"/>
                <w:color w:val="auto"/>
              </w:rPr>
            </w:pPr>
            <w:r>
              <w:rPr>
                <w:rFonts w:ascii="Arial" w:cs="Arial" w:eastAsia="Arial" w:hAnsi="Arial"/>
                <w:sz w:val="11"/>
                <w:szCs w:val="11"/>
                <w:color w:val="auto"/>
              </w:rPr>
              <w:t>11,975</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20" w:type="dxa"/>
            <w:vAlign w:val="bottom"/>
          </w:tcPr>
          <w:p>
            <w:pPr>
              <w:jc w:val="center"/>
              <w:spacing w:after="0"/>
              <w:rPr>
                <w:sz w:val="20"/>
                <w:szCs w:val="20"/>
                <w:color w:val="auto"/>
              </w:rPr>
            </w:pPr>
            <w:r>
              <w:rPr>
                <w:rFonts w:ascii="Arial" w:cs="Arial" w:eastAsia="Arial" w:hAnsi="Arial"/>
                <w:sz w:val="11"/>
                <w:szCs w:val="11"/>
                <w:color w:val="auto"/>
                <w:w w:val="88"/>
              </w:rPr>
              <w:t>1/1/2023</w:t>
            </w:r>
          </w:p>
        </w:tc>
      </w:tr>
      <w:tr>
        <w:trPr>
          <w:trHeight w:val="198"/>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15"/>
        </w:trPr>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jc w:val="right"/>
              <w:ind w:right="86"/>
              <w:spacing w:after="0"/>
              <w:rPr>
                <w:sz w:val="20"/>
                <w:szCs w:val="20"/>
                <w:color w:val="auto"/>
              </w:rPr>
            </w:pPr>
            <w:r>
              <w:rPr>
                <w:rFonts w:ascii="Arial" w:cs="Arial" w:eastAsia="Arial" w:hAnsi="Arial"/>
                <w:sz w:val="11"/>
                <w:szCs w:val="11"/>
                <w:b w:val="1"/>
                <w:bCs w:val="1"/>
                <w:color w:val="auto"/>
              </w:rPr>
              <w:t>67,865</w:t>
            </w:r>
          </w:p>
        </w:tc>
        <w:tc>
          <w:tcPr>
            <w:tcW w:w="1080" w:type="dxa"/>
            <w:vAlign w:val="bottom"/>
          </w:tcPr>
          <w:p>
            <w:pPr>
              <w:jc w:val="right"/>
              <w:ind w:right="46"/>
              <w:spacing w:after="0"/>
              <w:rPr>
                <w:sz w:val="20"/>
                <w:szCs w:val="20"/>
                <w:color w:val="auto"/>
              </w:rPr>
            </w:pPr>
            <w:r>
              <w:rPr>
                <w:rFonts w:ascii="Arial" w:cs="Arial" w:eastAsia="Arial" w:hAnsi="Arial"/>
                <w:sz w:val="11"/>
                <w:szCs w:val="11"/>
                <w:b w:val="1"/>
                <w:bCs w:val="1"/>
                <w:color w:val="auto"/>
              </w:rPr>
              <w:t>48,276</w:t>
            </w:r>
          </w:p>
        </w:tc>
        <w:tc>
          <w:tcPr>
            <w:tcW w:w="1220" w:type="dxa"/>
            <w:vAlign w:val="bottom"/>
          </w:tcPr>
          <w:p>
            <w:pPr>
              <w:spacing w:after="0"/>
              <w:rPr>
                <w:sz w:val="18"/>
                <w:szCs w:val="18"/>
                <w:color w:val="auto"/>
              </w:rPr>
            </w:pPr>
          </w:p>
        </w:tc>
      </w:tr>
      <w:tr>
        <w:trPr>
          <w:trHeight w:val="22"/>
        </w:trPr>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term of this Agreement, Executive shall continue to vest in the options set forth in the listing above in accordance with such options’ terms and conditions. Immediately on the Separation Date and so long as all of such options’ terms and conditions have been met, Executive shall become fully vested in 100% of the outstanding and unexercised options and upon receipt of Executive’s written request, a new listing shall be provided Executive as of the Separation Date depicting the options outstanding on that date.</w:t>
      </w:r>
    </w:p>
    <w:p>
      <w:pPr>
        <w:spacing w:after="0" w:line="17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20"/>
          <w:szCs w:val="20"/>
          <w:i w:val="1"/>
          <w:iCs w:val="1"/>
          <w:u w:val="single" w:color="auto"/>
          <w:color w:val="auto"/>
        </w:rPr>
        <w:t>Restricted Stock Grants</w:t>
      </w:r>
      <w:r>
        <w:rPr>
          <w:rFonts w:ascii="Arial" w:cs="Arial" w:eastAsia="Arial" w:hAnsi="Arial"/>
          <w:sz w:val="20"/>
          <w:szCs w:val="20"/>
          <w:i w:val="1"/>
          <w:iCs w:val="1"/>
          <w:color w:val="auto"/>
        </w:rPr>
        <w:t>.</w:t>
      </w:r>
    </w:p>
    <w:p>
      <w:pPr>
        <w:spacing w:after="0" w:line="348" w:lineRule="exact"/>
        <w:rPr>
          <w:sz w:val="20"/>
          <w:szCs w:val="20"/>
          <w:color w:val="auto"/>
        </w:rPr>
      </w:pPr>
    </w:p>
    <w:tbl>
      <w:tblPr>
        <w:tblLayout w:type="fixed"/>
        <w:tblInd w:w="50" w:type="dxa"/>
        <w:tblCellMar>
          <w:top w:w="0" w:type="dxa"/>
          <w:left w:w="0" w:type="dxa"/>
          <w:bottom w:w="0" w:type="dxa"/>
          <w:right w:w="0" w:type="dxa"/>
        </w:tblCellMar>
      </w:tblPr>
      <w:tr>
        <w:trPr>
          <w:trHeight w:val="148"/>
        </w:trPr>
        <w:tc>
          <w:tcPr>
            <w:tcW w:w="1080" w:type="dxa"/>
            <w:vAlign w:val="bottom"/>
            <w:tcBorders>
              <w:top w:val="single" w:sz="8" w:color="auto"/>
              <w:left w:val="single" w:sz="8" w:color="auto"/>
            </w:tcBorders>
            <w:shd w:val="clear" w:color="auto" w:fill="BDE782"/>
          </w:tcPr>
          <w:p>
            <w:pPr>
              <w:spacing w:after="0"/>
              <w:rPr>
                <w:sz w:val="12"/>
                <w:szCs w:val="12"/>
                <w:color w:val="auto"/>
              </w:rPr>
            </w:pPr>
          </w:p>
        </w:tc>
        <w:tc>
          <w:tcPr>
            <w:tcW w:w="900" w:type="dxa"/>
            <w:vAlign w:val="bottom"/>
            <w:tcBorders>
              <w:top w:val="single" w:sz="8" w:color="auto"/>
            </w:tcBorders>
            <w:shd w:val="clear" w:color="auto" w:fill="BDE782"/>
          </w:tcPr>
          <w:p>
            <w:pPr>
              <w:spacing w:after="0"/>
              <w:rPr>
                <w:sz w:val="12"/>
                <w:szCs w:val="12"/>
                <w:color w:val="auto"/>
              </w:rPr>
            </w:pPr>
          </w:p>
        </w:tc>
        <w:tc>
          <w:tcPr>
            <w:tcW w:w="1160" w:type="dxa"/>
            <w:vAlign w:val="bottom"/>
            <w:tcBorders>
              <w:top w:val="single" w:sz="8" w:color="auto"/>
            </w:tcBorders>
            <w:shd w:val="clear" w:color="auto" w:fill="BDE782"/>
          </w:tcPr>
          <w:p>
            <w:pPr>
              <w:spacing w:after="0"/>
              <w:rPr>
                <w:sz w:val="12"/>
                <w:szCs w:val="12"/>
                <w:color w:val="auto"/>
              </w:rPr>
            </w:pPr>
          </w:p>
        </w:tc>
        <w:tc>
          <w:tcPr>
            <w:tcW w:w="1160" w:type="dxa"/>
            <w:vAlign w:val="bottom"/>
            <w:tcBorders>
              <w:top w:val="single" w:sz="8" w:color="auto"/>
            </w:tcBorders>
            <w:shd w:val="clear" w:color="auto" w:fill="BDE782"/>
          </w:tcPr>
          <w:p>
            <w:pPr>
              <w:jc w:val="center"/>
              <w:ind w:left="66"/>
              <w:spacing w:after="0"/>
              <w:rPr>
                <w:sz w:val="20"/>
                <w:szCs w:val="20"/>
                <w:color w:val="auto"/>
              </w:rPr>
            </w:pPr>
            <w:r>
              <w:rPr>
                <w:rFonts w:ascii="Arial" w:cs="Arial" w:eastAsia="Arial" w:hAnsi="Arial"/>
                <w:sz w:val="11"/>
                <w:szCs w:val="11"/>
                <w:b w:val="1"/>
                <w:bCs w:val="1"/>
                <w:color w:val="auto"/>
                <w:w w:val="87"/>
              </w:rPr>
              <w:t>Restricted Stock</w:t>
            </w:r>
          </w:p>
        </w:tc>
        <w:tc>
          <w:tcPr>
            <w:tcW w:w="1240" w:type="dxa"/>
            <w:vAlign w:val="bottom"/>
            <w:tcBorders>
              <w:top w:val="single" w:sz="8" w:color="auto"/>
            </w:tcBorders>
            <w:shd w:val="clear" w:color="auto" w:fill="BDE782"/>
          </w:tcPr>
          <w:p>
            <w:pPr>
              <w:spacing w:after="0"/>
              <w:rPr>
                <w:sz w:val="12"/>
                <w:szCs w:val="12"/>
                <w:color w:val="auto"/>
              </w:rPr>
            </w:pPr>
          </w:p>
        </w:tc>
        <w:tc>
          <w:tcPr>
            <w:tcW w:w="980" w:type="dxa"/>
            <w:vAlign w:val="bottom"/>
            <w:tcBorders>
              <w:top w:val="single" w:sz="8" w:color="auto"/>
            </w:tcBorders>
            <w:shd w:val="clear" w:color="auto" w:fill="BDE782"/>
          </w:tcPr>
          <w:p>
            <w:pPr>
              <w:jc w:val="center"/>
              <w:spacing w:after="0"/>
              <w:rPr>
                <w:sz w:val="20"/>
                <w:szCs w:val="20"/>
                <w:color w:val="auto"/>
              </w:rPr>
            </w:pPr>
            <w:r>
              <w:rPr>
                <w:rFonts w:ascii="Arial" w:cs="Arial" w:eastAsia="Arial" w:hAnsi="Arial"/>
                <w:sz w:val="11"/>
                <w:szCs w:val="11"/>
                <w:b w:val="1"/>
                <w:bCs w:val="1"/>
                <w:color w:val="auto"/>
                <w:w w:val="87"/>
              </w:rPr>
              <w:t>Restricted Stock</w:t>
            </w:r>
          </w:p>
        </w:tc>
        <w:tc>
          <w:tcPr>
            <w:tcW w:w="1220" w:type="dxa"/>
            <w:vAlign w:val="bottom"/>
            <w:tcBorders>
              <w:top w:val="single" w:sz="8" w:color="auto"/>
            </w:tcBorders>
            <w:shd w:val="clear" w:color="auto" w:fill="BDE782"/>
          </w:tcPr>
          <w:p>
            <w:pPr>
              <w:spacing w:after="0"/>
              <w:rPr>
                <w:sz w:val="12"/>
                <w:szCs w:val="12"/>
                <w:color w:val="auto"/>
              </w:rPr>
            </w:pPr>
          </w:p>
        </w:tc>
        <w:tc>
          <w:tcPr>
            <w:tcW w:w="1120" w:type="dxa"/>
            <w:vAlign w:val="bottom"/>
            <w:tcBorders>
              <w:top w:val="single" w:sz="8" w:color="auto"/>
            </w:tcBorders>
            <w:shd w:val="clear" w:color="auto" w:fill="BDE782"/>
          </w:tcPr>
          <w:p>
            <w:pPr>
              <w:spacing w:after="0"/>
              <w:rPr>
                <w:sz w:val="12"/>
                <w:szCs w:val="12"/>
                <w:color w:val="auto"/>
              </w:rPr>
            </w:pPr>
          </w:p>
        </w:tc>
        <w:tc>
          <w:tcPr>
            <w:tcW w:w="1260" w:type="dxa"/>
            <w:vAlign w:val="bottom"/>
            <w:tcBorders>
              <w:top w:val="single" w:sz="8" w:color="auto"/>
            </w:tcBorders>
            <w:shd w:val="clear" w:color="auto" w:fill="BDE782"/>
          </w:tcPr>
          <w:p>
            <w:pPr>
              <w:spacing w:after="0"/>
              <w:rPr>
                <w:sz w:val="12"/>
                <w:szCs w:val="12"/>
                <w:color w:val="auto"/>
              </w:rPr>
            </w:pPr>
          </w:p>
        </w:tc>
        <w:tc>
          <w:tcPr>
            <w:tcW w:w="1240" w:type="dxa"/>
            <w:vAlign w:val="bottom"/>
            <w:tcBorders>
              <w:top w:val="single" w:sz="8" w:color="auto"/>
            </w:tcBorders>
            <w:shd w:val="clear" w:color="auto" w:fill="BDE782"/>
          </w:tcPr>
          <w:p>
            <w:pPr>
              <w:spacing w:after="0"/>
              <w:rPr>
                <w:sz w:val="12"/>
                <w:szCs w:val="12"/>
                <w:color w:val="auto"/>
              </w:rPr>
            </w:pPr>
          </w:p>
        </w:tc>
      </w:tr>
      <w:tr>
        <w:trPr>
          <w:trHeight w:val="122"/>
        </w:trPr>
        <w:tc>
          <w:tcPr>
            <w:tcW w:w="1080" w:type="dxa"/>
            <w:vAlign w:val="bottom"/>
            <w:tcBorders>
              <w:left w:val="single" w:sz="8" w:color="auto"/>
            </w:tcBorders>
            <w:shd w:val="clear" w:color="auto" w:fill="BDE782"/>
          </w:tcPr>
          <w:p>
            <w:pPr>
              <w:spacing w:after="0"/>
              <w:rPr>
                <w:sz w:val="10"/>
                <w:szCs w:val="10"/>
                <w:color w:val="auto"/>
              </w:rPr>
            </w:pPr>
          </w:p>
        </w:tc>
        <w:tc>
          <w:tcPr>
            <w:tcW w:w="900" w:type="dxa"/>
            <w:vAlign w:val="bottom"/>
            <w:shd w:val="clear" w:color="auto" w:fill="BDE782"/>
          </w:tcPr>
          <w:p>
            <w:pPr>
              <w:spacing w:after="0"/>
              <w:rPr>
                <w:sz w:val="10"/>
                <w:szCs w:val="10"/>
                <w:color w:val="auto"/>
              </w:rPr>
            </w:pPr>
          </w:p>
        </w:tc>
        <w:tc>
          <w:tcPr>
            <w:tcW w:w="1160" w:type="dxa"/>
            <w:vAlign w:val="bottom"/>
            <w:shd w:val="clear" w:color="auto" w:fill="BDE782"/>
          </w:tcPr>
          <w:p>
            <w:pPr>
              <w:spacing w:after="0"/>
              <w:rPr>
                <w:sz w:val="10"/>
                <w:szCs w:val="10"/>
                <w:color w:val="auto"/>
              </w:rPr>
            </w:pPr>
          </w:p>
        </w:tc>
        <w:tc>
          <w:tcPr>
            <w:tcW w:w="1160" w:type="dxa"/>
            <w:vAlign w:val="bottom"/>
            <w:shd w:val="clear" w:color="auto" w:fill="BDE782"/>
          </w:tcPr>
          <w:p>
            <w:pPr>
              <w:jc w:val="center"/>
              <w:ind w:left="26"/>
              <w:spacing w:after="0" w:line="122" w:lineRule="exact"/>
              <w:rPr>
                <w:sz w:val="20"/>
                <w:szCs w:val="20"/>
                <w:color w:val="auto"/>
              </w:rPr>
            </w:pPr>
            <w:r>
              <w:rPr>
                <w:rFonts w:ascii="Arial" w:cs="Arial" w:eastAsia="Arial" w:hAnsi="Arial"/>
                <w:sz w:val="11"/>
                <w:szCs w:val="11"/>
                <w:b w:val="1"/>
                <w:bCs w:val="1"/>
                <w:color w:val="auto"/>
                <w:w w:val="94"/>
              </w:rPr>
              <w:t>Granted</w:t>
            </w:r>
          </w:p>
        </w:tc>
        <w:tc>
          <w:tcPr>
            <w:tcW w:w="1240" w:type="dxa"/>
            <w:vAlign w:val="bottom"/>
            <w:shd w:val="clear" w:color="auto" w:fill="BDE782"/>
          </w:tcPr>
          <w:p>
            <w:pPr>
              <w:spacing w:after="0"/>
              <w:rPr>
                <w:sz w:val="10"/>
                <w:szCs w:val="10"/>
                <w:color w:val="auto"/>
              </w:rPr>
            </w:pPr>
          </w:p>
        </w:tc>
        <w:tc>
          <w:tcPr>
            <w:tcW w:w="980" w:type="dxa"/>
            <w:vAlign w:val="bottom"/>
            <w:shd w:val="clear" w:color="auto" w:fill="BDE782"/>
          </w:tcPr>
          <w:p>
            <w:pPr>
              <w:jc w:val="center"/>
              <w:spacing w:after="0" w:line="122" w:lineRule="exact"/>
              <w:rPr>
                <w:sz w:val="20"/>
                <w:szCs w:val="20"/>
                <w:color w:val="auto"/>
              </w:rPr>
            </w:pPr>
            <w:r>
              <w:rPr>
                <w:rFonts w:ascii="Arial" w:cs="Arial" w:eastAsia="Arial" w:hAnsi="Arial"/>
                <w:sz w:val="11"/>
                <w:szCs w:val="11"/>
                <w:b w:val="1"/>
                <w:bCs w:val="1"/>
                <w:color w:val="auto"/>
                <w:w w:val="89"/>
              </w:rPr>
              <w:t>Granted</w:t>
            </w:r>
          </w:p>
        </w:tc>
        <w:tc>
          <w:tcPr>
            <w:tcW w:w="1220" w:type="dxa"/>
            <w:vAlign w:val="bottom"/>
            <w:shd w:val="clear" w:color="auto" w:fill="BDE782"/>
          </w:tcPr>
          <w:p>
            <w:pPr>
              <w:spacing w:after="0"/>
              <w:rPr>
                <w:sz w:val="10"/>
                <w:szCs w:val="10"/>
                <w:color w:val="auto"/>
              </w:rPr>
            </w:pPr>
          </w:p>
        </w:tc>
        <w:tc>
          <w:tcPr>
            <w:tcW w:w="1120" w:type="dxa"/>
            <w:vAlign w:val="bottom"/>
            <w:shd w:val="clear" w:color="auto" w:fill="BDE782"/>
          </w:tcPr>
          <w:p>
            <w:pPr>
              <w:jc w:val="center"/>
              <w:spacing w:after="0" w:line="122" w:lineRule="exact"/>
              <w:rPr>
                <w:sz w:val="20"/>
                <w:szCs w:val="20"/>
                <w:color w:val="auto"/>
              </w:rPr>
            </w:pPr>
            <w:r>
              <w:rPr>
                <w:rFonts w:ascii="Arial" w:cs="Arial" w:eastAsia="Arial" w:hAnsi="Arial"/>
                <w:sz w:val="11"/>
                <w:szCs w:val="11"/>
                <w:b w:val="1"/>
                <w:bCs w:val="1"/>
                <w:color w:val="auto"/>
                <w:w w:val="87"/>
              </w:rPr>
              <w:t>Restricted Stock</w:t>
            </w:r>
          </w:p>
        </w:tc>
        <w:tc>
          <w:tcPr>
            <w:tcW w:w="1260" w:type="dxa"/>
            <w:vAlign w:val="bottom"/>
            <w:shd w:val="clear" w:color="auto" w:fill="BDE782"/>
          </w:tcPr>
          <w:p>
            <w:pPr>
              <w:spacing w:after="0"/>
              <w:rPr>
                <w:sz w:val="10"/>
                <w:szCs w:val="10"/>
                <w:color w:val="auto"/>
              </w:rPr>
            </w:pPr>
          </w:p>
        </w:tc>
        <w:tc>
          <w:tcPr>
            <w:tcW w:w="1240" w:type="dxa"/>
            <w:vAlign w:val="bottom"/>
            <w:shd w:val="clear" w:color="auto" w:fill="BDE782"/>
          </w:tcPr>
          <w:p>
            <w:pPr>
              <w:jc w:val="center"/>
              <w:spacing w:after="0" w:line="122" w:lineRule="exact"/>
              <w:rPr>
                <w:sz w:val="20"/>
                <w:szCs w:val="20"/>
                <w:color w:val="auto"/>
              </w:rPr>
            </w:pPr>
            <w:r>
              <w:rPr>
                <w:rFonts w:ascii="Arial" w:cs="Arial" w:eastAsia="Arial" w:hAnsi="Arial"/>
                <w:sz w:val="11"/>
                <w:szCs w:val="11"/>
                <w:b w:val="1"/>
                <w:bCs w:val="1"/>
                <w:color w:val="auto"/>
                <w:w w:val="88"/>
              </w:rPr>
              <w:t>Unvested Restricted</w:t>
            </w:r>
          </w:p>
        </w:tc>
      </w:tr>
      <w:tr>
        <w:trPr>
          <w:trHeight w:val="167"/>
        </w:trPr>
        <w:tc>
          <w:tcPr>
            <w:tcW w:w="1080" w:type="dxa"/>
            <w:vAlign w:val="bottom"/>
            <w:tcBorders>
              <w:left w:val="single" w:sz="8" w:color="auto"/>
              <w:bottom w:val="single" w:sz="8" w:color="BDE782"/>
            </w:tcBorders>
            <w:shd w:val="clear" w:color="auto" w:fill="BDE782"/>
          </w:tcPr>
          <w:p>
            <w:pPr>
              <w:jc w:val="center"/>
              <w:ind w:right="106"/>
              <w:spacing w:after="0"/>
              <w:rPr>
                <w:sz w:val="20"/>
                <w:szCs w:val="20"/>
                <w:color w:val="auto"/>
              </w:rPr>
            </w:pPr>
            <w:r>
              <w:rPr>
                <w:rFonts w:ascii="Arial" w:cs="Arial" w:eastAsia="Arial" w:hAnsi="Arial"/>
                <w:sz w:val="11"/>
                <w:szCs w:val="11"/>
                <w:b w:val="1"/>
                <w:bCs w:val="1"/>
                <w:color w:val="auto"/>
                <w:w w:val="91"/>
              </w:rPr>
              <w:t>Certificate No.</w:t>
            </w:r>
          </w:p>
        </w:tc>
        <w:tc>
          <w:tcPr>
            <w:tcW w:w="900" w:type="dxa"/>
            <w:vAlign w:val="bottom"/>
            <w:tcBorders>
              <w:bottom w:val="single" w:sz="8" w:color="BDE782"/>
            </w:tcBorders>
            <w:shd w:val="clear" w:color="auto" w:fill="BDE782"/>
          </w:tcPr>
          <w:p>
            <w:pPr>
              <w:ind w:left="300"/>
              <w:spacing w:after="0"/>
              <w:rPr>
                <w:sz w:val="20"/>
                <w:szCs w:val="20"/>
                <w:color w:val="auto"/>
              </w:rPr>
            </w:pPr>
            <w:r>
              <w:rPr>
                <w:rFonts w:ascii="Arial" w:cs="Arial" w:eastAsia="Arial" w:hAnsi="Arial"/>
                <w:sz w:val="11"/>
                <w:szCs w:val="11"/>
                <w:b w:val="1"/>
                <w:bCs w:val="1"/>
                <w:color w:val="auto"/>
              </w:rPr>
              <w:t>Plan</w:t>
            </w:r>
          </w:p>
        </w:tc>
        <w:tc>
          <w:tcPr>
            <w:tcW w:w="1160" w:type="dxa"/>
            <w:vAlign w:val="bottom"/>
            <w:tcBorders>
              <w:bottom w:val="single" w:sz="8" w:color="BDE782"/>
            </w:tcBorders>
            <w:shd w:val="clear" w:color="auto" w:fill="BDE782"/>
          </w:tcPr>
          <w:p>
            <w:pPr>
              <w:ind w:left="380"/>
              <w:spacing w:after="0"/>
              <w:rPr>
                <w:sz w:val="20"/>
                <w:szCs w:val="20"/>
                <w:color w:val="auto"/>
              </w:rPr>
            </w:pPr>
            <w:r>
              <w:rPr>
                <w:rFonts w:ascii="Arial" w:cs="Arial" w:eastAsia="Arial" w:hAnsi="Arial"/>
                <w:sz w:val="11"/>
                <w:szCs w:val="11"/>
                <w:b w:val="1"/>
                <w:bCs w:val="1"/>
                <w:color w:val="auto"/>
              </w:rPr>
              <w:t>Grant Date</w:t>
            </w:r>
          </w:p>
        </w:tc>
        <w:tc>
          <w:tcPr>
            <w:tcW w:w="1160" w:type="dxa"/>
            <w:vAlign w:val="bottom"/>
            <w:tcBorders>
              <w:bottom w:val="single" w:sz="8" w:color="BDE782"/>
            </w:tcBorders>
            <w:shd w:val="clear" w:color="auto" w:fill="BDE782"/>
          </w:tcPr>
          <w:p>
            <w:pPr>
              <w:jc w:val="center"/>
              <w:ind w:left="26"/>
              <w:spacing w:after="0"/>
              <w:rPr>
                <w:sz w:val="20"/>
                <w:szCs w:val="20"/>
                <w:color w:val="auto"/>
              </w:rPr>
            </w:pPr>
            <w:r>
              <w:rPr>
                <w:rFonts w:ascii="Arial" w:cs="Arial" w:eastAsia="Arial" w:hAnsi="Arial"/>
                <w:sz w:val="11"/>
                <w:szCs w:val="11"/>
                <w:b w:val="1"/>
                <w:bCs w:val="1"/>
                <w:color w:val="auto"/>
                <w:w w:val="92"/>
              </w:rPr>
              <w:t>(in dollars)</w:t>
            </w:r>
          </w:p>
        </w:tc>
        <w:tc>
          <w:tcPr>
            <w:tcW w:w="1240" w:type="dxa"/>
            <w:vAlign w:val="bottom"/>
            <w:tcBorders>
              <w:bottom w:val="single" w:sz="8" w:color="BDE782"/>
            </w:tcBorders>
            <w:shd w:val="clear" w:color="auto" w:fill="BDE782"/>
          </w:tcPr>
          <w:p>
            <w:pPr>
              <w:jc w:val="right"/>
              <w:ind w:right="106"/>
              <w:spacing w:after="0"/>
              <w:rPr>
                <w:sz w:val="20"/>
                <w:szCs w:val="20"/>
                <w:color w:val="auto"/>
              </w:rPr>
            </w:pPr>
            <w:r>
              <w:rPr>
                <w:rFonts w:ascii="Arial" w:cs="Arial" w:eastAsia="Arial" w:hAnsi="Arial"/>
                <w:sz w:val="11"/>
                <w:szCs w:val="11"/>
                <w:b w:val="1"/>
                <w:bCs w:val="1"/>
                <w:color w:val="auto"/>
              </w:rPr>
              <w:t>Grant Price (in US$)</w:t>
            </w:r>
          </w:p>
        </w:tc>
        <w:tc>
          <w:tcPr>
            <w:tcW w:w="980" w:type="dxa"/>
            <w:vAlign w:val="bottom"/>
            <w:tcBorders>
              <w:bottom w:val="single" w:sz="8" w:color="BDE782"/>
            </w:tcBorders>
            <w:shd w:val="clear" w:color="auto" w:fill="BDE782"/>
          </w:tcPr>
          <w:p>
            <w:pPr>
              <w:jc w:val="center"/>
              <w:spacing w:after="0"/>
              <w:rPr>
                <w:sz w:val="20"/>
                <w:szCs w:val="20"/>
                <w:color w:val="auto"/>
              </w:rPr>
            </w:pPr>
            <w:r>
              <w:rPr>
                <w:rFonts w:ascii="Arial" w:cs="Arial" w:eastAsia="Arial" w:hAnsi="Arial"/>
                <w:sz w:val="11"/>
                <w:szCs w:val="11"/>
                <w:b w:val="1"/>
                <w:bCs w:val="1"/>
                <w:color w:val="auto"/>
                <w:w w:val="86"/>
              </w:rPr>
              <w:t>(in shares)</w:t>
            </w:r>
          </w:p>
        </w:tc>
        <w:tc>
          <w:tcPr>
            <w:tcW w:w="1220" w:type="dxa"/>
            <w:vAlign w:val="bottom"/>
            <w:tcBorders>
              <w:bottom w:val="single" w:sz="8" w:color="BDE782"/>
            </w:tcBorders>
            <w:shd w:val="clear" w:color="auto" w:fill="BDE782"/>
          </w:tcPr>
          <w:p>
            <w:pPr>
              <w:jc w:val="center"/>
              <w:ind w:left="6"/>
              <w:spacing w:after="0"/>
              <w:rPr>
                <w:sz w:val="20"/>
                <w:szCs w:val="20"/>
                <w:color w:val="auto"/>
              </w:rPr>
            </w:pPr>
            <w:r>
              <w:rPr>
                <w:rFonts w:ascii="Arial" w:cs="Arial" w:eastAsia="Arial" w:hAnsi="Arial"/>
                <w:sz w:val="11"/>
                <w:szCs w:val="11"/>
                <w:b w:val="1"/>
                <w:bCs w:val="1"/>
                <w:color w:val="auto"/>
                <w:w w:val="86"/>
              </w:rPr>
              <w:t>Restricted Stock Issued</w:t>
            </w:r>
          </w:p>
        </w:tc>
        <w:tc>
          <w:tcPr>
            <w:tcW w:w="1120" w:type="dxa"/>
            <w:vAlign w:val="bottom"/>
            <w:tcBorders>
              <w:bottom w:val="single" w:sz="8" w:color="BDE782"/>
            </w:tcBorders>
            <w:shd w:val="clear" w:color="auto" w:fill="BDE782"/>
          </w:tcPr>
          <w:p>
            <w:pPr>
              <w:jc w:val="center"/>
              <w:spacing w:after="0"/>
              <w:rPr>
                <w:sz w:val="20"/>
                <w:szCs w:val="20"/>
                <w:color w:val="auto"/>
              </w:rPr>
            </w:pPr>
            <w:r>
              <w:rPr>
                <w:rFonts w:ascii="Arial" w:cs="Arial" w:eastAsia="Arial" w:hAnsi="Arial"/>
                <w:sz w:val="11"/>
                <w:szCs w:val="11"/>
                <w:b w:val="1"/>
                <w:bCs w:val="1"/>
                <w:color w:val="auto"/>
                <w:w w:val="86"/>
              </w:rPr>
              <w:t>Outstanding</w:t>
            </w:r>
          </w:p>
        </w:tc>
        <w:tc>
          <w:tcPr>
            <w:tcW w:w="1260" w:type="dxa"/>
            <w:vAlign w:val="bottom"/>
            <w:tcBorders>
              <w:bottom w:val="single" w:sz="8" w:color="BDE782"/>
            </w:tcBorders>
            <w:shd w:val="clear" w:color="auto" w:fill="BDE782"/>
          </w:tcPr>
          <w:p>
            <w:pPr>
              <w:jc w:val="center"/>
              <w:spacing w:after="0"/>
              <w:rPr>
                <w:sz w:val="20"/>
                <w:szCs w:val="20"/>
                <w:color w:val="auto"/>
              </w:rPr>
            </w:pPr>
            <w:r>
              <w:rPr>
                <w:rFonts w:ascii="Arial" w:cs="Arial" w:eastAsia="Arial" w:hAnsi="Arial"/>
                <w:sz w:val="11"/>
                <w:szCs w:val="11"/>
                <w:b w:val="1"/>
                <w:bCs w:val="1"/>
                <w:color w:val="auto"/>
                <w:w w:val="87"/>
              </w:rPr>
              <w:t>Vested Restricted Stock</w:t>
            </w:r>
          </w:p>
        </w:tc>
        <w:tc>
          <w:tcPr>
            <w:tcW w:w="1240" w:type="dxa"/>
            <w:vAlign w:val="bottom"/>
            <w:tcBorders>
              <w:bottom w:val="single" w:sz="8" w:color="BDE782"/>
            </w:tcBorders>
            <w:shd w:val="clear" w:color="auto" w:fill="BDE782"/>
          </w:tcPr>
          <w:p>
            <w:pPr>
              <w:jc w:val="center"/>
              <w:spacing w:after="0"/>
              <w:rPr>
                <w:sz w:val="20"/>
                <w:szCs w:val="20"/>
                <w:color w:val="auto"/>
              </w:rPr>
            </w:pPr>
            <w:r>
              <w:rPr>
                <w:rFonts w:ascii="Arial" w:cs="Arial" w:eastAsia="Arial" w:hAnsi="Arial"/>
                <w:sz w:val="11"/>
                <w:szCs w:val="11"/>
                <w:b w:val="1"/>
                <w:bCs w:val="1"/>
                <w:color w:val="auto"/>
                <w:w w:val="86"/>
              </w:rPr>
              <w:t>Stock</w:t>
            </w:r>
          </w:p>
        </w:tc>
      </w:tr>
      <w:tr>
        <w:trPr>
          <w:trHeight w:val="147"/>
        </w:trPr>
        <w:tc>
          <w:tcPr>
            <w:tcW w:w="1080" w:type="dxa"/>
            <w:vAlign w:val="bottom"/>
            <w:tcBorders>
              <w:top w:val="single" w:sz="8" w:color="auto"/>
            </w:tcBorders>
          </w:tcPr>
          <w:p>
            <w:pPr>
              <w:jc w:val="center"/>
              <w:ind w:right="106"/>
              <w:spacing w:after="0"/>
              <w:rPr>
                <w:sz w:val="20"/>
                <w:szCs w:val="20"/>
                <w:color w:val="auto"/>
              </w:rPr>
            </w:pPr>
            <w:r>
              <w:rPr>
                <w:rFonts w:ascii="Arial" w:cs="Arial" w:eastAsia="Arial" w:hAnsi="Arial"/>
                <w:sz w:val="11"/>
                <w:szCs w:val="11"/>
                <w:color w:val="auto"/>
                <w:w w:val="86"/>
              </w:rPr>
              <w:t>R0152</w:t>
            </w:r>
          </w:p>
        </w:tc>
        <w:tc>
          <w:tcPr>
            <w:tcW w:w="900" w:type="dxa"/>
            <w:vAlign w:val="bottom"/>
            <w:tcBorders>
              <w:top w:val="single" w:sz="8" w:color="auto"/>
            </w:tcBorders>
          </w:tcPr>
          <w:p>
            <w:pPr>
              <w:ind w:left="300"/>
              <w:spacing w:after="0"/>
              <w:rPr>
                <w:sz w:val="20"/>
                <w:szCs w:val="20"/>
                <w:color w:val="auto"/>
              </w:rPr>
            </w:pPr>
            <w:r>
              <w:rPr>
                <w:rFonts w:ascii="Arial" w:cs="Arial" w:eastAsia="Arial" w:hAnsi="Arial"/>
                <w:sz w:val="11"/>
                <w:szCs w:val="11"/>
                <w:color w:val="auto"/>
              </w:rPr>
              <w:t>2010</w:t>
            </w:r>
          </w:p>
        </w:tc>
        <w:tc>
          <w:tcPr>
            <w:tcW w:w="1160" w:type="dxa"/>
            <w:vAlign w:val="bottom"/>
            <w:tcBorders>
              <w:top w:val="single" w:sz="8" w:color="auto"/>
            </w:tcBorders>
          </w:tcPr>
          <w:p>
            <w:pPr>
              <w:jc w:val="center"/>
              <w:ind w:left="66"/>
              <w:spacing w:after="0"/>
              <w:rPr>
                <w:sz w:val="20"/>
                <w:szCs w:val="20"/>
                <w:color w:val="auto"/>
              </w:rPr>
            </w:pPr>
            <w:r>
              <w:rPr>
                <w:rFonts w:ascii="Arial" w:cs="Arial" w:eastAsia="Arial" w:hAnsi="Arial"/>
                <w:sz w:val="11"/>
                <w:szCs w:val="11"/>
                <w:color w:val="auto"/>
                <w:w w:val="89"/>
              </w:rPr>
              <w:t>2/12/2014</w:t>
            </w:r>
          </w:p>
        </w:tc>
        <w:tc>
          <w:tcPr>
            <w:tcW w:w="1160" w:type="dxa"/>
            <w:vAlign w:val="bottom"/>
            <w:tcBorders>
              <w:top w:val="single" w:sz="8" w:color="auto"/>
            </w:tcBorders>
          </w:tcPr>
          <w:p>
            <w:pPr>
              <w:jc w:val="right"/>
              <w:ind w:right="326"/>
              <w:spacing w:after="0"/>
              <w:rPr>
                <w:sz w:val="20"/>
                <w:szCs w:val="20"/>
                <w:color w:val="auto"/>
              </w:rPr>
            </w:pPr>
            <w:r>
              <w:rPr>
                <w:rFonts w:ascii="Arial" w:cs="Arial" w:eastAsia="Arial" w:hAnsi="Arial"/>
                <w:sz w:val="11"/>
                <w:szCs w:val="11"/>
                <w:color w:val="auto"/>
              </w:rPr>
              <w:t>210,000</w:t>
            </w:r>
          </w:p>
        </w:tc>
        <w:tc>
          <w:tcPr>
            <w:tcW w:w="124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color w:val="auto"/>
              </w:rPr>
              <w:t>35.275</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87"/>
              </w:rPr>
              <w:t>5,955</w:t>
            </w:r>
          </w:p>
        </w:tc>
        <w:tc>
          <w:tcPr>
            <w:tcW w:w="1220" w:type="dxa"/>
            <w:vAlign w:val="bottom"/>
            <w:tcBorders>
              <w:top w:val="single" w:sz="8" w:color="auto"/>
            </w:tcBorders>
          </w:tcPr>
          <w:p>
            <w:pPr>
              <w:jc w:val="center"/>
              <w:ind w:left="6"/>
              <w:spacing w:after="0"/>
              <w:rPr>
                <w:sz w:val="20"/>
                <w:szCs w:val="20"/>
                <w:color w:val="auto"/>
              </w:rPr>
            </w:pPr>
            <w:r>
              <w:rPr>
                <w:rFonts w:ascii="Arial" w:cs="Arial" w:eastAsia="Arial" w:hAnsi="Arial"/>
                <w:sz w:val="11"/>
                <w:szCs w:val="11"/>
                <w:color w:val="auto"/>
                <w:w w:val="87"/>
              </w:rPr>
              <w:t>4,963</w:t>
            </w:r>
          </w:p>
        </w:tc>
        <w:tc>
          <w:tcPr>
            <w:tcW w:w="1120" w:type="dxa"/>
            <w:vAlign w:val="bottom"/>
            <w:tcBorders>
              <w:top w:val="single" w:sz="8" w:color="auto"/>
            </w:tcBorders>
          </w:tcPr>
          <w:p>
            <w:pPr>
              <w:jc w:val="center"/>
              <w:ind w:left="586"/>
              <w:spacing w:after="0"/>
              <w:rPr>
                <w:sz w:val="20"/>
                <w:szCs w:val="20"/>
                <w:color w:val="auto"/>
              </w:rPr>
            </w:pPr>
            <w:r>
              <w:rPr>
                <w:rFonts w:ascii="Arial" w:cs="Arial" w:eastAsia="Arial" w:hAnsi="Arial"/>
                <w:sz w:val="11"/>
                <w:szCs w:val="11"/>
                <w:color w:val="auto"/>
                <w:w w:val="86"/>
              </w:rPr>
              <w:t>922</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240" w:type="dxa"/>
            <w:vAlign w:val="bottom"/>
            <w:tcBorders>
              <w:top w:val="single" w:sz="8" w:color="auto"/>
            </w:tcBorders>
          </w:tcPr>
          <w:p>
            <w:pPr>
              <w:jc w:val="center"/>
              <w:ind w:left="706"/>
              <w:spacing w:after="0"/>
              <w:rPr>
                <w:sz w:val="20"/>
                <w:szCs w:val="20"/>
                <w:color w:val="auto"/>
              </w:rPr>
            </w:pPr>
            <w:r>
              <w:rPr>
                <w:rFonts w:ascii="Arial" w:cs="Arial" w:eastAsia="Arial" w:hAnsi="Arial"/>
                <w:sz w:val="11"/>
                <w:szCs w:val="11"/>
                <w:color w:val="auto"/>
                <w:w w:val="86"/>
              </w:rPr>
              <w:t>992</w:t>
            </w:r>
          </w:p>
        </w:tc>
      </w:tr>
      <w:tr>
        <w:trPr>
          <w:trHeight w:val="176"/>
        </w:trPr>
        <w:tc>
          <w:tcPr>
            <w:tcW w:w="1080" w:type="dxa"/>
            <w:vAlign w:val="bottom"/>
          </w:tcPr>
          <w:p>
            <w:pPr>
              <w:jc w:val="center"/>
              <w:ind w:right="106"/>
              <w:spacing w:after="0"/>
              <w:rPr>
                <w:sz w:val="20"/>
                <w:szCs w:val="20"/>
                <w:color w:val="auto"/>
              </w:rPr>
            </w:pPr>
            <w:r>
              <w:rPr>
                <w:rFonts w:ascii="Arial" w:cs="Arial" w:eastAsia="Arial" w:hAnsi="Arial"/>
                <w:sz w:val="11"/>
                <w:szCs w:val="11"/>
                <w:color w:val="auto"/>
                <w:w w:val="86"/>
              </w:rPr>
              <w:t>R0064</w:t>
            </w:r>
          </w:p>
        </w:tc>
        <w:tc>
          <w:tcPr>
            <w:tcW w:w="900" w:type="dxa"/>
            <w:vAlign w:val="bottom"/>
          </w:tcPr>
          <w:p>
            <w:pPr>
              <w:ind w:left="300"/>
              <w:spacing w:after="0"/>
              <w:rPr>
                <w:sz w:val="20"/>
                <w:szCs w:val="20"/>
                <w:color w:val="auto"/>
              </w:rPr>
            </w:pPr>
            <w:r>
              <w:rPr>
                <w:rFonts w:ascii="Arial" w:cs="Arial" w:eastAsia="Arial" w:hAnsi="Arial"/>
                <w:sz w:val="11"/>
                <w:szCs w:val="11"/>
                <w:color w:val="auto"/>
              </w:rPr>
              <w:t>2014</w:t>
            </w:r>
          </w:p>
        </w:tc>
        <w:tc>
          <w:tcPr>
            <w:tcW w:w="1160" w:type="dxa"/>
            <w:vAlign w:val="bottom"/>
          </w:tcPr>
          <w:p>
            <w:pPr>
              <w:jc w:val="center"/>
              <w:ind w:left="66"/>
              <w:spacing w:after="0"/>
              <w:rPr>
                <w:sz w:val="20"/>
                <w:szCs w:val="20"/>
                <w:color w:val="auto"/>
              </w:rPr>
            </w:pPr>
            <w:r>
              <w:rPr>
                <w:rFonts w:ascii="Arial" w:cs="Arial" w:eastAsia="Arial" w:hAnsi="Arial"/>
                <w:sz w:val="11"/>
                <w:szCs w:val="11"/>
                <w:color w:val="auto"/>
                <w:w w:val="89"/>
              </w:rPr>
              <w:t>2/12/2015</w:t>
            </w:r>
          </w:p>
        </w:tc>
        <w:tc>
          <w:tcPr>
            <w:tcW w:w="1160" w:type="dxa"/>
            <w:vAlign w:val="bottom"/>
          </w:tcPr>
          <w:p>
            <w:pPr>
              <w:jc w:val="right"/>
              <w:ind w:right="346"/>
              <w:spacing w:after="0"/>
              <w:rPr>
                <w:sz w:val="20"/>
                <w:szCs w:val="20"/>
                <w:color w:val="auto"/>
              </w:rPr>
            </w:pPr>
            <w:r>
              <w:rPr>
                <w:rFonts w:ascii="Arial" w:cs="Arial" w:eastAsia="Arial" w:hAnsi="Arial"/>
                <w:sz w:val="11"/>
                <w:szCs w:val="11"/>
                <w:color w:val="auto"/>
              </w:rPr>
              <w:t>250,000</w:t>
            </w:r>
          </w:p>
        </w:tc>
        <w:tc>
          <w:tcPr>
            <w:tcW w:w="1240" w:type="dxa"/>
            <w:vAlign w:val="bottom"/>
          </w:tcPr>
          <w:p>
            <w:pPr>
              <w:jc w:val="right"/>
              <w:ind w:right="346"/>
              <w:spacing w:after="0"/>
              <w:rPr>
                <w:sz w:val="20"/>
                <w:szCs w:val="20"/>
                <w:color w:val="auto"/>
              </w:rPr>
            </w:pPr>
            <w:r>
              <w:rPr>
                <w:rFonts w:ascii="Arial" w:cs="Arial" w:eastAsia="Arial" w:hAnsi="Arial"/>
                <w:sz w:val="11"/>
                <w:szCs w:val="11"/>
                <w:color w:val="auto"/>
              </w:rPr>
              <w:t>65.540</w:t>
            </w:r>
          </w:p>
        </w:tc>
        <w:tc>
          <w:tcPr>
            <w:tcW w:w="980" w:type="dxa"/>
            <w:vAlign w:val="bottom"/>
          </w:tcPr>
          <w:p>
            <w:pPr>
              <w:jc w:val="center"/>
              <w:spacing w:after="0"/>
              <w:rPr>
                <w:sz w:val="20"/>
                <w:szCs w:val="20"/>
                <w:color w:val="auto"/>
              </w:rPr>
            </w:pPr>
            <w:r>
              <w:rPr>
                <w:rFonts w:ascii="Arial" w:cs="Arial" w:eastAsia="Arial" w:hAnsi="Arial"/>
                <w:sz w:val="11"/>
                <w:szCs w:val="11"/>
                <w:color w:val="auto"/>
                <w:w w:val="87"/>
              </w:rPr>
              <w:t>3,815</w:t>
            </w:r>
          </w:p>
        </w:tc>
        <w:tc>
          <w:tcPr>
            <w:tcW w:w="1220" w:type="dxa"/>
            <w:vAlign w:val="bottom"/>
          </w:tcPr>
          <w:p>
            <w:pPr>
              <w:jc w:val="center"/>
              <w:ind w:left="46"/>
              <w:spacing w:after="0"/>
              <w:rPr>
                <w:sz w:val="20"/>
                <w:szCs w:val="20"/>
                <w:color w:val="auto"/>
              </w:rPr>
            </w:pPr>
            <w:r>
              <w:rPr>
                <w:rFonts w:ascii="Arial" w:cs="Arial" w:eastAsia="Arial" w:hAnsi="Arial"/>
                <w:sz w:val="11"/>
                <w:szCs w:val="11"/>
                <w:color w:val="auto"/>
                <w:w w:val="87"/>
              </w:rPr>
              <w:t>1,908</w:t>
            </w:r>
          </w:p>
        </w:tc>
        <w:tc>
          <w:tcPr>
            <w:tcW w:w="1120" w:type="dxa"/>
            <w:vAlign w:val="bottom"/>
          </w:tcPr>
          <w:p>
            <w:pPr>
              <w:jc w:val="center"/>
              <w:ind w:left="566"/>
              <w:spacing w:after="0"/>
              <w:rPr>
                <w:sz w:val="20"/>
                <w:szCs w:val="20"/>
                <w:color w:val="auto"/>
              </w:rPr>
            </w:pPr>
            <w:r>
              <w:rPr>
                <w:rFonts w:ascii="Arial" w:cs="Arial" w:eastAsia="Arial" w:hAnsi="Arial"/>
                <w:sz w:val="11"/>
                <w:szCs w:val="11"/>
                <w:color w:val="auto"/>
                <w:w w:val="94"/>
              </w:rPr>
              <w:t>1,907</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40" w:type="dxa"/>
            <w:vAlign w:val="bottom"/>
          </w:tcPr>
          <w:p>
            <w:pPr>
              <w:jc w:val="center"/>
              <w:ind w:left="686"/>
              <w:spacing w:after="0"/>
              <w:rPr>
                <w:sz w:val="20"/>
                <w:szCs w:val="20"/>
                <w:color w:val="auto"/>
              </w:rPr>
            </w:pPr>
            <w:r>
              <w:rPr>
                <w:rFonts w:ascii="Arial" w:cs="Arial" w:eastAsia="Arial" w:hAnsi="Arial"/>
                <w:sz w:val="11"/>
                <w:szCs w:val="11"/>
                <w:color w:val="auto"/>
                <w:w w:val="94"/>
              </w:rPr>
              <w:t>1,907</w:t>
            </w:r>
          </w:p>
        </w:tc>
      </w:tr>
      <w:tr>
        <w:trPr>
          <w:trHeight w:val="270"/>
        </w:trPr>
        <w:tc>
          <w:tcPr>
            <w:tcW w:w="1080" w:type="dxa"/>
            <w:vAlign w:val="bottom"/>
          </w:tcPr>
          <w:p>
            <w:pPr>
              <w:jc w:val="center"/>
              <w:ind w:right="106"/>
              <w:spacing w:after="0"/>
              <w:rPr>
                <w:sz w:val="20"/>
                <w:szCs w:val="20"/>
                <w:color w:val="auto"/>
              </w:rPr>
            </w:pPr>
            <w:r>
              <w:rPr>
                <w:rFonts w:ascii="Arial" w:cs="Arial" w:eastAsia="Arial" w:hAnsi="Arial"/>
                <w:sz w:val="11"/>
                <w:szCs w:val="11"/>
                <w:color w:val="auto"/>
                <w:w w:val="86"/>
              </w:rPr>
              <w:t>R0144</w:t>
            </w:r>
          </w:p>
        </w:tc>
        <w:tc>
          <w:tcPr>
            <w:tcW w:w="900" w:type="dxa"/>
            <w:vAlign w:val="bottom"/>
          </w:tcPr>
          <w:p>
            <w:pPr>
              <w:ind w:left="300"/>
              <w:spacing w:after="0"/>
              <w:rPr>
                <w:sz w:val="20"/>
                <w:szCs w:val="20"/>
                <w:color w:val="auto"/>
              </w:rPr>
            </w:pPr>
            <w:r>
              <w:rPr>
                <w:rFonts w:ascii="Arial" w:cs="Arial" w:eastAsia="Arial" w:hAnsi="Arial"/>
                <w:sz w:val="11"/>
                <w:szCs w:val="11"/>
                <w:color w:val="auto"/>
              </w:rPr>
              <w:t>2014</w:t>
            </w:r>
          </w:p>
        </w:tc>
        <w:tc>
          <w:tcPr>
            <w:tcW w:w="1160" w:type="dxa"/>
            <w:vAlign w:val="bottom"/>
          </w:tcPr>
          <w:p>
            <w:pPr>
              <w:jc w:val="center"/>
              <w:ind w:left="86"/>
              <w:spacing w:after="0"/>
              <w:rPr>
                <w:sz w:val="20"/>
                <w:szCs w:val="20"/>
                <w:color w:val="auto"/>
              </w:rPr>
            </w:pPr>
            <w:r>
              <w:rPr>
                <w:rFonts w:ascii="Arial" w:cs="Arial" w:eastAsia="Arial" w:hAnsi="Arial"/>
                <w:sz w:val="11"/>
                <w:szCs w:val="11"/>
                <w:color w:val="auto"/>
                <w:w w:val="88"/>
              </w:rPr>
              <w:t>1/1/2016</w:t>
            </w:r>
          </w:p>
        </w:tc>
        <w:tc>
          <w:tcPr>
            <w:tcW w:w="1160" w:type="dxa"/>
            <w:vAlign w:val="bottom"/>
          </w:tcPr>
          <w:p>
            <w:pPr>
              <w:jc w:val="right"/>
              <w:ind w:right="346"/>
              <w:spacing w:after="0"/>
              <w:rPr>
                <w:sz w:val="20"/>
                <w:szCs w:val="20"/>
                <w:color w:val="auto"/>
              </w:rPr>
            </w:pPr>
            <w:r>
              <w:rPr>
                <w:rFonts w:ascii="Arial" w:cs="Arial" w:eastAsia="Arial" w:hAnsi="Arial"/>
                <w:sz w:val="11"/>
                <w:szCs w:val="11"/>
                <w:color w:val="auto"/>
              </w:rPr>
              <w:t>225,066</w:t>
            </w:r>
          </w:p>
        </w:tc>
        <w:tc>
          <w:tcPr>
            <w:tcW w:w="1240" w:type="dxa"/>
            <w:vAlign w:val="bottom"/>
          </w:tcPr>
          <w:p>
            <w:pPr>
              <w:jc w:val="right"/>
              <w:ind w:right="46"/>
              <w:spacing w:after="0"/>
              <w:rPr>
                <w:sz w:val="20"/>
                <w:szCs w:val="20"/>
                <w:color w:val="auto"/>
              </w:rPr>
            </w:pPr>
            <w:r>
              <w:rPr>
                <w:rFonts w:ascii="Arial" w:cs="Arial" w:eastAsia="Arial" w:hAnsi="Arial"/>
                <w:sz w:val="11"/>
                <w:szCs w:val="11"/>
                <w:color w:val="auto"/>
              </w:rPr>
              <w:t>51.385</w:t>
            </w:r>
          </w:p>
        </w:tc>
        <w:tc>
          <w:tcPr>
            <w:tcW w:w="980" w:type="dxa"/>
            <w:vAlign w:val="bottom"/>
          </w:tcPr>
          <w:p>
            <w:pPr>
              <w:jc w:val="center"/>
              <w:spacing w:after="0"/>
              <w:rPr>
                <w:sz w:val="20"/>
                <w:szCs w:val="20"/>
                <w:color w:val="auto"/>
              </w:rPr>
            </w:pPr>
            <w:r>
              <w:rPr>
                <w:rFonts w:ascii="Arial" w:cs="Arial" w:eastAsia="Arial" w:hAnsi="Arial"/>
                <w:sz w:val="11"/>
                <w:szCs w:val="11"/>
                <w:color w:val="auto"/>
                <w:w w:val="87"/>
              </w:rPr>
              <w:t>4,380</w:t>
            </w:r>
          </w:p>
        </w:tc>
        <w:tc>
          <w:tcPr>
            <w:tcW w:w="1220" w:type="dxa"/>
            <w:vAlign w:val="bottom"/>
          </w:tcPr>
          <w:p>
            <w:pPr>
              <w:spacing w:after="0"/>
              <w:rPr>
                <w:sz w:val="23"/>
                <w:szCs w:val="23"/>
                <w:color w:val="auto"/>
              </w:rPr>
            </w:pPr>
          </w:p>
        </w:tc>
        <w:tc>
          <w:tcPr>
            <w:tcW w:w="1120" w:type="dxa"/>
            <w:vAlign w:val="bottom"/>
          </w:tcPr>
          <w:p>
            <w:pPr>
              <w:jc w:val="center"/>
              <w:ind w:left="566"/>
              <w:spacing w:after="0"/>
              <w:rPr>
                <w:sz w:val="20"/>
                <w:szCs w:val="20"/>
                <w:color w:val="auto"/>
              </w:rPr>
            </w:pPr>
            <w:r>
              <w:rPr>
                <w:rFonts w:ascii="Arial" w:cs="Arial" w:eastAsia="Arial" w:hAnsi="Arial"/>
                <w:sz w:val="11"/>
                <w:szCs w:val="11"/>
                <w:color w:val="auto"/>
                <w:w w:val="94"/>
              </w:rPr>
              <w:t>4,380</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40" w:type="dxa"/>
            <w:vAlign w:val="bottom"/>
          </w:tcPr>
          <w:p>
            <w:pPr>
              <w:jc w:val="center"/>
              <w:ind w:left="686"/>
              <w:spacing w:after="0"/>
              <w:rPr>
                <w:sz w:val="20"/>
                <w:szCs w:val="20"/>
                <w:color w:val="auto"/>
              </w:rPr>
            </w:pPr>
            <w:r>
              <w:rPr>
                <w:rFonts w:ascii="Arial" w:cs="Arial" w:eastAsia="Arial" w:hAnsi="Arial"/>
                <w:sz w:val="11"/>
                <w:szCs w:val="11"/>
                <w:color w:val="auto"/>
                <w:w w:val="94"/>
              </w:rPr>
              <w:t>4,380</w:t>
            </w:r>
          </w:p>
        </w:tc>
      </w:tr>
      <w:tr>
        <w:trPr>
          <w:trHeight w:val="198"/>
        </w:trPr>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5"/>
        </w:trPr>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jc w:val="center"/>
              <w:ind w:left="566"/>
              <w:spacing w:after="0"/>
              <w:rPr>
                <w:sz w:val="20"/>
                <w:szCs w:val="20"/>
                <w:color w:val="auto"/>
              </w:rPr>
            </w:pPr>
            <w:r>
              <w:rPr>
                <w:rFonts w:ascii="Arial" w:cs="Arial" w:eastAsia="Arial" w:hAnsi="Arial"/>
                <w:sz w:val="11"/>
                <w:szCs w:val="11"/>
                <w:color w:val="auto"/>
                <w:w w:val="94"/>
              </w:rPr>
              <w:t>7,279</w:t>
            </w:r>
          </w:p>
        </w:tc>
        <w:tc>
          <w:tcPr>
            <w:tcW w:w="1260" w:type="dxa"/>
            <w:vAlign w:val="bottom"/>
          </w:tcPr>
          <w:p>
            <w:pPr>
              <w:spacing w:after="0"/>
              <w:rPr>
                <w:sz w:val="18"/>
                <w:szCs w:val="18"/>
                <w:color w:val="auto"/>
              </w:rPr>
            </w:pPr>
          </w:p>
        </w:tc>
        <w:tc>
          <w:tcPr>
            <w:tcW w:w="1240" w:type="dxa"/>
            <w:vAlign w:val="bottom"/>
          </w:tcPr>
          <w:p>
            <w:pPr>
              <w:jc w:val="center"/>
              <w:ind w:left="686"/>
              <w:spacing w:after="0"/>
              <w:rPr>
                <w:sz w:val="20"/>
                <w:szCs w:val="20"/>
                <w:color w:val="auto"/>
              </w:rPr>
            </w:pPr>
            <w:r>
              <w:rPr>
                <w:rFonts w:ascii="Arial" w:cs="Arial" w:eastAsia="Arial" w:hAnsi="Arial"/>
                <w:sz w:val="11"/>
                <w:szCs w:val="11"/>
                <w:color w:val="auto"/>
                <w:w w:val="94"/>
              </w:rPr>
              <w:t>7,279</w:t>
            </w:r>
          </w:p>
        </w:tc>
      </w:tr>
      <w:tr>
        <w:trPr>
          <w:trHeight w:val="22"/>
        </w:trPr>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Prior to the Effective Date, Executive is vested in and has been issued those shares set forth in the seventh column (entitled “Restricted Stock Issued”) of the listing above and during the term of this Agreement, Executive shall continue to vest in the unvested shares in accordance with such shares’ terms and conditions. Immediately on the Separation Date and so long as all terms and conditions of such shares have been met, Executive will become fully vested in the remaining unvested shares and such shares shall be promptly issued to Executive in accordance with Executive’s previous election and so long as all taxes due from Executive resulting from such issuance of shares is paid in accordance with Executive’s previous election.</w:t>
      </w:r>
    </w:p>
    <w:p>
      <w:pPr>
        <w:spacing w:after="0" w:line="204" w:lineRule="exact"/>
        <w:rPr>
          <w:sz w:val="20"/>
          <w:szCs w:val="20"/>
          <w:color w:val="auto"/>
        </w:rPr>
      </w:pPr>
    </w:p>
    <w:p>
      <w:pPr>
        <w:ind w:left="1440" w:hanging="784"/>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20"/>
          <w:szCs w:val="20"/>
          <w:b w:val="1"/>
          <w:bCs w:val="1"/>
          <w:color w:val="auto"/>
        </w:rPr>
        <w:t>THIS PARAGRAPH INTENTIONALLY LEFT BLANK.</w:t>
      </w:r>
    </w:p>
    <w:p>
      <w:pPr>
        <w:spacing w:after="0" w:line="242" w:lineRule="exact"/>
        <w:rPr>
          <w:rFonts w:ascii="Arial" w:cs="Arial" w:eastAsia="Arial" w:hAnsi="Arial"/>
          <w:sz w:val="18"/>
          <w:szCs w:val="18"/>
          <w:color w:val="auto"/>
        </w:rPr>
      </w:pPr>
    </w:p>
    <w:p>
      <w:pPr>
        <w:jc w:val="both"/>
        <w:ind w:firstLine="656"/>
        <w:spacing w:after="0" w:line="326" w:lineRule="auto"/>
        <w:tabs>
          <w:tab w:leader="none" w:pos="1431" w:val="left"/>
        </w:tabs>
        <w:numPr>
          <w:ilvl w:val="0"/>
          <w:numId w:val="42"/>
        </w:numPr>
        <w:rPr>
          <w:rFonts w:ascii="Arial" w:cs="Arial" w:eastAsia="Arial" w:hAnsi="Arial"/>
          <w:sz w:val="16"/>
          <w:szCs w:val="16"/>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and agrees that within thirty (30) days following the Separation Date,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submit all expense reports (if any) with appropriate documentation, in accordance with UEI policies and procedures, and that when paid, Executive will have received full payment therefore and that there are no, nor will there be any, other expense items due Executive.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sectPr>
      </w:pPr>
    </w:p>
    <w:bookmarkStart w:id="87" w:name="page88"/>
    <w:bookmarkEnd w:id="87"/>
    <w:p>
      <w:pPr>
        <w:jc w:val="both"/>
        <w:ind w:firstLine="656"/>
        <w:spacing w:after="0" w:line="290" w:lineRule="auto"/>
        <w:tabs>
          <w:tab w:leader="none" w:pos="1431" w:val="left"/>
        </w:tabs>
        <w:numPr>
          <w:ilvl w:val="0"/>
          <w:numId w:val="43"/>
        </w:numPr>
        <w:rPr>
          <w:rFonts w:ascii="Arial" w:cs="Arial" w:eastAsia="Arial" w:hAnsi="Arial"/>
          <w:sz w:val="17"/>
          <w:szCs w:val="17"/>
          <w:color w:val="auto"/>
        </w:rPr>
      </w:pPr>
      <w:r>
        <w:rPr>
          <w:rFonts w:ascii="Arial" w:cs="Arial" w:eastAsia="Arial" w:hAnsi="Arial"/>
          <w:sz w:val="19"/>
          <w:szCs w:val="19"/>
          <w:b w:val="1"/>
          <w:bCs w:val="1"/>
          <w:u w:val="single" w:color="auto"/>
          <w:color w:val="auto"/>
        </w:rPr>
        <w:t>NO AUTHORITY</w:t>
      </w:r>
      <w:r>
        <w:rPr>
          <w:rFonts w:ascii="Arial" w:cs="Arial" w:eastAsia="Arial" w:hAnsi="Arial"/>
          <w:sz w:val="19"/>
          <w:szCs w:val="19"/>
          <w:color w:val="auto"/>
        </w:rPr>
        <w:t>. Executive acknowledges and agrees that effective immediately on the earlier of the Separation Date or</w:t>
      </w:r>
      <w:r>
        <w:rPr>
          <w:rFonts w:ascii="Arial" w:cs="Arial" w:eastAsia="Arial" w:hAnsi="Arial"/>
          <w:sz w:val="19"/>
          <w:szCs w:val="19"/>
          <w:b w:val="1"/>
          <w:bCs w:val="1"/>
          <w:color w:val="auto"/>
        </w:rPr>
        <w:t xml:space="preserve"> </w:t>
      </w:r>
      <w:r>
        <w:rPr>
          <w:rFonts w:ascii="Arial" w:cs="Arial" w:eastAsia="Arial" w:hAnsi="Arial"/>
          <w:sz w:val="19"/>
          <w:szCs w:val="19"/>
          <w:color w:val="auto"/>
        </w:rPr>
        <w:t>January 1, 2018 (or such earlier date when Executive’s title and authority changes as requested by Executive’s superiors), Executive has no authority to bind any of the UEBV Entities to any contracts or commitments and agrees not to create any obligation of the UEBV Entities or bind or attempt to bind the UEBV Entities in any manner whatsoever, except as may be requested in writing by UEI’s Chief Executive Officer. Furthermore, Executive acknowledges and agrees that effective immediately on the Separation Date, he agrees not to involve himself in any activities of any of the UEBV Entities, except as may be requested in writing by UEI’s Chief Executive Officer.</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431" w:val="left"/>
        </w:tabs>
        <w:numPr>
          <w:ilvl w:val="0"/>
          <w:numId w:val="43"/>
        </w:numPr>
        <w:rPr>
          <w:rFonts w:ascii="Arial" w:cs="Arial" w:eastAsia="Arial" w:hAnsi="Arial"/>
          <w:sz w:val="17"/>
          <w:szCs w:val="17"/>
          <w:color w:val="auto"/>
        </w:rPr>
      </w:pPr>
      <w:r>
        <w:rPr>
          <w:rFonts w:ascii="Arial" w:cs="Arial" w:eastAsia="Arial" w:hAnsi="Arial"/>
          <w:sz w:val="19"/>
          <w:szCs w:val="19"/>
          <w:b w:val="1"/>
          <w:bCs w:val="1"/>
          <w:u w:val="single" w:color="auto"/>
          <w:color w:val="auto"/>
        </w:rPr>
        <w:t>DUTY TO COOPERATE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after the Separation Date, he shall, in accordance with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consultancy agreement to be negotiated and agreed to by the parties, cooperate fully with the UEBV Entities and their counsel with respect to any matter (including any accounting, litigation, investigation or governmental proceeding) which relates to matters with which Executive was involved during the term of his employment with the UEBV Entities. Such cooperation shall include appearing from time to time at the offices of the UEBV Entities or the UEBV Entities’ counsel for conferences and interviews and in general providing the UEBV Entities and their counsel with the full benefit of Executive’s knowledge with respect to any such matter. Executive agrees to render such cooperation in a timely fashion and at such times as may be mutually agreeable to the parties concerned. During the entire period in which Executive provides cooperation as set forth in this Paragraph 8, all information concerning the UEBV Entities or their businesses learned or received by Executive shall be treated as confidential in the same manner as such information would have been treated during any period of employment and in accordance with the terms and conditions of confidentiality in Paragraph 10 below, which terms and conditions are hereby incorporated herein for purposes of this Paragraph 8.</w:t>
      </w:r>
    </w:p>
    <w:p>
      <w:pPr>
        <w:spacing w:after="0" w:line="174" w:lineRule="exact"/>
        <w:rPr>
          <w:rFonts w:ascii="Arial" w:cs="Arial" w:eastAsia="Arial" w:hAnsi="Arial"/>
          <w:sz w:val="17"/>
          <w:szCs w:val="17"/>
          <w:color w:val="auto"/>
        </w:rPr>
      </w:pPr>
    </w:p>
    <w:p>
      <w:pPr>
        <w:jc w:val="both"/>
        <w:ind w:firstLine="656"/>
        <w:spacing w:after="0" w:line="303" w:lineRule="auto"/>
        <w:tabs>
          <w:tab w:leader="none" w:pos="1431" w:val="left"/>
        </w:tabs>
        <w:numPr>
          <w:ilvl w:val="0"/>
          <w:numId w:val="43"/>
        </w:numPr>
        <w:rPr>
          <w:rFonts w:ascii="Arial" w:cs="Arial" w:eastAsia="Arial" w:hAnsi="Arial"/>
          <w:sz w:val="16"/>
          <w:szCs w:val="16"/>
          <w:color w:val="auto"/>
        </w:rPr>
      </w:pPr>
      <w:r>
        <w:rPr>
          <w:rFonts w:ascii="Arial" w:cs="Arial" w:eastAsia="Arial" w:hAnsi="Arial"/>
          <w:sz w:val="18"/>
          <w:szCs w:val="18"/>
          <w:b w:val="1"/>
          <w:bCs w:val="1"/>
          <w:u w:val="single" w:color="auto"/>
          <w:color w:val="auto"/>
        </w:rPr>
        <w:t>RETURN OF UEBV ENTITIES'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the Separation Date, all notes, reports, sketches, plans,</w:t>
      </w:r>
      <w:r>
        <w:rPr>
          <w:rFonts w:ascii="Arial" w:cs="Arial" w:eastAsia="Arial" w:hAnsi="Arial"/>
          <w:sz w:val="18"/>
          <w:szCs w:val="18"/>
          <w:b w:val="1"/>
          <w:bCs w:val="1"/>
          <w:color w:val="auto"/>
        </w:rPr>
        <w:t xml:space="preserve"> </w:t>
      </w:r>
      <w:r>
        <w:rPr>
          <w:rFonts w:ascii="Arial" w:cs="Arial" w:eastAsia="Arial" w:hAnsi="Arial"/>
          <w:sz w:val="18"/>
          <w:szCs w:val="18"/>
          <w:color w:val="auto"/>
        </w:rPr>
        <w:t>books, credit cards, calling cards, keys (including any keys to automobiles), computers, and related paraphernalia, computer passwords, unpublished memoranda and all other documents or property which were created, developed, generated or held or controlled by Executive and which concern or are related to the UEBV Entities’ business, whether containing or relating to Confidential Information as defined below or not, are the property of the UEBV Entities and shall be returned to the UEBV Entities immediately; provided however, that Executive shall be allowed to retain (a) the laptop and mobile phone (including mobile phone number) (which phone Executive shall transfer to a person account and the UEBV Entities shall no longer pay for the phone’s service) in his possession but only so long as Executive allows the UEBV Entities’ IT department to ensure that all materials, data, links, software or other items concerning or relating to the UEBV Entities have been removed from the laptop and the mobile phone. Executive acknowledges that he has received all of his personal property that was located at the UJEBV Entities’ offices. In the event that the UEBV Entities or Executive shall discover any other property of the other in its or his possession, the UEBV Entities or Executive, as the case may be, shall immediately return such property to the other.</w:t>
      </w:r>
    </w:p>
    <w:p>
      <w:pPr>
        <w:spacing w:after="0" w:line="150" w:lineRule="exact"/>
        <w:rPr>
          <w:rFonts w:ascii="Arial" w:cs="Arial" w:eastAsia="Arial" w:hAnsi="Arial"/>
          <w:sz w:val="16"/>
          <w:szCs w:val="16"/>
          <w:color w:val="auto"/>
        </w:rPr>
      </w:pPr>
    </w:p>
    <w:p>
      <w:pPr>
        <w:jc w:val="both"/>
        <w:ind w:firstLine="656"/>
        <w:spacing w:after="0" w:line="262" w:lineRule="auto"/>
        <w:tabs>
          <w:tab w:leader="none" w:pos="1143"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recognizes he has a duty and obligation to the UEBV Entities to continue to</w:t>
      </w:r>
      <w:r>
        <w:rPr>
          <w:rFonts w:ascii="Arial" w:cs="Arial" w:eastAsia="Arial" w:hAnsi="Arial"/>
          <w:sz w:val="19"/>
          <w:szCs w:val="19"/>
          <w:b w:val="1"/>
          <w:bCs w:val="1"/>
          <w:color w:val="auto"/>
        </w:rPr>
        <w:t xml:space="preserve"> </w:t>
      </w:r>
      <w:r>
        <w:rPr>
          <w:rFonts w:ascii="Arial" w:cs="Arial" w:eastAsia="Arial" w:hAnsi="Arial"/>
          <w:sz w:val="19"/>
          <w:szCs w:val="19"/>
          <w:color w:val="auto"/>
        </w:rPr>
        <w:t>protect the confidential and proprietary information and any trade secrets belonging to the UEBV Entities (“Confidential Information”) which includes but is not limited to information pertaining to sales, costing, pricing, customer lists, product development, marketing, accounts receivable, customer credit information, research or development, distribution, technology, product design, packaging, or manufacturing or assembly processes and know-how, and marketing and therefore agrees that:</w:t>
      </w:r>
    </w:p>
    <w:p>
      <w:pPr>
        <w:spacing w:after="0" w:line="177" w:lineRule="exact"/>
        <w:rPr>
          <w:rFonts w:ascii="Arial" w:cs="Arial" w:eastAsia="Arial" w:hAnsi="Arial"/>
          <w:sz w:val="19"/>
          <w:szCs w:val="19"/>
          <w:color w:val="auto"/>
        </w:rPr>
      </w:pPr>
    </w:p>
    <w:p>
      <w:pPr>
        <w:ind w:left="660" w:right="20" w:firstLine="1293"/>
        <w:spacing w:after="0" w:line="260" w:lineRule="auto"/>
        <w:tabs>
          <w:tab w:leader="none" w:pos="2383" w:val="left"/>
        </w:tabs>
        <w:numPr>
          <w:ilvl w:val="2"/>
          <w:numId w:val="43"/>
        </w:numPr>
        <w:rPr>
          <w:rFonts w:ascii="Arial" w:cs="Arial" w:eastAsia="Arial" w:hAnsi="Arial"/>
          <w:sz w:val="20"/>
          <w:szCs w:val="20"/>
          <w:color w:val="auto"/>
        </w:rPr>
      </w:pPr>
      <w:r>
        <w:rPr>
          <w:rFonts w:ascii="Arial" w:cs="Arial" w:eastAsia="Arial" w:hAnsi="Arial"/>
          <w:sz w:val="20"/>
          <w:szCs w:val="20"/>
          <w:color w:val="auto"/>
        </w:rPr>
        <w:t>Any and all Confidential Information produced or received by Executive during his employment and hereafter is the property of the UEBV Entities.</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854" w:val="left"/>
        </w:tabs>
        <w:numPr>
          <w:ilvl w:val="1"/>
          <w:numId w:val="43"/>
        </w:numPr>
        <w:rPr>
          <w:rFonts w:ascii="Arial" w:cs="Arial" w:eastAsia="Arial" w:hAnsi="Arial"/>
          <w:sz w:val="20"/>
          <w:szCs w:val="20"/>
          <w:color w:val="auto"/>
        </w:rPr>
      </w:pPr>
      <w:r>
        <w:rPr>
          <w:rFonts w:ascii="Arial" w:cs="Arial" w:eastAsia="Arial" w:hAnsi="Arial"/>
          <w:sz w:val="20"/>
          <w:szCs w:val="20"/>
          <w:color w:val="auto"/>
        </w:rPr>
        <w:t>Executive shall not use, disclose, divulge or convey to any third person, anywhere in the world, any Confidential Information or its affiliates until such time as such information or secrets become publicly known by legitimate means, such as public disclosure by the UEBV Entities or otherwise through no wrongful act by Executive.</w:t>
      </w:r>
    </w:p>
    <w:p>
      <w:pPr>
        <w:spacing w:after="0" w:line="193" w:lineRule="exact"/>
        <w:rPr>
          <w:rFonts w:ascii="Arial" w:cs="Arial" w:eastAsia="Arial" w:hAnsi="Arial"/>
          <w:sz w:val="20"/>
          <w:szCs w:val="20"/>
          <w:color w:val="auto"/>
        </w:rPr>
      </w:pPr>
    </w:p>
    <w:p>
      <w:pPr>
        <w:ind w:firstLine="656"/>
        <w:spacing w:after="0" w:line="295" w:lineRule="auto"/>
        <w:tabs>
          <w:tab w:leader="none" w:pos="1515" w:val="left"/>
        </w:tabs>
        <w:numPr>
          <w:ilvl w:val="0"/>
          <w:numId w:val="43"/>
        </w:numPr>
        <w:rPr>
          <w:rFonts w:ascii="Arial" w:cs="Arial" w:eastAsia="Arial" w:hAnsi="Arial"/>
          <w:sz w:val="18"/>
          <w:szCs w:val="18"/>
          <w:color w:val="auto"/>
        </w:rPr>
      </w:pPr>
      <w:r>
        <w:rPr>
          <w:rFonts w:ascii="Arial" w:cs="Arial" w:eastAsia="Arial" w:hAnsi="Arial"/>
          <w:sz w:val="20"/>
          <w:szCs w:val="20"/>
          <w:b w:val="1"/>
          <w:bCs w:val="1"/>
          <w:u w:val="single" w:color="auto"/>
          <w:color w:val="auto"/>
        </w:rPr>
        <w:t>INDUCEMENT OF OTHER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For a two (2) year period ending on the second anniversary date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Separation Date, Executive will not, directly or indirectly, solicit, induce or encourage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9" w:right="239" w:bottom="1440" w:gutter="0" w:footer="0" w:header="0"/>
        </w:sectPr>
      </w:pPr>
    </w:p>
    <w:bookmarkStart w:id="88" w:name="page89"/>
    <w:bookmarkEnd w:id="88"/>
    <w:p>
      <w:pPr>
        <w:spacing w:after="0" w:line="289" w:lineRule="auto"/>
        <w:rPr>
          <w:sz w:val="20"/>
          <w:szCs w:val="20"/>
          <w:color w:val="auto"/>
        </w:rPr>
      </w:pPr>
      <w:r>
        <w:rPr>
          <w:rFonts w:ascii="Arial" w:cs="Arial" w:eastAsia="Arial" w:hAnsi="Arial"/>
          <w:sz w:val="20"/>
          <w:szCs w:val="20"/>
          <w:color w:val="auto"/>
        </w:rPr>
        <w:t>other person or entity to leave employment, agency or office with the UEBV Entities nor will he, directly or indirectly, hire any such person or entity.</w:t>
      </w:r>
    </w:p>
    <w:p>
      <w:pPr>
        <w:spacing w:after="0" w:line="169" w:lineRule="exact"/>
        <w:rPr>
          <w:sz w:val="20"/>
          <w:szCs w:val="20"/>
          <w:color w:val="auto"/>
        </w:rPr>
      </w:pPr>
    </w:p>
    <w:p>
      <w:pPr>
        <w:ind w:firstLine="656"/>
        <w:spacing w:after="0" w:line="323" w:lineRule="auto"/>
        <w:tabs>
          <w:tab w:leader="none" w:pos="1521" w:val="left"/>
        </w:tabs>
        <w:numPr>
          <w:ilvl w:val="0"/>
          <w:numId w:val="44"/>
        </w:numPr>
        <w:rPr>
          <w:rFonts w:ascii="Arial" w:cs="Arial" w:eastAsia="Arial" w:hAnsi="Arial"/>
          <w:sz w:val="17"/>
          <w:szCs w:val="17"/>
          <w:color w:val="auto"/>
        </w:rPr>
      </w:pPr>
      <w:r>
        <w:rPr>
          <w:rFonts w:ascii="Arial" w:cs="Arial" w:eastAsia="Arial" w:hAnsi="Arial"/>
          <w:sz w:val="19"/>
          <w:szCs w:val="19"/>
          <w:b w:val="1"/>
          <w:bCs w:val="1"/>
          <w:u w:val="single" w:color="auto"/>
          <w:color w:val="auto"/>
        </w:rPr>
        <w:t>NO STRICT CONSTRUCTION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language used in this Agreement will be deemed to be the language chosen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to express their mutual intent, and no rule of strict construction will be applied against any party hereto.</w:t>
      </w:r>
    </w:p>
    <w:p>
      <w:pPr>
        <w:spacing w:after="0" w:line="141" w:lineRule="exact"/>
        <w:rPr>
          <w:rFonts w:ascii="Arial" w:cs="Arial" w:eastAsia="Arial" w:hAnsi="Arial"/>
          <w:sz w:val="17"/>
          <w:szCs w:val="17"/>
          <w:color w:val="auto"/>
        </w:rPr>
      </w:pPr>
    </w:p>
    <w:p>
      <w:pPr>
        <w:jc w:val="both"/>
        <w:ind w:firstLine="656"/>
        <w:spacing w:after="0" w:line="287" w:lineRule="auto"/>
        <w:tabs>
          <w:tab w:leader="none" w:pos="1521" w:val="left"/>
        </w:tabs>
        <w:numPr>
          <w:ilvl w:val="0"/>
          <w:numId w:val="44"/>
        </w:numPr>
        <w:rPr>
          <w:rFonts w:ascii="Arial" w:cs="Arial" w:eastAsia="Arial" w:hAnsi="Arial"/>
          <w:sz w:val="17"/>
          <w:szCs w:val="17"/>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any term or provision of this Agreement shall be held to be indefinite,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the indefinite, invalid or unenforceable provision shall be deemed deleted (unless modified as hereafter provided in this Paragraph 13), and the remaining part of the Agreement shall continue in full force and effect. If any tribunal or Court of competent jurisdiction or any other competent regulatory body (including without limitation the UWV) deems any term or provision hereof unenforceable, such term or provision shall be modified only to the extent necessary to render it enforceable and this Agreement shall be valid and enforceable and the parties hereto agree to be bound by and perform same as thus modified. In making such determination, any such tribunal or Court shall also consider a reduction to or reimbursement to UEI for any consideration to which Executive has received or is to receive, including without limitation, any and all amounts and other items set forth in this Agreement.</w:t>
      </w:r>
    </w:p>
    <w:p>
      <w:pPr>
        <w:spacing w:after="0" w:line="178" w:lineRule="exact"/>
        <w:rPr>
          <w:rFonts w:ascii="Arial" w:cs="Arial" w:eastAsia="Arial" w:hAnsi="Arial"/>
          <w:sz w:val="17"/>
          <w:szCs w:val="17"/>
          <w:color w:val="auto"/>
        </w:rPr>
      </w:pPr>
    </w:p>
    <w:p>
      <w:pPr>
        <w:ind w:firstLine="656"/>
        <w:spacing w:after="0" w:line="295" w:lineRule="auto"/>
        <w:tabs>
          <w:tab w:leader="none" w:pos="1521" w:val="left"/>
        </w:tabs>
        <w:numPr>
          <w:ilvl w:val="0"/>
          <w:numId w:val="44"/>
        </w:numPr>
        <w:rPr>
          <w:rFonts w:ascii="Arial" w:cs="Arial" w:eastAsia="Arial" w:hAnsi="Arial"/>
          <w:sz w:val="18"/>
          <w:szCs w:val="18"/>
          <w:color w:val="auto"/>
        </w:rPr>
      </w:pPr>
      <w:r>
        <w:rPr>
          <w:rFonts w:ascii="Arial" w:cs="Arial" w:eastAsia="Arial" w:hAnsi="Arial"/>
          <w:sz w:val="20"/>
          <w:szCs w:val="20"/>
          <w:b w:val="1"/>
          <w:bCs w:val="1"/>
          <w:u w:val="single" w:color="auto"/>
          <w:color w:val="auto"/>
        </w:rPr>
        <w:t>WAIVER OF BREACH</w:t>
      </w:r>
      <w:r>
        <w:rPr>
          <w:rFonts w:ascii="Arial" w:cs="Arial" w:eastAsia="Arial" w:hAnsi="Arial"/>
          <w:sz w:val="20"/>
          <w:szCs w:val="20"/>
          <w:b w:val="1"/>
          <w:bCs w:val="1"/>
          <w:color w:val="auto"/>
        </w:rPr>
        <w:t xml:space="preserve">. </w:t>
      </w:r>
      <w:r>
        <w:rPr>
          <w:rFonts w:ascii="Arial" w:cs="Arial" w:eastAsia="Arial" w:hAnsi="Arial"/>
          <w:sz w:val="20"/>
          <w:szCs w:val="20"/>
          <w:color w:val="auto"/>
        </w:rPr>
        <w:t>The waiver by any party hereto of a breach of any provision of this Agreement by any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operate or be construed as a waiver of any subsequent breach.</w:t>
      </w:r>
    </w:p>
    <w:p>
      <w:pPr>
        <w:spacing w:after="0" w:line="163"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44"/>
        </w:numPr>
        <w:rPr>
          <w:rFonts w:ascii="Arial" w:cs="Arial" w:eastAsia="Arial" w:hAnsi="Arial"/>
          <w:sz w:val="16"/>
          <w:szCs w:val="16"/>
          <w:color w:val="auto"/>
        </w:rPr>
      </w:pPr>
      <w:r>
        <w:rPr>
          <w:rFonts w:ascii="Arial" w:cs="Arial" w:eastAsia="Arial" w:hAnsi="Arial"/>
          <w:sz w:val="18"/>
          <w:szCs w:val="18"/>
          <w:b w:val="1"/>
          <w:bCs w:val="1"/>
          <w:u w:val="single" w:color="auto"/>
          <w:color w:val="auto"/>
        </w:rPr>
        <w:t>ENTIRE AGREEMENT/CONSTRUCTION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Agreement constitute the entire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UEBV Entities, and as of the date of this Agreement supersede any and all contemporaneous and prior agreement whether in writing or orally, between Executive and the UEBV Entities, including without limitation, those agreements set forth on Exhibit A, except that the (a) Salary Continuation Agreement (as identified and set forth on Exhibit A) shall remain in full force and effect in accordance with its terms until the Separation Date at which time the Salary Continuation Agreement shall cease and become null and void without further action by the Parties, and (b) agreements for those stock options and other stock awards identified in subparagraphs 4(a) and 4(b) shall remain in full force and effect in accordance with their terms. Executive acknowledges and agrees that none of the UEBV Entities have made any promises to Executive other than those set forth herein. Executive further acknowledges and agrees that Executive is not entitled to receive, and will not claim, any right, benefit, compensation, or relief other than what is expressly set forth herein. This Agreement shall not be construed against any party merely because that party drafted or revised the provision in question, and it shall not be construed as an admission by any of the UEBV Entities of any improper, wrongful, or unlawful actions, or other wrongdoing against Executive, and each of the UEBV Entities specifically disclaims any liability to or wrongful acts against Executive.</w:t>
      </w:r>
    </w:p>
    <w:p>
      <w:pPr>
        <w:spacing w:after="0" w:line="169" w:lineRule="exact"/>
        <w:rPr>
          <w:rFonts w:ascii="Arial" w:cs="Arial" w:eastAsia="Arial" w:hAnsi="Arial"/>
          <w:sz w:val="16"/>
          <w:szCs w:val="16"/>
          <w:color w:val="auto"/>
        </w:rPr>
      </w:pPr>
    </w:p>
    <w:p>
      <w:pPr>
        <w:jc w:val="both"/>
        <w:ind w:firstLine="656"/>
        <w:spacing w:after="0" w:line="303" w:lineRule="auto"/>
        <w:tabs>
          <w:tab w:leader="none" w:pos="1521" w:val="left"/>
        </w:tabs>
        <w:numPr>
          <w:ilvl w:val="0"/>
          <w:numId w:val="44"/>
        </w:numPr>
        <w:rPr>
          <w:rFonts w:ascii="Arial" w:cs="Arial" w:eastAsia="Arial" w:hAnsi="Arial"/>
          <w:sz w:val="16"/>
          <w:szCs w:val="16"/>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that the covenants and agreements that he has made in this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are required for the reasonable protection of the UEBV Entities’ business and its goodwill. Executive agrees that the breach of any covenant or agreement contained herein will result in irreparable injury to the UEBV Entities, and that in addition to all other remedies provided by law or in equity with respect to the breach, the UEBV Entities will be entitled to (i) withhold any payments or portion thereof due Executive hereunder while Executive is in breach, and (ii) enforce the specific performance by Executive of Executive’s obligations hereunder and to enjoin Executive from engaging in any activity in violation hereof, all without the need of posting bond or any other security, and that no claim by Executive against any of the UEBV Entities will constitute a defense or bar to the specific enforcement of Executive’s obligations. Executive agrees that the UEBV Entities shall be entitled to recover all costs of successfully enforcing any provision of this Agreement, including reasonable attorneys’ fees and costs of litigation and any interest. Executive further agrees that the withholding of any payments or portion thereof due it by the UEBV Entities pursuant to this Paragraph 16 shall in no way be construed as a limitation to the amount of damages sustained by the UEBV Entities or to which the UEBV Entities may be entitled or as liquidated damages.</w:t>
      </w:r>
    </w:p>
    <w:p>
      <w:pPr>
        <w:spacing w:after="0" w:line="164" w:lineRule="exact"/>
        <w:rPr>
          <w:rFonts w:ascii="Arial" w:cs="Arial" w:eastAsia="Arial" w:hAnsi="Arial"/>
          <w:sz w:val="16"/>
          <w:szCs w:val="16"/>
          <w:color w:val="auto"/>
        </w:rPr>
      </w:pPr>
    </w:p>
    <w:p>
      <w:pPr>
        <w:ind w:left="1520" w:hanging="86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20"/>
          <w:szCs w:val="20"/>
          <w:b w:val="1"/>
          <w:bCs w:val="1"/>
          <w:u w:val="single" w:color="auto"/>
          <w:color w:val="auto"/>
        </w:rPr>
        <w:t>KNOWING AND VOLUNTARY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also acknowledges and recites that: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5" w:right="239" w:bottom="1440" w:gutter="0" w:footer="0" w:header="0"/>
        </w:sectPr>
      </w:pPr>
    </w:p>
    <w:bookmarkStart w:id="89" w:name="page90"/>
    <w:bookmarkEnd w:id="89"/>
    <w:p>
      <w:pPr>
        <w:ind w:left="660" w:firstLine="645"/>
        <w:spacing w:after="0" w:line="316" w:lineRule="auto"/>
        <w:tabs>
          <w:tab w:leader="none" w:pos="2156" w:val="left"/>
        </w:tabs>
        <w:numPr>
          <w:ilvl w:val="1"/>
          <w:numId w:val="45"/>
        </w:numPr>
        <w:rPr>
          <w:rFonts w:ascii="Arial" w:cs="Arial" w:eastAsia="Arial" w:hAnsi="Arial"/>
          <w:sz w:val="17"/>
          <w:szCs w:val="17"/>
          <w:color w:val="auto"/>
        </w:rPr>
      </w:pPr>
      <w:r>
        <w:rPr>
          <w:rFonts w:ascii="Arial" w:cs="Arial" w:eastAsia="Arial" w:hAnsi="Arial"/>
          <w:sz w:val="19"/>
          <w:szCs w:val="19"/>
          <w:color w:val="auto"/>
        </w:rPr>
        <w:t>He enters into this Agreement knowingly and voluntarily, without duress or reservation of any kind, without force by any employee or agent of the UEBV Entities, and after having given the matter full and careful consideration;</w:t>
      </w:r>
    </w:p>
    <w:p>
      <w:pPr>
        <w:spacing w:after="0" w:line="140" w:lineRule="exact"/>
        <w:rPr>
          <w:rFonts w:ascii="Arial" w:cs="Arial" w:eastAsia="Arial" w:hAnsi="Arial"/>
          <w:sz w:val="17"/>
          <w:szCs w:val="17"/>
          <w:color w:val="auto"/>
        </w:rPr>
      </w:pPr>
    </w:p>
    <w:p>
      <w:pPr>
        <w:ind w:left="1960" w:hanging="655"/>
        <w:spacing w:after="0"/>
        <w:tabs>
          <w:tab w:leader="none" w:pos="1960" w:val="left"/>
        </w:tabs>
        <w:numPr>
          <w:ilvl w:val="1"/>
          <w:numId w:val="45"/>
        </w:numPr>
        <w:rPr>
          <w:rFonts w:ascii="Arial" w:cs="Arial" w:eastAsia="Arial" w:hAnsi="Arial"/>
          <w:sz w:val="20"/>
          <w:szCs w:val="20"/>
          <w:color w:val="auto"/>
        </w:rPr>
      </w:pPr>
      <w:r>
        <w:rPr>
          <w:rFonts w:ascii="Arial" w:cs="Arial" w:eastAsia="Arial" w:hAnsi="Arial"/>
          <w:sz w:val="20"/>
          <w:szCs w:val="20"/>
          <w:color w:val="auto"/>
        </w:rPr>
        <w:t>He has read and understands this Agreement in its entirety; and</w:t>
      </w:r>
    </w:p>
    <w:p>
      <w:pPr>
        <w:spacing w:after="0" w:line="215" w:lineRule="exact"/>
        <w:rPr>
          <w:rFonts w:ascii="Arial" w:cs="Arial" w:eastAsia="Arial" w:hAnsi="Arial"/>
          <w:sz w:val="20"/>
          <w:szCs w:val="20"/>
          <w:color w:val="auto"/>
        </w:rPr>
      </w:pPr>
    </w:p>
    <w:p>
      <w:pPr>
        <w:jc w:val="both"/>
        <w:ind w:left="660" w:firstLine="1293"/>
        <w:spacing w:after="0" w:line="250" w:lineRule="auto"/>
        <w:tabs>
          <w:tab w:leader="none" w:pos="2451" w:val="left"/>
        </w:tabs>
        <w:numPr>
          <w:ilvl w:val="2"/>
          <w:numId w:val="45"/>
        </w:numPr>
        <w:rPr>
          <w:rFonts w:ascii="Arial" w:cs="Arial" w:eastAsia="Arial" w:hAnsi="Arial"/>
          <w:sz w:val="20"/>
          <w:szCs w:val="20"/>
          <w:color w:val="auto"/>
        </w:rPr>
      </w:pPr>
      <w:r>
        <w:rPr>
          <w:rFonts w:ascii="Arial" w:cs="Arial" w:eastAsia="Arial" w:hAnsi="Arial"/>
          <w:sz w:val="20"/>
          <w:szCs w:val="20"/>
          <w:color w:val="auto"/>
        </w:rPr>
        <w:t>He has been advised and directed orally and in writing (and this subparagraph 17(c) constitutes such written direction) to seek legal counsel and any other advice he wishes with respect to the terms of this Agreement before executing it, and he has had an opportunity to negotiate about its terms.</w:t>
      </w:r>
    </w:p>
    <w:p>
      <w:pPr>
        <w:spacing w:after="0" w:line="180" w:lineRule="exact"/>
        <w:rPr>
          <w:rFonts w:ascii="Arial" w:cs="Arial" w:eastAsia="Arial" w:hAnsi="Arial"/>
          <w:sz w:val="20"/>
          <w:szCs w:val="20"/>
          <w:color w:val="auto"/>
        </w:rPr>
      </w:pPr>
    </w:p>
    <w:p>
      <w:pPr>
        <w:jc w:val="both"/>
        <w:ind w:firstLine="656"/>
        <w:spacing w:after="0" w:line="273" w:lineRule="auto"/>
        <w:tabs>
          <w:tab w:leader="none" w:pos="1076"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 DISCHARGE, WAIVER AND COVENANT TO SUE</w:t>
      </w:r>
      <w:r>
        <w:rPr>
          <w:rFonts w:ascii="Arial" w:cs="Arial" w:eastAsia="Arial" w:hAnsi="Arial"/>
          <w:sz w:val="19"/>
          <w:szCs w:val="19"/>
          <w:b w:val="1"/>
          <w:bCs w:val="1"/>
          <w:color w:val="auto"/>
        </w:rPr>
        <w:t xml:space="preserve">. </w:t>
      </w:r>
      <w:r>
        <w:rPr>
          <w:rFonts w:ascii="Arial" w:cs="Arial" w:eastAsia="Arial" w:hAnsi="Arial"/>
          <w:sz w:val="19"/>
          <w:szCs w:val="19"/>
          <w:color w:val="auto"/>
        </w:rPr>
        <w:t>For and in consideration of the mutual covenants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Agreement, including without limitation the continued employment in Paragraph 1 and the payments set forth in Paragraph 3 above and the continued vesting of the stock options and other stock awards aet forth in Paragraph 4 above, Executive:</w:t>
      </w:r>
    </w:p>
    <w:p>
      <w:pPr>
        <w:spacing w:after="0" w:line="165" w:lineRule="exact"/>
        <w:rPr>
          <w:rFonts w:ascii="Arial" w:cs="Arial" w:eastAsia="Arial" w:hAnsi="Arial"/>
          <w:sz w:val="19"/>
          <w:szCs w:val="19"/>
          <w:color w:val="auto"/>
        </w:rPr>
      </w:pPr>
    </w:p>
    <w:p>
      <w:pPr>
        <w:ind w:left="1620" w:hanging="315"/>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20"/>
          <w:szCs w:val="20"/>
          <w:color w:val="auto"/>
        </w:rPr>
        <w:t>hereby fully and irrevocably releases and discharges the UEBV Entities from, and</w:t>
      </w:r>
    </w:p>
    <w:p>
      <w:pPr>
        <w:spacing w:after="0" w:line="215" w:lineRule="exact"/>
        <w:rPr>
          <w:rFonts w:ascii="Arial" w:cs="Arial" w:eastAsia="Arial" w:hAnsi="Arial"/>
          <w:sz w:val="18"/>
          <w:szCs w:val="18"/>
          <w:color w:val="auto"/>
        </w:rPr>
      </w:pPr>
    </w:p>
    <w:p>
      <w:pPr>
        <w:ind w:left="1620" w:hanging="315"/>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20"/>
          <w:szCs w:val="20"/>
          <w:color w:val="auto"/>
        </w:rPr>
        <w:t>hereby fully and irrevocably waives any obligations of the UEBV Entities for, and</w:t>
      </w:r>
    </w:p>
    <w:p>
      <w:pPr>
        <w:spacing w:after="0" w:line="215" w:lineRule="exact"/>
        <w:rPr>
          <w:rFonts w:ascii="Arial" w:cs="Arial" w:eastAsia="Arial" w:hAnsi="Arial"/>
          <w:sz w:val="18"/>
          <w:szCs w:val="18"/>
          <w:color w:val="auto"/>
        </w:rPr>
      </w:pPr>
    </w:p>
    <w:p>
      <w:pPr>
        <w:jc w:val="both"/>
        <w:ind w:left="1620" w:hanging="315"/>
        <w:spacing w:after="0" w:line="291"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8"/>
          <w:szCs w:val="18"/>
          <w:color w:val="auto"/>
        </w:rPr>
        <w:t>with the exception of any Claim as defined herein that applicable law precludes Executive from waiving or otherwise giving up Executive’s right to file a charge and any claim that any of the UEBV Entities breached its commitments under this Agreement, hereby covenants not to sue or otherwise commence any action to recover from the UEBV Entities,</w:t>
      </w:r>
    </w:p>
    <w:p>
      <w:pPr>
        <w:spacing w:after="0" w:line="152"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any and all sums of money, accounts, actions, causes of action, claims and demands (“Claims”) based upon or arising by reason of any damage, loss, injury or entitlement regardless of source or nature, whether known or unknown or contingent or absolute, which heretofore has been or which hereafter may be suffered or sustained, directly or indirectly, by any of the UEBV Entities in consequence of, arising out of, or in any way related to Executive’s employment, compensation, pension scheme, or separation of employment, with the UEBV Entities or any of its subsidiaries, affiliated organizations, divisions or operational subdivisions, including Executive’s separation as an employee of the UEBV Entities on the Separation Date. The foregoing release and discharge, waiver and covenant not to sue includes, but is not limited to, all Claims, and any obligations or causes of action arising from such Claims, which could have been raised under common law or under any statute, law, regulation, ordinance, or any other provision of any jurisdiction in which Executive is or was employed (including without limitation the Netherlands, France, Germany, Italy, India, Singapore, Spain, USA and the United Kingdom) including wrongful or retaliatory discharge, breach of contract, any action arising in tort including libel, slander, defamation or intentional infliction of emotional distress, personal injury, any claim arising under any property law theory, any claims under any federal or local law, statute, regulation, ordinance, or any other provision for age, race, sex, or other forms of employment discrimination or retaliation, and any claims under any other federal, or local law, statute, regulation, ordinance or public policy, and/or any claims under any express or implied contract which Executive or Executive’s successors or assigns or representatives may claim existed or arose on or before the date on which Executive signed this Agreement. This release and discharge, waiver and covenant not to sue expressly includes all claims, and any obligations or causes of action arising from such claims, that could have been raised in any country’s courts or agency or other governmental entity.</w:t>
      </w:r>
    </w:p>
    <w:p>
      <w:pPr>
        <w:spacing w:after="0" w:line="189" w:lineRule="exact"/>
        <w:rPr>
          <w:sz w:val="20"/>
          <w:szCs w:val="20"/>
          <w:color w:val="auto"/>
        </w:rPr>
      </w:pPr>
    </w:p>
    <w:p>
      <w:pPr>
        <w:ind w:left="660" w:right="20" w:firstLine="645"/>
        <w:spacing w:after="0" w:line="289" w:lineRule="auto"/>
        <w:tabs>
          <w:tab w:leader="none" w:pos="2166" w:val="left"/>
        </w:tabs>
        <w:numPr>
          <w:ilvl w:val="0"/>
          <w:numId w:val="47"/>
        </w:numPr>
        <w:rPr>
          <w:rFonts w:ascii="Arial" w:cs="Arial" w:eastAsia="Arial" w:hAnsi="Arial"/>
          <w:sz w:val="18"/>
          <w:szCs w:val="18"/>
          <w:color w:val="auto"/>
        </w:rPr>
      </w:pPr>
      <w:r>
        <w:rPr>
          <w:rFonts w:ascii="Arial" w:cs="Arial" w:eastAsia="Arial" w:hAnsi="Arial"/>
          <w:sz w:val="20"/>
          <w:szCs w:val="20"/>
          <w:color w:val="auto"/>
        </w:rPr>
        <w:t>It is further understood and agreed that as a condition of this Agreement, all rights under Section 1542 of the Civil Code of the State of California are expressly waived by Executive. Such Section reads as follows:</w:t>
      </w:r>
    </w:p>
    <w:p>
      <w:pPr>
        <w:spacing w:after="0" w:line="162" w:lineRule="exact"/>
        <w:rPr>
          <w:sz w:val="20"/>
          <w:szCs w:val="20"/>
          <w:color w:val="auto"/>
        </w:rPr>
      </w:pPr>
    </w:p>
    <w:p>
      <w:pPr>
        <w:ind w:left="1300"/>
        <w:spacing w:after="0" w:line="316"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90" w:name="page91"/>
    <w:bookmarkEnd w:id="90"/>
    <w:p>
      <w:pPr>
        <w:jc w:val="both"/>
        <w:ind w:left="660" w:firstLine="645"/>
        <w:spacing w:after="0" w:line="272" w:lineRule="auto"/>
        <w:tabs>
          <w:tab w:leader="none" w:pos="2156" w:val="left"/>
        </w:tabs>
        <w:numPr>
          <w:ilvl w:val="1"/>
          <w:numId w:val="48"/>
        </w:numPr>
        <w:rPr>
          <w:rFonts w:ascii="Arial" w:cs="Arial" w:eastAsia="Arial" w:hAnsi="Arial"/>
          <w:sz w:val="18"/>
          <w:szCs w:val="18"/>
          <w:color w:val="auto"/>
        </w:rPr>
      </w:pPr>
      <w:r>
        <w:rPr>
          <w:rFonts w:ascii="Arial" w:cs="Arial" w:eastAsia="Arial" w:hAnsi="Arial"/>
          <w:sz w:val="20"/>
          <w:szCs w:val="20"/>
          <w:color w:val="auto"/>
        </w:rPr>
        <w:t>Executive further expressly waives any and all rights Executive may have under any statute or common law principle of any other country which is of similar force and effect as California Civil Code Section 1542. Thus, for purposes of implementing a full and complete release and discharge of the Released Parties, Executive expressly acknowledges that this Agreement is intended to include and does include in its effect, without limitation, all claims which Executive does not know or suspect to exist in Executive’s favor against the Released Parties at the time of execution of this Agreement, and that this Agreement expressly contemplates the extinguishments of all such claims.</w:t>
      </w:r>
    </w:p>
    <w:p>
      <w:pPr>
        <w:spacing w:after="0" w:line="191" w:lineRule="exact"/>
        <w:rPr>
          <w:rFonts w:ascii="Arial" w:cs="Arial" w:eastAsia="Arial" w:hAnsi="Arial"/>
          <w:sz w:val="18"/>
          <w:szCs w:val="18"/>
          <w:color w:val="auto"/>
        </w:rPr>
      </w:pPr>
    </w:p>
    <w:p>
      <w:pPr>
        <w:jc w:val="both"/>
        <w:ind w:left="660" w:firstLine="645"/>
        <w:spacing w:after="0" w:line="278" w:lineRule="auto"/>
        <w:tabs>
          <w:tab w:leader="none" w:pos="2136" w:val="left"/>
        </w:tabs>
        <w:numPr>
          <w:ilvl w:val="1"/>
          <w:numId w:val="48"/>
        </w:numPr>
        <w:rPr>
          <w:rFonts w:ascii="Arial" w:cs="Arial" w:eastAsia="Arial" w:hAnsi="Arial"/>
          <w:sz w:val="18"/>
          <w:szCs w:val="18"/>
          <w:color w:val="auto"/>
        </w:rPr>
      </w:pPr>
      <w:r>
        <w:rPr>
          <w:rFonts w:ascii="Arial" w:cs="Arial" w:eastAsia="Arial" w:hAnsi="Arial"/>
          <w:sz w:val="20"/>
          <w:szCs w:val="20"/>
          <w:color w:val="auto"/>
        </w:rPr>
        <w:t>Executive agrees to withdraw with prejudice any and all complaints or charges, if any, Executive has filed against any of the Released Parties with any agency or court. Executive agrees that Executive will never file any lawsuit, complaint, or charge against any Release Party based upon the claims released in this Agreement.</w:t>
      </w:r>
    </w:p>
    <w:p>
      <w:pPr>
        <w:spacing w:after="0" w:line="180" w:lineRule="exact"/>
        <w:rPr>
          <w:rFonts w:ascii="Arial" w:cs="Arial" w:eastAsia="Arial" w:hAnsi="Arial"/>
          <w:sz w:val="18"/>
          <w:szCs w:val="18"/>
          <w:color w:val="auto"/>
        </w:rPr>
      </w:pPr>
    </w:p>
    <w:p>
      <w:pPr>
        <w:jc w:val="both"/>
        <w:ind w:firstLine="656"/>
        <w:spacing w:after="0" w:line="281" w:lineRule="auto"/>
        <w:tabs>
          <w:tab w:leader="none" w:pos="1521" w:val="left"/>
        </w:tabs>
        <w:numPr>
          <w:ilvl w:val="0"/>
          <w:numId w:val="49"/>
        </w:numPr>
        <w:rPr>
          <w:rFonts w:ascii="Arial" w:cs="Arial" w:eastAsia="Arial" w:hAnsi="Arial"/>
          <w:sz w:val="18"/>
          <w:szCs w:val="18"/>
          <w:color w:val="auto"/>
        </w:rPr>
      </w:pPr>
      <w:r>
        <w:rPr>
          <w:rFonts w:ascii="Arial" w:cs="Arial" w:eastAsia="Arial" w:hAnsi="Arial"/>
          <w:sz w:val="20"/>
          <w:szCs w:val="20"/>
          <w:b w:val="1"/>
          <w:bCs w:val="1"/>
          <w:u w:val="single" w:color="auto"/>
          <w:color w:val="auto"/>
        </w:rPr>
        <w:t>NON-DISCLOSURE</w:t>
      </w:r>
      <w:r>
        <w:rPr>
          <w:rFonts w:ascii="Arial" w:cs="Arial" w:eastAsia="Arial" w:hAnsi="Arial"/>
          <w:sz w:val="20"/>
          <w:szCs w:val="20"/>
          <w:color w:val="auto"/>
        </w:rPr>
        <w:t>. Executive certifies that he has not and agrees that he will not discuss, disclose or release in any</w:t>
      </w:r>
      <w:r>
        <w:rPr>
          <w:rFonts w:ascii="Arial" w:cs="Arial" w:eastAsia="Arial" w:hAnsi="Arial"/>
          <w:sz w:val="20"/>
          <w:szCs w:val="20"/>
          <w:b w:val="1"/>
          <w:bCs w:val="1"/>
          <w:color w:val="auto"/>
        </w:rPr>
        <w:t xml:space="preserve"> </w:t>
      </w:r>
      <w:r>
        <w:rPr>
          <w:rFonts w:ascii="Arial" w:cs="Arial" w:eastAsia="Arial" w:hAnsi="Arial"/>
          <w:sz w:val="20"/>
          <w:szCs w:val="20"/>
          <w:color w:val="auto"/>
        </w:rPr>
        <w:t>fashion any information relating to this Agreement to any person other than his attorney, accountant, financial advisor, and spouse, each of whom he has advised of this confidentiality provision and directed to maintain the same.</w:t>
      </w:r>
    </w:p>
    <w:p>
      <w:pPr>
        <w:spacing w:after="0" w:line="178" w:lineRule="exact"/>
        <w:rPr>
          <w:rFonts w:ascii="Arial" w:cs="Arial" w:eastAsia="Arial" w:hAnsi="Arial"/>
          <w:sz w:val="18"/>
          <w:szCs w:val="18"/>
          <w:color w:val="auto"/>
        </w:rPr>
      </w:pPr>
    </w:p>
    <w:p>
      <w:pPr>
        <w:jc w:val="both"/>
        <w:ind w:firstLine="656"/>
        <w:spacing w:after="0" w:line="295" w:lineRule="auto"/>
        <w:tabs>
          <w:tab w:leader="none" w:pos="1521" w:val="left"/>
        </w:tabs>
        <w:numPr>
          <w:ilvl w:val="0"/>
          <w:numId w:val="49"/>
        </w:numPr>
        <w:rPr>
          <w:rFonts w:ascii="Arial" w:cs="Arial" w:eastAsia="Arial" w:hAnsi="Arial"/>
          <w:sz w:val="17"/>
          <w:szCs w:val="17"/>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 or other communication required or permitted to be given hereunder shall be in writing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have been duly given to any party (a) upon delivery to the address of such party specified below if delivered in person or by courier, or if sent by certified or registered mail (return receipt requested), postage prepaid; (b) upon dispatch if transmitted by email or facsimile, in any case to the parties at the following email address(es) or facsimile number(s), as the case may be: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Executive: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Paul J. M. Bennett</w:t>
      </w:r>
    </w:p>
    <w:p>
      <w:pPr>
        <w:ind w:left="1960"/>
        <w:spacing w:after="0"/>
        <w:rPr>
          <w:sz w:val="20"/>
          <w:szCs w:val="20"/>
          <w:color w:val="auto"/>
        </w:rPr>
      </w:pPr>
      <w:r>
        <w:rPr>
          <w:rFonts w:ascii="Arial" w:cs="Arial" w:eastAsia="Arial" w:hAnsi="Arial"/>
          <w:sz w:val="20"/>
          <w:szCs w:val="20"/>
          <w:color w:val="auto"/>
        </w:rPr>
        <w:t>Vaarwerkhorst 62</w:t>
      </w:r>
    </w:p>
    <w:p>
      <w:pPr>
        <w:ind w:left="1960"/>
        <w:spacing w:after="0"/>
        <w:rPr>
          <w:sz w:val="20"/>
          <w:szCs w:val="20"/>
          <w:color w:val="auto"/>
        </w:rPr>
      </w:pPr>
      <w:r>
        <w:rPr>
          <w:rFonts w:ascii="Arial" w:cs="Arial" w:eastAsia="Arial" w:hAnsi="Arial"/>
          <w:sz w:val="20"/>
          <w:szCs w:val="20"/>
          <w:color w:val="auto"/>
        </w:rPr>
        <w:t>7531HR</w:t>
      </w:r>
    </w:p>
    <w:p>
      <w:pPr>
        <w:ind w:left="1960"/>
        <w:spacing w:after="0"/>
        <w:rPr>
          <w:sz w:val="20"/>
          <w:szCs w:val="20"/>
          <w:color w:val="auto"/>
        </w:rPr>
      </w:pPr>
      <w:r>
        <w:rPr>
          <w:rFonts w:ascii="Arial" w:cs="Arial" w:eastAsia="Arial" w:hAnsi="Arial"/>
          <w:sz w:val="20"/>
          <w:szCs w:val="20"/>
          <w:color w:val="auto"/>
        </w:rPr>
        <w:t>Enschede</w:t>
      </w:r>
    </w:p>
    <w:p>
      <w:pPr>
        <w:ind w:left="1960"/>
        <w:spacing w:after="0"/>
        <w:rPr>
          <w:sz w:val="20"/>
          <w:szCs w:val="20"/>
          <w:color w:val="auto"/>
        </w:rPr>
      </w:pPr>
      <w:r>
        <w:rPr>
          <w:rFonts w:ascii="Arial" w:cs="Arial" w:eastAsia="Arial" w:hAnsi="Arial"/>
          <w:sz w:val="20"/>
          <w:szCs w:val="20"/>
          <w:color w:val="auto"/>
        </w:rPr>
        <w:t>NL</w:t>
      </w:r>
    </w:p>
    <w:p>
      <w:pPr>
        <w:ind w:left="1960"/>
        <w:spacing w:after="0"/>
        <w:rPr>
          <w:sz w:val="20"/>
          <w:szCs w:val="20"/>
          <w:color w:val="auto"/>
        </w:rPr>
      </w:pPr>
      <w:r>
        <w:rPr>
          <w:rFonts w:ascii="Arial" w:cs="Arial" w:eastAsia="Arial" w:hAnsi="Arial"/>
          <w:sz w:val="20"/>
          <w:szCs w:val="20"/>
          <w:color w:val="auto"/>
        </w:rPr>
        <w:t xml:space="preserve">Email Address: </w:t>
      </w:r>
      <w:r>
        <w:rPr>
          <w:rFonts w:ascii="Arial" w:cs="Arial" w:eastAsia="Arial" w:hAnsi="Arial"/>
          <w:sz w:val="20"/>
          <w:szCs w:val="20"/>
          <w:u w:val="single" w:color="auto"/>
          <w:color w:val="0000FF"/>
        </w:rPr>
        <w:t>geabakker@hotmail.com</w:t>
      </w:r>
    </w:p>
    <w:p>
      <w:pPr>
        <w:ind w:left="1960"/>
        <w:spacing w:after="0"/>
        <w:rPr>
          <w:sz w:val="20"/>
          <w:szCs w:val="20"/>
          <w:color w:val="auto"/>
        </w:rPr>
      </w:pPr>
      <w:r>
        <w:rPr>
          <w:rFonts w:ascii="Arial" w:cs="Arial" w:eastAsia="Arial" w:hAnsi="Arial"/>
          <w:sz w:val="20"/>
          <w:szCs w:val="20"/>
          <w:color w:val="auto"/>
        </w:rPr>
        <w:t>Facsimile Number: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UEBV:</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Universal Electronics BV</w:t>
      </w:r>
    </w:p>
    <w:p>
      <w:pPr>
        <w:ind w:left="1960"/>
        <w:spacing w:after="0"/>
        <w:rPr>
          <w:sz w:val="20"/>
          <w:szCs w:val="20"/>
          <w:color w:val="auto"/>
        </w:rPr>
      </w:pPr>
      <w:r>
        <w:rPr>
          <w:rFonts w:ascii="Arial" w:cs="Arial" w:eastAsia="Arial" w:hAnsi="Arial"/>
          <w:sz w:val="20"/>
          <w:szCs w:val="20"/>
          <w:color w:val="auto"/>
        </w:rPr>
        <w:t>Colosseum 2</w:t>
      </w:r>
    </w:p>
    <w:p>
      <w:pPr>
        <w:ind w:left="1960"/>
        <w:spacing w:after="0"/>
        <w:rPr>
          <w:sz w:val="20"/>
          <w:szCs w:val="20"/>
          <w:color w:val="auto"/>
        </w:rPr>
      </w:pPr>
      <w:r>
        <w:rPr>
          <w:rFonts w:ascii="Arial" w:cs="Arial" w:eastAsia="Arial" w:hAnsi="Arial"/>
          <w:sz w:val="20"/>
          <w:szCs w:val="20"/>
          <w:color w:val="auto"/>
        </w:rPr>
        <w:t>7521 PT, Enschede</w:t>
      </w:r>
    </w:p>
    <w:p>
      <w:pPr>
        <w:ind w:left="660"/>
        <w:spacing w:after="0"/>
        <w:rPr>
          <w:sz w:val="20"/>
          <w:szCs w:val="20"/>
          <w:color w:val="auto"/>
        </w:rPr>
      </w:pPr>
      <w:r>
        <w:rPr>
          <w:rFonts w:ascii="Arial" w:cs="Arial" w:eastAsia="Arial" w:hAnsi="Arial"/>
          <w:sz w:val="20"/>
          <w:szCs w:val="20"/>
          <w:color w:val="auto"/>
        </w:rPr>
        <w:t>The Netherlands</w:t>
      </w:r>
    </w:p>
    <w:p>
      <w:pPr>
        <w:ind w:left="660"/>
        <w:spacing w:after="0"/>
        <w:rPr>
          <w:sz w:val="20"/>
          <w:szCs w:val="20"/>
          <w:color w:val="auto"/>
        </w:rPr>
      </w:pPr>
      <w:r>
        <w:rPr>
          <w:rFonts w:ascii="Arial" w:cs="Arial" w:eastAsia="Arial" w:hAnsi="Arial"/>
          <w:sz w:val="20"/>
          <w:szCs w:val="20"/>
          <w:color w:val="auto"/>
        </w:rPr>
        <w:t>Email Address: c/o Legal@UEI.com</w:t>
      </w:r>
    </w:p>
    <w:p>
      <w:pPr>
        <w:ind w:left="660"/>
        <w:spacing w:after="0"/>
        <w:rPr>
          <w:sz w:val="20"/>
          <w:szCs w:val="20"/>
          <w:color w:val="auto"/>
        </w:rPr>
      </w:pPr>
      <w:r>
        <w:rPr>
          <w:rFonts w:ascii="Arial" w:cs="Arial" w:eastAsia="Arial" w:hAnsi="Arial"/>
          <w:sz w:val="20"/>
          <w:szCs w:val="20"/>
          <w:color w:val="auto"/>
        </w:rPr>
        <w:t>Facsimile Number: +1 (714) 918-4100</w:t>
      </w: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Required Copies to:</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Universal Electronics Inc.</w:t>
      </w:r>
    </w:p>
    <w:p>
      <w:pPr>
        <w:ind w:left="1960"/>
        <w:spacing w:after="0"/>
        <w:rPr>
          <w:sz w:val="20"/>
          <w:szCs w:val="20"/>
          <w:color w:val="auto"/>
        </w:rPr>
      </w:pPr>
      <w:r>
        <w:rPr>
          <w:rFonts w:ascii="Arial" w:cs="Arial" w:eastAsia="Arial" w:hAnsi="Arial"/>
          <w:sz w:val="20"/>
          <w:szCs w:val="20"/>
          <w:color w:val="auto"/>
        </w:rPr>
        <w:t>Attn: Legal Department</w:t>
      </w:r>
    </w:p>
    <w:p>
      <w:pPr>
        <w:ind w:left="1960"/>
        <w:spacing w:after="0" w:line="236" w:lineRule="auto"/>
        <w:rPr>
          <w:sz w:val="20"/>
          <w:szCs w:val="20"/>
          <w:color w:val="auto"/>
        </w:rPr>
      </w:pPr>
      <w:r>
        <w:rPr>
          <w:rFonts w:ascii="Arial" w:cs="Arial" w:eastAsia="Arial" w:hAnsi="Arial"/>
          <w:sz w:val="20"/>
          <w:szCs w:val="20"/>
          <w:color w:val="auto"/>
        </w:rPr>
        <w:t>201 East Sandpointe Avenue</w:t>
      </w:r>
    </w:p>
    <w:p>
      <w:pPr>
        <w:ind w:left="1960"/>
        <w:spacing w:after="0" w:line="194" w:lineRule="auto"/>
        <w:rPr>
          <w:sz w:val="20"/>
          <w:szCs w:val="20"/>
          <w:color w:val="auto"/>
        </w:rPr>
      </w:pPr>
      <w:r>
        <w:rPr>
          <w:rFonts w:ascii="Arial" w:cs="Arial" w:eastAsia="Arial" w:hAnsi="Arial"/>
          <w:sz w:val="20"/>
          <w:szCs w:val="20"/>
          <w:color w:val="auto"/>
        </w:rPr>
        <w:t>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Santa Ana, California 92707</w:t>
      </w:r>
    </w:p>
    <w:p>
      <w:pPr>
        <w:ind w:left="1960"/>
        <w:spacing w:after="0"/>
        <w:rPr>
          <w:sz w:val="20"/>
          <w:szCs w:val="20"/>
          <w:color w:val="auto"/>
        </w:rPr>
      </w:pPr>
      <w:r>
        <w:rPr>
          <w:rFonts w:ascii="Arial" w:cs="Arial" w:eastAsia="Arial" w:hAnsi="Arial"/>
          <w:sz w:val="20"/>
          <w:szCs w:val="20"/>
          <w:color w:val="auto"/>
        </w:rPr>
        <w:t>Email Address: Legal@UEI.com</w:t>
      </w:r>
    </w:p>
    <w:p>
      <w:pPr>
        <w:ind w:left="1960"/>
        <w:spacing w:after="0"/>
        <w:rPr>
          <w:sz w:val="20"/>
          <w:szCs w:val="20"/>
          <w:color w:val="auto"/>
        </w:rPr>
      </w:pPr>
      <w:r>
        <w:rPr>
          <w:rFonts w:ascii="Arial" w:cs="Arial" w:eastAsia="Arial" w:hAnsi="Arial"/>
          <w:sz w:val="20"/>
          <w:szCs w:val="20"/>
          <w:color w:val="auto"/>
        </w:rPr>
        <w:t>Facsimile Number: +1 (714) 918-4100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5" w:right="239" w:bottom="1440" w:gutter="0" w:footer="0" w:header="0"/>
        </w:sectPr>
      </w:pPr>
    </w:p>
    <w:bookmarkStart w:id="91" w:name="page92"/>
    <w:bookmarkEnd w:id="91"/>
    <w:p>
      <w:pPr>
        <w:ind w:left="13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Taco Huizinga</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Law Factor</w:t>
      </w:r>
    </w:p>
    <w:p>
      <w:pPr>
        <w:ind w:left="1960"/>
        <w:spacing w:after="0"/>
        <w:rPr>
          <w:sz w:val="20"/>
          <w:szCs w:val="20"/>
          <w:color w:val="auto"/>
        </w:rPr>
      </w:pPr>
      <w:r>
        <w:rPr>
          <w:rFonts w:ascii="Arial" w:cs="Arial" w:eastAsia="Arial" w:hAnsi="Arial"/>
          <w:sz w:val="20"/>
          <w:szCs w:val="20"/>
          <w:color w:val="auto"/>
        </w:rPr>
        <w:t>Advocaten voor Innovators</w:t>
      </w:r>
    </w:p>
    <w:p>
      <w:pPr>
        <w:ind w:left="1960"/>
        <w:spacing w:after="0"/>
        <w:rPr>
          <w:sz w:val="20"/>
          <w:szCs w:val="20"/>
          <w:color w:val="auto"/>
        </w:rPr>
      </w:pPr>
      <w:r>
        <w:rPr>
          <w:rFonts w:ascii="Arial" w:cs="Arial" w:eastAsia="Arial" w:hAnsi="Arial"/>
          <w:sz w:val="20"/>
          <w:szCs w:val="20"/>
          <w:color w:val="auto"/>
        </w:rPr>
        <w:t>Mathildelaan 1a</w:t>
      </w:r>
    </w:p>
    <w:p>
      <w:pPr>
        <w:ind w:left="1960"/>
        <w:spacing w:after="0"/>
        <w:rPr>
          <w:sz w:val="20"/>
          <w:szCs w:val="20"/>
          <w:color w:val="auto"/>
        </w:rPr>
      </w:pPr>
      <w:r>
        <w:rPr>
          <w:rFonts w:ascii="Arial" w:cs="Arial" w:eastAsia="Arial" w:hAnsi="Arial"/>
          <w:sz w:val="20"/>
          <w:szCs w:val="20"/>
          <w:color w:val="auto"/>
        </w:rPr>
        <w:t>5611 BD Eindhoven</w:t>
      </w:r>
    </w:p>
    <w:p>
      <w:pPr>
        <w:ind w:left="1960"/>
        <w:spacing w:after="0"/>
        <w:rPr>
          <w:sz w:val="20"/>
          <w:szCs w:val="20"/>
          <w:color w:val="auto"/>
        </w:rPr>
      </w:pPr>
      <w:r>
        <w:rPr>
          <w:rFonts w:ascii="Arial" w:cs="Arial" w:eastAsia="Arial" w:hAnsi="Arial"/>
          <w:sz w:val="20"/>
          <w:szCs w:val="20"/>
          <w:color w:val="auto"/>
        </w:rPr>
        <w:t>The Netherlands</w:t>
      </w:r>
    </w:p>
    <w:p>
      <w:pPr>
        <w:ind w:left="1960"/>
        <w:spacing w:after="0"/>
        <w:rPr>
          <w:sz w:val="20"/>
          <w:szCs w:val="20"/>
          <w:color w:val="auto"/>
        </w:rPr>
      </w:pPr>
      <w:r>
        <w:rPr>
          <w:rFonts w:ascii="Arial" w:cs="Arial" w:eastAsia="Arial" w:hAnsi="Arial"/>
          <w:sz w:val="20"/>
          <w:szCs w:val="20"/>
          <w:color w:val="auto"/>
        </w:rPr>
        <w:t xml:space="preserve">Email Address: </w:t>
      </w:r>
      <w:r>
        <w:rPr>
          <w:rFonts w:ascii="Arial" w:cs="Arial" w:eastAsia="Arial" w:hAnsi="Arial"/>
          <w:sz w:val="20"/>
          <w:szCs w:val="20"/>
          <w:u w:val="single" w:color="auto"/>
          <w:color w:val="0000FF"/>
        </w:rPr>
        <w:t>taco.huizinga@thelawfactor.nl</w:t>
      </w:r>
    </w:p>
    <w:p>
      <w:pPr>
        <w:ind w:left="1960"/>
        <w:spacing w:after="0"/>
        <w:rPr>
          <w:sz w:val="20"/>
          <w:szCs w:val="20"/>
          <w:color w:val="auto"/>
        </w:rPr>
      </w:pPr>
      <w:r>
        <w:rPr>
          <w:rFonts w:ascii="Arial" w:cs="Arial" w:eastAsia="Arial" w:hAnsi="Arial"/>
          <w:sz w:val="20"/>
          <w:szCs w:val="20"/>
          <w:color w:val="auto"/>
        </w:rPr>
        <w:t>Facsimile Number: None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or to such other email address(es) or facsimile number(s) as any party may designate by written notice in the aforesaid manner.</w:t>
      </w:r>
    </w:p>
    <w:p>
      <w:pPr>
        <w:spacing w:after="0" w:line="223" w:lineRule="exact"/>
        <w:rPr>
          <w:sz w:val="20"/>
          <w:szCs w:val="20"/>
          <w:color w:val="auto"/>
        </w:rPr>
      </w:pPr>
    </w:p>
    <w:p>
      <w:pPr>
        <w:ind w:firstLine="656"/>
        <w:spacing w:after="0" w:line="295"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to be executed in the Netherlands and shall be construed and enforced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Netherlands without regard to its conflict of laws provisions.</w:t>
      </w:r>
    </w:p>
    <w:p>
      <w:pPr>
        <w:spacing w:after="0" w:line="163" w:lineRule="exact"/>
        <w:rPr>
          <w:rFonts w:ascii="Arial" w:cs="Arial" w:eastAsia="Arial" w:hAnsi="Arial"/>
          <w:sz w:val="18"/>
          <w:szCs w:val="18"/>
          <w:color w:val="auto"/>
        </w:rPr>
      </w:pPr>
    </w:p>
    <w:p>
      <w:pPr>
        <w:jc w:val="both"/>
        <w:ind w:firstLine="656"/>
        <w:spacing w:after="0" w:line="273"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inure to the benefit of and may be enforced by the parties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shall be binding upon Executive, Executive’s executors, spouse, administrators, legatees, heirs, or any other successor in interest, except that the rights and obligations of Executive contained in Paragraph 8, being personal in nature, may not be assigned or delegated by Executive to anyone, and upon the UEBV Entities, their successors and any assignee or transferee of or successor to all or substantially all of the business or assets of the UEBV Entities, and may not be amended, in whole or in part, except in writing signed by a duly authorized officer of UEI and UEBV and Executive.</w:t>
      </w:r>
    </w:p>
    <w:p>
      <w:pPr>
        <w:spacing w:after="0" w:line="186" w:lineRule="exact"/>
        <w:rPr>
          <w:rFonts w:ascii="Arial" w:cs="Arial" w:eastAsia="Arial" w:hAnsi="Arial"/>
          <w:sz w:val="18"/>
          <w:szCs w:val="18"/>
          <w:color w:val="auto"/>
        </w:rPr>
      </w:pPr>
    </w:p>
    <w:p>
      <w:pPr>
        <w:ind w:firstLine="656"/>
        <w:spacing w:after="0" w:line="295"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executed in several counterparts, each of which shall be deemed an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but all of which together shall constitute one in the same agreement.</w:t>
      </w:r>
    </w:p>
    <w:p>
      <w:pPr>
        <w:spacing w:after="0" w:line="163" w:lineRule="exact"/>
        <w:rPr>
          <w:rFonts w:ascii="Arial" w:cs="Arial" w:eastAsia="Arial" w:hAnsi="Arial"/>
          <w:sz w:val="18"/>
          <w:szCs w:val="18"/>
          <w:color w:val="auto"/>
        </w:rPr>
      </w:pPr>
    </w:p>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Paragraphs 4 and 6-24, inclusive shall survive the termination of this Agreement.</w:t>
      </w:r>
    </w:p>
    <w:p>
      <w:pPr>
        <w:spacing w:after="0" w:line="242" w:lineRule="exact"/>
        <w:rPr>
          <w:rFonts w:ascii="Arial" w:cs="Arial" w:eastAsia="Arial" w:hAnsi="Arial"/>
          <w:sz w:val="18"/>
          <w:szCs w:val="18"/>
          <w:color w:val="auto"/>
        </w:rPr>
      </w:pPr>
    </w:p>
    <w:p>
      <w:pPr>
        <w:ind w:left="1520" w:hanging="864"/>
        <w:spacing w:after="0"/>
        <w:tabs>
          <w:tab w:leader="none" w:pos="1520" w:val="left"/>
        </w:tabs>
        <w:numPr>
          <w:ilvl w:val="0"/>
          <w:numId w:val="50"/>
        </w:numPr>
        <w:rPr>
          <w:rFonts w:ascii="Arial" w:cs="Arial" w:eastAsia="Arial" w:hAnsi="Arial"/>
          <w:sz w:val="17"/>
          <w:szCs w:val="17"/>
          <w:color w:val="auto"/>
        </w:rPr>
      </w:pPr>
      <w:r>
        <w:rPr>
          <w:rFonts w:ascii="Arial" w:cs="Arial" w:eastAsia="Arial" w:hAnsi="Arial"/>
          <w:sz w:val="19"/>
          <w:szCs w:val="19"/>
          <w:b w:val="1"/>
          <w:bCs w:val="1"/>
          <w:u w:val="single" w:color="auto"/>
          <w:color w:val="auto"/>
        </w:rPr>
        <w:t>REVOCATION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shall have the right to revoke his consent to this Agreement for convenience under section</w:t>
      </w:r>
    </w:p>
    <w:p>
      <w:pPr>
        <w:spacing w:after="0" w:line="44" w:lineRule="exact"/>
        <w:rPr>
          <w:rFonts w:ascii="Arial" w:cs="Arial" w:eastAsia="Arial" w:hAnsi="Arial"/>
          <w:sz w:val="17"/>
          <w:szCs w:val="17"/>
          <w:color w:val="auto"/>
        </w:rPr>
      </w:pPr>
    </w:p>
    <w:p>
      <w:pPr>
        <w:jc w:val="both"/>
        <w:spacing w:after="0" w:line="274" w:lineRule="auto"/>
        <w:rPr>
          <w:rFonts w:ascii="Arial" w:cs="Arial" w:eastAsia="Arial" w:hAnsi="Arial"/>
          <w:sz w:val="17"/>
          <w:szCs w:val="17"/>
          <w:color w:val="auto"/>
        </w:rPr>
      </w:pPr>
      <w:r>
        <w:rPr>
          <w:rFonts w:ascii="Arial" w:cs="Arial" w:eastAsia="Arial" w:hAnsi="Arial"/>
          <w:sz w:val="20"/>
          <w:szCs w:val="20"/>
          <w:color w:val="auto"/>
        </w:rPr>
        <w:t>7:671 (2) of the Dutch Civil Code. If Executive wishes to execute this right, he must provide UEBV a written statement to this effect within fourteen (14) days after his execution of and consent to this Agreement. If Executive fails to exercise his right to revoke his consent in accordance with the provisions and within the time frame set forth in this Paragraph 25, Executive’s consent to this Agreement shall be final and irrevocable.</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dated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UNIVERSAL ELECTRONICS BV, </w:t>
      </w:r>
      <w:r>
        <w:rPr>
          <w:rFonts w:ascii="Arial" w:cs="Arial" w:eastAsia="Arial" w:hAnsi="Arial"/>
          <w:sz w:val="16"/>
          <w:szCs w:val="16"/>
          <w:b w:val="1"/>
          <w:bCs w:val="1"/>
          <w:color w:val="auto"/>
        </w:rPr>
        <w:t>FOR ITSELF</w:t>
      </w:r>
    </w:p>
    <w:p>
      <w:pPr>
        <w:spacing w:after="0" w:line="26"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b w:val="1"/>
          <w:bCs w:val="1"/>
          <w:color w:val="auto"/>
        </w:rPr>
        <w:t>AND ON BEHALF OF THE UEBV ENTITIES</w:t>
      </w:r>
      <w:r>
        <w:rPr>
          <w:sz w:val="20"/>
          <w:szCs w:val="20"/>
          <w:color w:val="auto"/>
        </w:rPr>
        <w:tab/>
      </w: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4"/>
          </w:tcPr>
          <w:p>
            <w:pPr>
              <w:spacing w:after="0"/>
              <w:rPr>
                <w:sz w:val="20"/>
                <w:szCs w:val="20"/>
                <w:color w:val="auto"/>
              </w:rPr>
            </w:pPr>
            <w:r>
              <w:rPr>
                <w:rFonts w:ascii="Arial" w:cs="Arial" w:eastAsia="Arial" w:hAnsi="Arial"/>
                <w:sz w:val="20"/>
                <w:szCs w:val="20"/>
                <w:color w:val="auto"/>
                <w:w w:val="93"/>
              </w:rPr>
              <w:t>By: /s/ Paul D. Arling</w:t>
            </w: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/s/ Paul J. M.Bennett</w:t>
            </w: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10"/>
        </w:trPr>
        <w:tc>
          <w:tcPr>
            <w:tcW w:w="340" w:type="dxa"/>
            <w:vAlign w:val="bottom"/>
            <w:gridSpan w:val="2"/>
          </w:tcPr>
          <w:p>
            <w:pPr>
              <w:spacing w:after="0" w:line="209" w:lineRule="exact"/>
              <w:rPr>
                <w:sz w:val="20"/>
                <w:szCs w:val="20"/>
                <w:color w:val="auto"/>
              </w:rPr>
            </w:pPr>
            <w:r>
              <w:rPr>
                <w:rFonts w:ascii="Arial" w:cs="Arial" w:eastAsia="Arial" w:hAnsi="Arial"/>
                <w:sz w:val="20"/>
                <w:szCs w:val="20"/>
                <w:color w:val="auto"/>
              </w:rPr>
              <w:t>Its:</w:t>
            </w:r>
          </w:p>
        </w:tc>
        <w:tc>
          <w:tcPr>
            <w:tcW w:w="760" w:type="dxa"/>
            <w:vAlign w:val="bottom"/>
          </w:tcPr>
          <w:p>
            <w:pPr>
              <w:spacing w:after="0"/>
              <w:rPr>
                <w:sz w:val="18"/>
                <w:szCs w:val="18"/>
                <w:color w:val="auto"/>
              </w:rPr>
            </w:pPr>
          </w:p>
        </w:tc>
        <w:tc>
          <w:tcPr>
            <w:tcW w:w="3320" w:type="dxa"/>
            <w:vAlign w:val="bottom"/>
            <w:gridSpan w:val="3"/>
          </w:tcPr>
          <w:p>
            <w:pPr>
              <w:ind w:left="540"/>
              <w:spacing w:after="0" w:line="209" w:lineRule="exact"/>
              <w:rPr>
                <w:sz w:val="20"/>
                <w:szCs w:val="20"/>
                <w:color w:val="auto"/>
              </w:rPr>
            </w:pPr>
            <w:r>
              <w:rPr>
                <w:rFonts w:ascii="Arial" w:cs="Arial" w:eastAsia="Arial" w:hAnsi="Arial"/>
                <w:sz w:val="20"/>
                <w:szCs w:val="20"/>
                <w:color w:val="auto"/>
              </w:rPr>
              <w:t>Paul J. M. Bennett - Signature</w:t>
            </w:r>
          </w:p>
        </w:tc>
      </w:tr>
      <w:tr>
        <w:trPr>
          <w:trHeight w:val="20"/>
        </w:trPr>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28" w:right="2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to</w:t>
      </w:r>
    </w:p>
    <w:p>
      <w:pPr>
        <w:jc w:val="center"/>
        <w:ind w:right="20"/>
        <w:spacing w:after="0"/>
        <w:rPr>
          <w:sz w:val="20"/>
          <w:szCs w:val="20"/>
          <w:color w:val="auto"/>
        </w:rPr>
      </w:pPr>
      <w:r>
        <w:rPr>
          <w:rFonts w:ascii="Arial" w:cs="Arial" w:eastAsia="Arial" w:hAnsi="Arial"/>
          <w:sz w:val="20"/>
          <w:szCs w:val="20"/>
          <w:color w:val="auto"/>
        </w:rPr>
        <w:t>Employment and Separation Agreement</w:t>
      </w:r>
    </w:p>
    <w:p>
      <w:pPr>
        <w:jc w:val="center"/>
        <w:ind w:right="20"/>
        <w:spacing w:after="0"/>
        <w:rPr>
          <w:sz w:val="20"/>
          <w:szCs w:val="20"/>
          <w:color w:val="auto"/>
        </w:rPr>
      </w:pPr>
      <w:r>
        <w:rPr>
          <w:rFonts w:ascii="Arial" w:cs="Arial" w:eastAsia="Arial" w:hAnsi="Arial"/>
          <w:sz w:val="20"/>
          <w:szCs w:val="20"/>
          <w:color w:val="auto"/>
        </w:rPr>
        <w:t>and</w:t>
      </w:r>
    </w:p>
    <w:p>
      <w:pPr>
        <w:jc w:val="center"/>
        <w:ind w:right="20"/>
        <w:spacing w:after="0"/>
        <w:rPr>
          <w:sz w:val="20"/>
          <w:szCs w:val="20"/>
          <w:color w:val="auto"/>
        </w:rPr>
      </w:pPr>
      <w:r>
        <w:rPr>
          <w:rFonts w:ascii="Arial" w:cs="Arial" w:eastAsia="Arial" w:hAnsi="Arial"/>
          <w:sz w:val="20"/>
          <w:szCs w:val="20"/>
          <w:color w:val="auto"/>
        </w:rPr>
        <w:t>General Release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EMPLOYMENT AND BOARD OF DIRECTORS POSITIONS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Name of Entity</w:t>
            </w:r>
          </w:p>
        </w:tc>
        <w:tc>
          <w:tcPr>
            <w:tcW w:w="40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Title as Employee</w:t>
            </w:r>
          </w:p>
        </w:tc>
        <w:tc>
          <w:tcPr>
            <w:tcW w:w="37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Member of BOD</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top w:val="single" w:sz="8" w:color="auto"/>
              <w:bottom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Managing Director until the earlier of December 31,</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2017 or the Separation Date (or as otherwise allowed</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 this Agreement); and after December 31, 2017,</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Strategic Advisor to the Managing Director until the</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Universal Electronics BV</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Separation Date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Executive Vice President and Managing Director -</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EMEA until the earlier of December 31, 2017 or the</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Separation  Date  (or  as  otherwise  allowed  in  this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Agreement); and after December 31, 2017, Strategic</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Advisor to the Managing Director until the Separation</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Universal Electronics Inc.</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Date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UEI  Electronics  Private  Limited</w:t>
            </w: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(India)</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None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UE Singapore Private Limited</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None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Managing Director until the earlier of December 31,</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2017 or the Separation Date (or as otherwise allowed</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 this Agreement); and after December 31, 2017,</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Strategic Advisor to the Managing Director until the</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One For All France</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Separation Date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Managing Director until the earlier of December 31,</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2017 or the Separation Date (or as otherwise allowed</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 this Agreement); and after December 31, 2017,</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Strategic Advisor to the Managing Director until the</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One For All GmbH</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Separation Date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Managing Director until the earlier of December 31,</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2017 or the Separation Date (or as otherwise allowed</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 this Agreement); and after December 31, 2017,</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Strategic Advisor to the Managing Director until the</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One For All Iberia</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Separation Date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Managing Director until the earlier of December 31,</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2017 or the Separation Date (or as otherwise allowed</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 this Agreement); and after December 31, 2017,</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Strategic Advisor to the Managing Director until the</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One For All UK Ltd.</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Separation Date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Universal Electronics Italia SRL</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None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Ultra Control GmbH</w:t>
            </w:r>
          </w:p>
        </w:tc>
        <w:tc>
          <w:tcPr>
            <w:tcW w:w="40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None</w:t>
            </w:r>
          </w:p>
        </w:tc>
        <w:tc>
          <w:tcPr>
            <w:tcW w:w="3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Yes - To resign on the Effective Date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682"/>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40" w:type="dxa"/>
            <w:vAlign w:val="bottom"/>
            <w:gridSpan w:val="3"/>
          </w:tcPr>
          <w:p>
            <w:pPr>
              <w:ind w:left="23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0640"/>
          </w:cols>
          <w:pgMar w:left="640" w:top="1265" w:right="6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to</w:t>
      </w:r>
    </w:p>
    <w:p>
      <w:pPr>
        <w:jc w:val="center"/>
        <w:ind w:right="-19"/>
        <w:spacing w:after="0"/>
        <w:rPr>
          <w:sz w:val="20"/>
          <w:szCs w:val="20"/>
          <w:color w:val="auto"/>
        </w:rPr>
      </w:pPr>
      <w:r>
        <w:rPr>
          <w:rFonts w:ascii="Arial" w:cs="Arial" w:eastAsia="Arial" w:hAnsi="Arial"/>
          <w:sz w:val="20"/>
          <w:szCs w:val="20"/>
          <w:color w:val="auto"/>
        </w:rPr>
        <w:t>Employment and Separation Agreement</w:t>
      </w:r>
    </w:p>
    <w:p>
      <w:pPr>
        <w:jc w:val="center"/>
        <w:ind w:right="-19"/>
        <w:spacing w:after="0"/>
        <w:rPr>
          <w:sz w:val="20"/>
          <w:szCs w:val="20"/>
          <w:color w:val="auto"/>
        </w:rPr>
      </w:pPr>
      <w:r>
        <w:rPr>
          <w:rFonts w:ascii="Arial" w:cs="Arial" w:eastAsia="Arial" w:hAnsi="Arial"/>
          <w:sz w:val="20"/>
          <w:szCs w:val="20"/>
          <w:color w:val="auto"/>
        </w:rPr>
        <w:t>and</w:t>
      </w:r>
    </w:p>
    <w:p>
      <w:pPr>
        <w:jc w:val="center"/>
        <w:ind w:right="-19"/>
        <w:spacing w:after="0"/>
        <w:rPr>
          <w:sz w:val="20"/>
          <w:szCs w:val="20"/>
          <w:color w:val="auto"/>
        </w:rPr>
      </w:pPr>
      <w:r>
        <w:rPr>
          <w:rFonts w:ascii="Arial" w:cs="Arial" w:eastAsia="Arial" w:hAnsi="Arial"/>
          <w:sz w:val="20"/>
          <w:szCs w:val="20"/>
          <w:color w:val="auto"/>
        </w:rPr>
        <w:t>General Release</w:t>
      </w:r>
    </w:p>
    <w:p>
      <w:pPr>
        <w:jc w:val="center"/>
        <w:ind w:right="-19"/>
        <w:spacing w:after="0"/>
        <w:rPr>
          <w:sz w:val="20"/>
          <w:szCs w:val="20"/>
          <w:color w:val="auto"/>
        </w:rPr>
      </w:pPr>
      <w:r>
        <w:rPr>
          <w:rFonts w:ascii="Arial" w:cs="Arial" w:eastAsia="Arial" w:hAnsi="Arial"/>
          <w:sz w:val="20"/>
          <w:szCs w:val="20"/>
          <w:color w:val="auto"/>
        </w:rPr>
        <w:t>(continued)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AGREEMENTS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Employment Agreement by and between One For All B.V. [now known as Universal Electronics BV] and Paul Joseph Bennett dated June 16, 1996, as amended by that First Amendment to Employment Agreement by and between Universal Electronics BV and Paul Bennett dated September 1, 1999.</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Salary Continuation Agreement by and between Universal Electronics Inc. and Paul J. Bennett dated June 16, 1996 as amended by that Amendment to Salary Continuation Agreement dated January 23, 1997.</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Contract of Employment by and between One For All GmbH and Mr. PJM Bennett agreed and signed on September 1, 1999, as amended by that Amendment to Contract of Employment September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1999 dated as of January 1, 2010.</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Contract of Employment by and between One For All Iberia S.L. and Mr. PJM Bennett agreed and signed on September 1, 1999, as amended by that Amendment to Contract of Employment September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1999 dated as of January 1, 2010.</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Contract of Employment by and between Universal Electronics Inc., and Mr. PJM Bennett agreed and signed on September 1, 1999.</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Contract of Employment by and between One For All UK Ltd., and Mr. PJM Bennett agreed and signed on September 1, 1999, as amended by that Amendment to Contract of Employment September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1999 dated as of January 1, 2010.</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Contract of Employment by and between One For All France S.A.S. and Mr. PJM Bennett agreed and signed on September 1, 1999, as amended by that Amendment to Contract of Employment September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1999 dated as of January 1, 2010.</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Contract of Employment by and between Universal Electronics Italia SRL and Mr. PJM Bennett agreed and signed on July 1, 2009, as amended by that Amendment to Contract of Employment July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2009 dated as of January 1, 2010.</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Contract of Employment by and between Universal Electronics Singapore Pte. Ltd. and Mr. PJM Bennett agreed and signed on July 1, 2009, as amended by that Amendment to Contract of Employment July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2009 dated as of January 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5" w:right="239" w:bottom="1440" w:gutter="0" w:footer="0" w:header="0"/>
        </w:sectPr>
      </w:pPr>
    </w:p>
    <w:bookmarkStart w:id="94" w:name="page95"/>
    <w:bookmarkEnd w:id="94"/>
    <w:p>
      <w:pPr>
        <w:jc w:val="center"/>
        <w:ind w:right="-1200"/>
        <w:spacing w:after="0"/>
        <w:rPr>
          <w:sz w:val="20"/>
          <w:szCs w:val="20"/>
          <w:color w:val="auto"/>
        </w:rPr>
      </w:pPr>
      <w:r>
        <w:rPr>
          <w:rFonts w:ascii="Arial" w:cs="Arial" w:eastAsia="Arial" w:hAnsi="Arial"/>
          <w:sz w:val="20"/>
          <w:szCs w:val="20"/>
          <w:b w:val="1"/>
          <w:bCs w:val="1"/>
          <w:color w:val="auto"/>
        </w:rPr>
        <w:t>Exhibit B</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u w:val="single" w:color="auto"/>
          <w:color w:val="auto"/>
        </w:rPr>
        <w:t>to</w:t>
      </w:r>
    </w:p>
    <w:p>
      <w:pPr>
        <w:jc w:val="center"/>
        <w:ind w:right="-1200"/>
        <w:spacing w:after="0"/>
        <w:rPr>
          <w:sz w:val="20"/>
          <w:szCs w:val="20"/>
          <w:color w:val="auto"/>
        </w:rPr>
      </w:pPr>
      <w:r>
        <w:rPr>
          <w:rFonts w:ascii="Arial" w:cs="Arial" w:eastAsia="Arial" w:hAnsi="Arial"/>
          <w:sz w:val="20"/>
          <w:szCs w:val="20"/>
          <w:color w:val="auto"/>
        </w:rPr>
        <w:t>Employment and Separation Agreement</w:t>
      </w: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color w:val="auto"/>
        </w:rPr>
        <w:t>General Release</w:t>
      </w:r>
    </w:p>
    <w:p>
      <w:pPr>
        <w:spacing w:after="0" w:line="194" w:lineRule="exact"/>
        <w:rPr>
          <w:sz w:val="20"/>
          <w:szCs w:val="20"/>
          <w:color w:val="auto"/>
        </w:rPr>
      </w:pPr>
    </w:p>
    <w:p>
      <w:pPr>
        <w:ind w:left="3940"/>
        <w:spacing w:after="0"/>
        <w:rPr>
          <w:sz w:val="20"/>
          <w:szCs w:val="20"/>
          <w:color w:val="auto"/>
        </w:rPr>
      </w:pPr>
      <w:r>
        <w:rPr>
          <w:rFonts w:ascii="Arial" w:cs="Arial" w:eastAsia="Arial" w:hAnsi="Arial"/>
          <w:sz w:val="20"/>
          <w:szCs w:val="20"/>
          <w:b w:val="1"/>
          <w:bCs w:val="1"/>
          <w:u w:val="single" w:color="auto"/>
          <w:color w:val="auto"/>
        </w:rPr>
        <w:t>FORM OF LETTER OF RESIGNATION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of [Name of Company]: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Effective immediately, I hereby resign as a member of [Name of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443865</wp:posOffset>
            </wp:positionV>
            <wp:extent cx="2830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Paul J. M. Bennett</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576"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This Sixth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18, 2017,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97" w:lineRule="auto"/>
        <w:tabs>
          <w:tab w:leader="none" w:pos="10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Borrower and the Lender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the Fourth Amendment to Amended and Restated Credit Agreement dated as of February 3, 2016 and the Fifth Amendment to Amended and Restated Credit Agreement dated as of September 19, 2016 (together, as amended, restated, supplemented,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58" w:lineRule="exact"/>
        <w:rPr>
          <w:sz w:val="20"/>
          <w:szCs w:val="20"/>
          <w:color w:val="auto"/>
        </w:rPr>
      </w:pPr>
    </w:p>
    <w:p>
      <w:pPr>
        <w:ind w:firstLine="656"/>
        <w:spacing w:after="0" w:line="277" w:lineRule="auto"/>
        <w:tabs>
          <w:tab w:leader="none" w:pos="10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left="660"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them in the Credit Agreement, unless the context shall otherwise require.</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Section 2.</w:t>
            </w:r>
          </w:p>
        </w:tc>
        <w:tc>
          <w:tcPr>
            <w:tcW w:w="520" w:type="dxa"/>
            <w:vAlign w:val="bottom"/>
          </w:tcPr>
          <w:p>
            <w:pPr>
              <w:spacing w:after="0"/>
              <w:rPr>
                <w:sz w:val="18"/>
                <w:szCs w:val="18"/>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Amendments. The Credit Agreement is hereby amended as follows:</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2.1</w:t>
            </w:r>
          </w:p>
        </w:tc>
        <w:tc>
          <w:tcPr>
            <w:tcW w:w="8600" w:type="dxa"/>
            <w:vAlign w:val="bottom"/>
            <w:gridSpan w:val="5"/>
          </w:tcPr>
          <w:p>
            <w:pPr>
              <w:spacing w:after="0"/>
              <w:rPr>
                <w:sz w:val="20"/>
                <w:szCs w:val="20"/>
                <w:color w:val="auto"/>
              </w:rPr>
            </w:pPr>
            <w:r>
              <w:rPr>
                <w:rFonts w:ascii="Arial" w:cs="Arial" w:eastAsia="Arial" w:hAnsi="Arial"/>
                <w:sz w:val="18"/>
                <w:szCs w:val="18"/>
                <w:b w:val="1"/>
                <w:bCs w:val="1"/>
                <w:color w:val="auto"/>
                <w:w w:val="93"/>
              </w:rPr>
              <w:t>Definitions</w:t>
            </w:r>
            <w:r>
              <w:rPr>
                <w:rFonts w:ascii="Arial" w:cs="Arial" w:eastAsia="Arial" w:hAnsi="Arial"/>
                <w:sz w:val="18"/>
                <w:szCs w:val="18"/>
                <w:color w:val="auto"/>
                <w:w w:val="93"/>
              </w:rPr>
              <w:t>. Section 1.1 of the Credit Agreement is amended by amending and restating the definition of “Revolving</w:t>
            </w:r>
          </w:p>
        </w:tc>
      </w:tr>
      <w:tr>
        <w:trPr>
          <w:trHeight w:val="20"/>
        </w:trPr>
        <w:tc>
          <w:tcPr>
            <w:tcW w:w="1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Commitment Amount</w:t>
      </w:r>
      <w:r>
        <w:rPr>
          <w:rFonts w:ascii="Arial" w:cs="Arial" w:eastAsia="Arial" w:hAnsi="Arial"/>
          <w:sz w:val="18"/>
          <w:szCs w:val="18"/>
          <w:color w:val="auto"/>
        </w:rPr>
        <w:t>” contained therein, to read in its entirety as follows:</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9080" w:type="dxa"/>
            <w:vAlign w:val="bottom"/>
            <w:gridSpan w:val="5"/>
          </w:tcPr>
          <w:p>
            <w:pPr>
              <w:ind w:left="260"/>
              <w:spacing w:after="0"/>
              <w:rPr>
                <w:sz w:val="20"/>
                <w:szCs w:val="20"/>
                <w:color w:val="auto"/>
              </w:rPr>
            </w:pPr>
            <w:r>
              <w:rPr>
                <w:rFonts w:ascii="Arial" w:cs="Arial" w:eastAsia="Arial" w:hAnsi="Arial"/>
                <w:sz w:val="18"/>
                <w:szCs w:val="18"/>
                <w:color w:val="auto"/>
                <w:w w:val="95"/>
              </w:rPr>
              <w:t>“Revolving Commitment Amount”: (i) for such period through and until April 15, 2017, $105,000,000 and (ii) for such</w:t>
            </w: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22"/>
        </w:trPr>
        <w:tc>
          <w:tcPr>
            <w:tcW w:w="1680" w:type="dxa"/>
            <w:vAlign w:val="bottom"/>
          </w:tcPr>
          <w:p>
            <w:pPr>
              <w:spacing w:after="0"/>
              <w:rPr>
                <w:sz w:val="19"/>
                <w:szCs w:val="19"/>
                <w:color w:val="auto"/>
              </w:rPr>
            </w:pPr>
          </w:p>
        </w:tc>
        <w:tc>
          <w:tcPr>
            <w:tcW w:w="9080" w:type="dxa"/>
            <w:vAlign w:val="bottom"/>
            <w:gridSpan w:val="5"/>
          </w:tcPr>
          <w:p>
            <w:pPr>
              <w:jc w:val="right"/>
              <w:spacing w:after="0"/>
              <w:rPr>
                <w:sz w:val="20"/>
                <w:szCs w:val="20"/>
                <w:color w:val="auto"/>
              </w:rPr>
            </w:pPr>
            <w:r>
              <w:rPr>
                <w:rFonts w:ascii="Arial" w:cs="Arial" w:eastAsia="Arial" w:hAnsi="Arial"/>
                <w:sz w:val="18"/>
                <w:szCs w:val="18"/>
                <w:color w:val="auto"/>
                <w:w w:val="94"/>
              </w:rPr>
              <w:t>period beginning April 16, 2017 and continuing thereafter, $85,000,000, or such increased amount as agreed to between</w:t>
            </w:r>
          </w:p>
        </w:tc>
      </w:tr>
      <w:tr>
        <w:trPr>
          <w:trHeight w:val="230"/>
        </w:trPr>
        <w:tc>
          <w:tcPr>
            <w:tcW w:w="1680" w:type="dxa"/>
            <w:vAlign w:val="bottom"/>
          </w:tcPr>
          <w:p>
            <w:pPr>
              <w:spacing w:after="0"/>
              <w:rPr>
                <w:sz w:val="20"/>
                <w:szCs w:val="20"/>
                <w:color w:val="auto"/>
              </w:rPr>
            </w:pPr>
          </w:p>
        </w:tc>
        <w:tc>
          <w:tcPr>
            <w:tcW w:w="9080" w:type="dxa"/>
            <w:vAlign w:val="bottom"/>
            <w:gridSpan w:val="5"/>
          </w:tcPr>
          <w:p>
            <w:pPr>
              <w:ind w:left="260"/>
              <w:spacing w:after="0"/>
              <w:rPr>
                <w:sz w:val="20"/>
                <w:szCs w:val="20"/>
                <w:color w:val="auto"/>
              </w:rPr>
            </w:pPr>
            <w:r>
              <w:rPr>
                <w:rFonts w:ascii="Arial" w:cs="Arial" w:eastAsia="Arial" w:hAnsi="Arial"/>
                <w:sz w:val="18"/>
                <w:szCs w:val="18"/>
                <w:color w:val="auto"/>
              </w:rPr>
              <w:t>the Borrower and the Bank from time to time pursuant to Section 2.22 of this Agreement.</w:t>
            </w:r>
          </w:p>
        </w:tc>
      </w:tr>
      <w:tr>
        <w:trPr>
          <w:trHeight w:val="419"/>
        </w:trPr>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Section 3.</w:t>
            </w:r>
          </w:p>
        </w:tc>
        <w:tc>
          <w:tcPr>
            <w:tcW w:w="340" w:type="dxa"/>
            <w:vAlign w:val="bottom"/>
          </w:tcPr>
          <w:p>
            <w:pPr>
              <w:spacing w:after="0"/>
              <w:rPr>
                <w:sz w:val="24"/>
                <w:szCs w:val="24"/>
                <w:color w:val="auto"/>
              </w:rPr>
            </w:pPr>
          </w:p>
        </w:tc>
        <w:tc>
          <w:tcPr>
            <w:tcW w:w="8740" w:type="dxa"/>
            <w:vAlign w:val="bottom"/>
            <w:gridSpan w:val="4"/>
          </w:tcPr>
          <w:p>
            <w:pPr>
              <w:jc w:val="right"/>
              <w:spacing w:after="0"/>
              <w:rPr>
                <w:sz w:val="20"/>
                <w:szCs w:val="20"/>
                <w:color w:val="auto"/>
              </w:rPr>
            </w:pPr>
            <w:r>
              <w:rPr>
                <w:rFonts w:ascii="Arial" w:cs="Arial" w:eastAsia="Arial" w:hAnsi="Arial"/>
                <w:sz w:val="18"/>
                <w:szCs w:val="18"/>
                <w:color w:val="auto"/>
              </w:rPr>
              <w:t>Conditions and Effectiveness. This Amendment shall become effective only upon satisfaction of the following</w:t>
            </w:r>
          </w:p>
        </w:tc>
      </w:tr>
      <w:tr>
        <w:trPr>
          <w:trHeight w:val="277"/>
        </w:trPr>
        <w:tc>
          <w:tcPr>
            <w:tcW w:w="1680" w:type="dxa"/>
            <w:vAlign w:val="bottom"/>
          </w:tcPr>
          <w:p>
            <w:pPr>
              <w:jc w:val="right"/>
              <w:ind w:right="790"/>
              <w:spacing w:after="0"/>
              <w:rPr>
                <w:sz w:val="20"/>
                <w:szCs w:val="20"/>
                <w:color w:val="auto"/>
              </w:rPr>
            </w:pPr>
            <w:r>
              <w:rPr>
                <w:rFonts w:ascii="Arial" w:cs="Arial" w:eastAsia="Arial" w:hAnsi="Arial"/>
                <w:sz w:val="18"/>
                <w:szCs w:val="18"/>
                <w:color w:val="auto"/>
                <w:w w:val="90"/>
              </w:rPr>
              <w:t>conditions: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960" w:type="dxa"/>
            <w:vAlign w:val="bottom"/>
          </w:tcPr>
          <w:p>
            <w:pPr>
              <w:spacing w:after="0"/>
              <w:rPr>
                <w:sz w:val="24"/>
                <w:szCs w:val="24"/>
                <w:color w:val="auto"/>
              </w:rPr>
            </w:pPr>
          </w:p>
        </w:tc>
      </w:tr>
      <w:tr>
        <w:trPr>
          <w:trHeight w:val="473"/>
        </w:trPr>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24"/>
                <w:szCs w:val="24"/>
                <w:color w:val="auto"/>
              </w:rPr>
            </w:pPr>
          </w:p>
        </w:tc>
        <w:tc>
          <w:tcPr>
            <w:tcW w:w="8740" w:type="dxa"/>
            <w:vAlign w:val="bottom"/>
            <w:gridSpan w:val="4"/>
          </w:tcPr>
          <w:p>
            <w:pPr>
              <w:jc w:val="right"/>
              <w:ind w:right="2460"/>
              <w:spacing w:after="0"/>
              <w:rPr>
                <w:sz w:val="20"/>
                <w:szCs w:val="20"/>
                <w:color w:val="auto"/>
              </w:rPr>
            </w:pPr>
            <w:r>
              <w:rPr>
                <w:rFonts w:ascii="Arial" w:cs="Arial" w:eastAsia="Arial" w:hAnsi="Arial"/>
                <w:sz w:val="18"/>
                <w:szCs w:val="18"/>
                <w:color w:val="auto"/>
                <w:w w:val="92"/>
              </w:rPr>
              <w:t>The Borrower shall have duly executed and delivered to the Lender this Amendment.</w:t>
            </w:r>
          </w:p>
        </w:tc>
      </w:tr>
      <w:tr>
        <w:trPr>
          <w:trHeight w:val="473"/>
        </w:trPr>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4"/>
                <w:szCs w:val="24"/>
                <w:color w:val="auto"/>
              </w:rPr>
            </w:pPr>
          </w:p>
        </w:tc>
        <w:tc>
          <w:tcPr>
            <w:tcW w:w="8740" w:type="dxa"/>
            <w:vAlign w:val="bottom"/>
            <w:gridSpan w:val="4"/>
          </w:tcPr>
          <w:p>
            <w:pPr>
              <w:jc w:val="right"/>
              <w:spacing w:after="0"/>
              <w:rPr>
                <w:sz w:val="20"/>
                <w:szCs w:val="20"/>
                <w:color w:val="auto"/>
              </w:rPr>
            </w:pPr>
            <w:r>
              <w:rPr>
                <w:rFonts w:ascii="Arial" w:cs="Arial" w:eastAsia="Arial" w:hAnsi="Arial"/>
                <w:sz w:val="18"/>
                <w:szCs w:val="18"/>
                <w:color w:val="auto"/>
                <w:w w:val="92"/>
              </w:rPr>
              <w:t>The Borrower shall have delivered to the Lender a certification by the Secretary or Assistant Secretary of the Borrower</w:t>
            </w:r>
          </w:p>
        </w:tc>
      </w:tr>
    </w:tbl>
    <w:p>
      <w:pPr>
        <w:spacing w:after="0" w:line="26" w:lineRule="exact"/>
        <w:rPr>
          <w:sz w:val="20"/>
          <w:szCs w:val="20"/>
          <w:color w:val="auto"/>
        </w:rPr>
      </w:pPr>
    </w:p>
    <w:p>
      <w:pPr>
        <w:jc w:val="both"/>
        <w:ind w:left="1220"/>
        <w:spacing w:after="0" w:line="329" w:lineRule="auto"/>
        <w:rPr>
          <w:sz w:val="20"/>
          <w:szCs w:val="20"/>
          <w:color w:val="auto"/>
        </w:rPr>
      </w:pPr>
      <w:r>
        <w:rPr>
          <w:rFonts w:ascii="Arial" w:cs="Arial" w:eastAsia="Arial" w:hAnsi="Arial"/>
          <w:sz w:val="17"/>
          <w:szCs w:val="17"/>
          <w:color w:val="auto"/>
        </w:rPr>
        <w:t>certifying as to (i) 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67" w:lineRule="exact"/>
        <w:rPr>
          <w:sz w:val="20"/>
          <w:szCs w:val="20"/>
          <w:color w:val="auto"/>
        </w:rPr>
      </w:pPr>
    </w:p>
    <w:p>
      <w:pPr>
        <w:jc w:val="both"/>
        <w:ind w:left="1220" w:firstLine="648"/>
        <w:spacing w:after="0" w:line="32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Borrower shall have satisfied any other conditions as specified by the Lender, including payment of all unpaid</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incurred by the Lender through the date of this Amendment in connection with the Credit Agreement.</w:t>
      </w:r>
    </w:p>
    <w:p>
      <w:pPr>
        <w:sectPr>
          <w:pgSz w:w="11900" w:h="16838" w:orient="portrait"/>
          <w:cols w:equalWidth="0" w:num="1">
            <w:col w:w="11420"/>
          </w:cols>
          <w:pgMar w:left="240" w:top="580" w:right="239" w:bottom="1440" w:gutter="0" w:footer="0" w:header="0"/>
        </w:sectPr>
      </w:pPr>
    </w:p>
    <w:bookmarkStart w:id="96" w:name="page97"/>
    <w:bookmarkEnd w:id="96"/>
    <w:tbl>
      <w:tblPr>
        <w:tblLayout w:type="fixed"/>
        <w:tblInd w:w="640" w:type="dxa"/>
        <w:tblCellMar>
          <w:top w:w="0" w:type="dxa"/>
          <w:left w:w="0" w:type="dxa"/>
          <w:bottom w:w="0" w:type="dxa"/>
          <w:right w:w="0" w:type="dxa"/>
        </w:tblCellMar>
      </w:tblPr>
      <w:tr>
        <w:trPr>
          <w:trHeight w:val="234"/>
        </w:trPr>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Section 4.</w:t>
            </w:r>
          </w:p>
        </w:tc>
        <w:tc>
          <w:tcPr>
            <w:tcW w:w="8600" w:type="dxa"/>
            <w:vAlign w:val="bottom"/>
            <w:gridSpan w:val="2"/>
          </w:tcPr>
          <w:p>
            <w:pPr>
              <w:ind w:left="520"/>
              <w:spacing w:after="0"/>
              <w:rPr>
                <w:sz w:val="20"/>
                <w:szCs w:val="20"/>
                <w:color w:val="auto"/>
              </w:rPr>
            </w:pPr>
            <w:r>
              <w:rPr>
                <w:rFonts w:ascii="Arial" w:cs="Arial" w:eastAsia="Arial" w:hAnsi="Arial"/>
                <w:sz w:val="18"/>
                <w:szCs w:val="18"/>
                <w:b w:val="1"/>
                <w:bCs w:val="1"/>
                <w:color w:val="auto"/>
              </w:rPr>
              <w:t>Representations, Warranties, Authority, No Adverse Claim.</w:t>
            </w:r>
          </w:p>
        </w:tc>
      </w:tr>
      <w:tr>
        <w:trPr>
          <w:trHeight w:val="432"/>
        </w:trPr>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4.1</w:t>
            </w: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Reassertion of Representations and Warranties, No Default. </w:t>
            </w:r>
            <w:r>
              <w:rPr>
                <w:rFonts w:ascii="Arial" w:cs="Arial" w:eastAsia="Arial" w:hAnsi="Arial"/>
                <w:sz w:val="18"/>
                <w:szCs w:val="18"/>
                <w:color w:val="auto"/>
                <w:w w:val="90"/>
              </w:rPr>
              <w:t>The Borrower hereby represents that on and as of the</w:t>
            </w:r>
          </w:p>
        </w:tc>
      </w:tr>
      <w:tr>
        <w:trPr>
          <w:trHeight w:val="20"/>
        </w:trPr>
        <w:tc>
          <w:tcPr>
            <w:tcW w:w="15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560"/>
        <w:spacing w:after="0" w:line="306" w:lineRule="auto"/>
        <w:rPr>
          <w:sz w:val="20"/>
          <w:szCs w:val="20"/>
          <w:color w:val="auto"/>
        </w:rPr>
      </w:pPr>
      <w:r>
        <w:rPr>
          <w:rFonts w:ascii="Arial" w:cs="Arial" w:eastAsia="Arial" w:hAnsi="Arial"/>
          <w:sz w:val="18"/>
          <w:szCs w:val="18"/>
          <w:color w:val="auto"/>
        </w:rPr>
        <w:t>date hereof and 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pacing w:after="0" w:line="183" w:lineRule="exact"/>
        <w:rPr>
          <w:sz w:val="20"/>
          <w:szCs w:val="20"/>
          <w:color w:val="auto"/>
        </w:rPr>
      </w:pPr>
    </w:p>
    <w:p>
      <w:pPr>
        <w:ind w:left="1200"/>
        <w:spacing w:after="0"/>
        <w:tabs>
          <w:tab w:leader="none" w:pos="21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Authority, No Conflict, No Consent Required, Enforceability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Borrower represents and warrants that the</w:t>
      </w:r>
    </w:p>
    <w:p>
      <w:pPr>
        <w:spacing w:after="0" w:line="54" w:lineRule="exact"/>
        <w:rPr>
          <w:sz w:val="20"/>
          <w:szCs w:val="20"/>
          <w:color w:val="auto"/>
        </w:rPr>
      </w:pPr>
    </w:p>
    <w:p>
      <w:pPr>
        <w:jc w:val="both"/>
        <w:ind w:left="560"/>
        <w:spacing w:after="0" w:line="339" w:lineRule="auto"/>
        <w:rPr>
          <w:sz w:val="20"/>
          <w:szCs w:val="20"/>
          <w:color w:val="auto"/>
        </w:rPr>
      </w:pPr>
      <w:r>
        <w:rPr>
          <w:rFonts w:ascii="Arial" w:cs="Arial" w:eastAsia="Arial" w:hAnsi="Arial"/>
          <w:sz w:val="16"/>
          <w:szCs w:val="16"/>
          <w:color w:val="auto"/>
        </w:rPr>
        <w:t>Borrower has the power and legal right and authority to enter into this Amendment and any other instrument or agreement executed by the Borrower in connection with this Amendment (collectively,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63" w:lineRule="exact"/>
        <w:rPr>
          <w:sz w:val="20"/>
          <w:szCs w:val="20"/>
          <w:color w:val="auto"/>
        </w:rPr>
      </w:pPr>
    </w:p>
    <w:p>
      <w:pPr>
        <w:ind w:left="560" w:right="220" w:firstLine="648"/>
        <w:spacing w:after="0" w:line="338"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No Adverse Claim</w:t>
      </w:r>
      <w:r>
        <w:rPr>
          <w:rFonts w:ascii="Arial" w:cs="Arial" w:eastAsia="Arial" w:hAnsi="Arial"/>
          <w:sz w:val="17"/>
          <w:szCs w:val="17"/>
          <w:color w:val="auto"/>
        </w:rPr>
        <w:t>. The Borrower warrants, acknowledges and agrees that no events have taken place and no</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exist at the date hereof which would give the Borrower a basis to assert a defense, offset or counterclaim to any claim of the Lender with respect to the Borrower’s obligations under the Credit Agreement as amended by this Amendment.</w:t>
      </w:r>
    </w:p>
    <w:p>
      <w:pPr>
        <w:spacing w:after="0" w:line="160" w:lineRule="exact"/>
        <w:rPr>
          <w:sz w:val="20"/>
          <w:szCs w:val="20"/>
          <w:color w:val="auto"/>
        </w:rPr>
      </w:pPr>
    </w:p>
    <w:p>
      <w:pPr>
        <w:ind w:left="640"/>
        <w:spacing w:after="0"/>
        <w:tabs>
          <w:tab w:leader="none" w:pos="26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Affirmation of Credit Agreement, Further References, Affirmation of Security Interest.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Lender and the 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6. Merger and Integration, Superseding Effect. </w:t>
      </w:r>
      <w:r>
        <w:rPr>
          <w:rFonts w:ascii="Arial" w:cs="Arial" w:eastAsia="Arial" w:hAnsi="Arial"/>
          <w:sz w:val="18"/>
          <w:szCs w:val="18"/>
          <w:color w:val="auto"/>
        </w:rPr>
        <w:t>This Amendment, from and after the date hereof, embodies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8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Section 7. Severability. </w:t>
      </w:r>
      <w:r>
        <w:rPr>
          <w:rFonts w:ascii="Arial" w:cs="Arial" w:eastAsia="Arial" w:hAnsi="Arial"/>
          <w:sz w:val="18"/>
          <w:szCs w:val="18"/>
          <w:color w:val="auto"/>
        </w:rPr>
        <w:t>Whenever possible, each provision of this Amendment and any other statement,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w:t>
      </w:r>
    </w:p>
    <w:p>
      <w:pPr>
        <w:sectPr>
          <w:pgSz w:w="11900" w:h="16838" w:orient="portrait"/>
          <w:cols w:equalWidth="0" w:num="1">
            <w:col w:w="10760"/>
          </w:cols>
          <w:pgMar w:left="900" w:top="607" w:right="239" w:bottom="1440" w:gutter="0" w:footer="0" w:header="0"/>
        </w:sectPr>
      </w:pPr>
    </w:p>
    <w:bookmarkStart w:id="97" w:name="page98"/>
    <w:bookmarkEnd w:id="97"/>
    <w:p>
      <w:pPr>
        <w:jc w:val="both"/>
        <w:spacing w:after="0" w:line="364" w:lineRule="auto"/>
        <w:rPr>
          <w:sz w:val="20"/>
          <w:szCs w:val="20"/>
          <w:color w:val="auto"/>
        </w:rPr>
      </w:pPr>
      <w:r>
        <w:rPr>
          <w:rFonts w:ascii="Arial" w:cs="Arial" w:eastAsia="Arial" w:hAnsi="Arial"/>
          <w:sz w:val="16"/>
          <w:szCs w:val="16"/>
          <w:color w:val="auto"/>
        </w:rPr>
        <w:t>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4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This Amendment shall be binding upon the Borrower and the Lender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Legal Expenses</w:t>
      </w:r>
      <w:r>
        <w:rPr>
          <w:rFonts w:ascii="Arial" w:cs="Arial" w:eastAsia="Arial" w:hAnsi="Arial"/>
          <w:sz w:val="18"/>
          <w:szCs w:val="18"/>
          <w:color w:val="auto"/>
        </w:rPr>
        <w:t>. As provided in Section 8.2 of the Credit Agreement, the Borrower agrees to pay or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85"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various sections of this Amendment have been inserted for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a part of this Amendment.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several counterparts as deemed necessary or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AMENDMENT DOCUMENTS SHALL BE GOVERNED BY THE INTERNAL LAWS OF THE STATE OF CALIFORNIA, WITHOUT GIVING EFFECT TO CONFLICT OF LAW PRINCIPLES THEREOF, BUT GIVING EFFECT TO FEDERAL LAWS APPLICABLE TO NATIONAL BANKS, THEIR HOLDING COMPANIES AND THEIR AFFILIATES.</w:t>
      </w:r>
    </w:p>
    <w:p>
      <w:pPr>
        <w:sectPr>
          <w:pgSz w:w="11900" w:h="16838" w:orient="portrait"/>
          <w:cols w:equalWidth="0" w:num="1">
            <w:col w:w="10760"/>
          </w:cols>
          <w:pgMar w:left="900" w:top="611" w:right="23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33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Sixth Amendment to Amended and Restated Credit Agreement]</w:t>
      </w:r>
    </w:p>
    <w:p>
      <w:pPr>
        <w:sectPr>
          <w:pgSz w:w="11900" w:h="16838" w:orient="portrait"/>
          <w:cols w:equalWidth="0" w:num="1">
            <w:col w:w="11400"/>
          </w:cols>
          <w:pgMar w:left="240" w:top="800" w:right="2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Limited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Limited (organized under the laws of the People's Republic of China)</w:t>
      </w:r>
    </w:p>
    <w:p>
      <w:pPr>
        <w:sectPr>
          <w:pgSz w:w="11900" w:h="16838" w:orient="portrait"/>
          <w:cols w:equalWidth="0" w:num="1">
            <w:col w:w="11420"/>
          </w:cols>
          <w:pgMar w:left="240" w:top="580" w:right="239" w:bottom="1440" w:gutter="0" w:footer="0" w:header="0"/>
        </w:sectPr>
      </w:pPr>
    </w:p>
    <w:bookmarkStart w:id="100" w:name="page101"/>
    <w:bookmarkEnd w:id="100"/>
    <w:p>
      <w:pPr>
        <w:ind w:left="10480"/>
        <w:spacing w:after="0"/>
        <w:rPr>
          <w:sz w:val="20"/>
          <w:szCs w:val="20"/>
          <w:color w:val="auto"/>
        </w:rPr>
      </w:pPr>
      <w:r>
        <w:rPr>
          <w:rFonts w:ascii="Arial" w:cs="Arial" w:eastAsia="Arial" w:hAnsi="Arial"/>
          <w:sz w:val="16"/>
          <w:szCs w:val="16"/>
          <w:b w:val="1"/>
          <w:bCs w:val="1"/>
          <w:u w:val="single" w:color="auto"/>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issued our reports dated March 9, 2017, with respect to the consolidated financial statements and internal control over financial reporting in the Annual Report of Universal Electronics Inc. on Form 10-K for the year ended December 31, 2016. We hereby consent to the incorporation by reference of said reports in the Registration Statements of Universal Electronics Inc. on Forms S-8 (File No. 333-91101, effective November 17, 1999; File No. 333-47378, effective October 5, 2000; File No. 333-103038, effective February 7, 2003; File No. 333-117782, effective July 30, 2004; File No. 333-149926, effective March 27, 2008; File No. 333-175345, effective July 5, 2011; File No. 333-194511, effective March 12, 2014; and File No. 333-198093, effective August 12,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2016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2016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lvl w:ilvl="1">
      <w:lvlJc w:val="left"/>
      <w:lvlText w:val="(%2)"/>
      <w:numFmt w:val="lowerLetter"/>
      <w:start w:val="1"/>
    </w:lvl>
  </w:abstractNum>
  <w:abstractNum w:abstractNumId="35">
    <w:nsid w:val="4B588F54"/>
    <w:multiLevelType w:val="hybridMultilevel"/>
    <w:lvl w:ilvl="0">
      <w:lvlJc w:val="left"/>
      <w:lvlText w:val="(%1)"/>
      <w:numFmt w:val="lowerLetter"/>
      <w:start w:val="2"/>
    </w:lvl>
    <w:lvl w:ilvl="1">
      <w:lvlJc w:val="left"/>
      <w:lvlText w:val="(%2)"/>
      <w:numFmt w:val="lowerLetter"/>
      <w:start w:val="9"/>
    </w:lvl>
  </w:abstractNum>
  <w:abstractNum w:abstractNumId="36">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6DE91B1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8">
    <w:nsid w:val="38437FD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decimal"/>
      <w:start w:val="5"/>
    </w:lvl>
  </w:abstractNum>
  <w:abstractNum w:abstractNumId="42">
    <w:nsid w:val="579478F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3">
    <w:nsid w:val="749ABB43"/>
    <w:multiLevelType w:val="hybridMultilevel"/>
    <w:lvl w:ilvl="0">
      <w:lvlJc w:val="left"/>
      <w:lvlText w:val="%1."/>
      <w:numFmt w:val="decimal"/>
      <w:start w:val="12"/>
    </w:lvl>
  </w:abstractNum>
  <w:abstractNum w:abstractNumId="44">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5">
    <w:nsid w:val="1BA026FA"/>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46">
    <w:nsid w:val="79A1DEAA"/>
    <w:multiLevelType w:val="hybridMultilevel"/>
    <w:lvl w:ilvl="0">
      <w:lvlJc w:val="left"/>
      <w:lvlText w:val="(%1)"/>
      <w:numFmt w:val="lowerLetter"/>
      <w:start w:val="4"/>
    </w:lvl>
  </w:abstractNum>
  <w:abstractNum w:abstractNumId="47">
    <w:nsid w:val="75C6C33A"/>
    <w:multiLevelType w:val="hybridMultilevel"/>
    <w:lvl w:ilvl="0">
      <w:lvlJc w:val="left"/>
      <w:lvlText w:val="%1"/>
      <w:numFmt w:val="decimal"/>
      <w:start w:val="1"/>
    </w:lvl>
    <w:lvl w:ilvl="1">
      <w:lvlJc w:val="left"/>
      <w:lvlText w:val="(%2)"/>
      <w:numFmt w:val="lowerLetter"/>
      <w:start w:val="5"/>
    </w:lvl>
  </w:abstractNum>
  <w:abstractNum w:abstractNumId="48">
    <w:nsid w:val="12E685FB"/>
    <w:multiLevelType w:val="hybridMultilevel"/>
    <w:lvl w:ilvl="0">
      <w:lvlJc w:val="left"/>
      <w:lvlText w:val="%1."/>
      <w:numFmt w:val="decimal"/>
      <w:start w:val="19"/>
    </w:lvl>
    <w:lvl w:ilvl="1">
      <w:lvlJc w:val="left"/>
      <w:lvlText w:val="%2"/>
      <w:numFmt w:val="lowerLetter"/>
      <w:start w:val="1"/>
    </w:lvl>
  </w:abstractNum>
  <w:abstractNum w:abstractNumId="49">
    <w:nsid w:val="70C6A529"/>
    <w:multiLevelType w:val="hybridMultilevel"/>
    <w:lvl w:ilvl="0">
      <w:lvlJc w:val="left"/>
      <w:lvlText w:val="%1."/>
      <w:numFmt w:val="decimal"/>
      <w:start w:val="21"/>
    </w:lvl>
  </w:abstractNum>
  <w:abstractNum w:abstractNumId="50">
    <w:nsid w:val="520EEDD1"/>
    <w:multiLevelType w:val="hybridMultilevel"/>
    <w:lvl w:ilvl="0">
      <w:lvlJc w:val="left"/>
      <w:lvlText w:val="%1."/>
      <w:numFmt w:val="upperLetter"/>
      <w:start w:val="1"/>
    </w:lvl>
  </w:abstractNum>
  <w:abstractNum w:abstractNumId="51">
    <w:nsid w:val="374A3FE6"/>
    <w:multiLevelType w:val="hybridMultilevel"/>
    <w:lvl w:ilvl="0">
      <w:lvlJc w:val="left"/>
      <w:lvlText w:val="%1."/>
      <w:numFmt w:val="upperLetter"/>
      <w:start w:val="3"/>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2019-12-29T07:23:18Z</dcterms:created>
  <dcterms:modified xsi:type="dcterms:W3CDTF">2019-12-29T07:23:18Z</dcterms:modified>
</cp:coreProperties>
</file>