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For the quarterly period ended March 31, 2014</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84"/>
        </w:trPr>
        <w:tc>
          <w:tcPr>
            <w:tcW w:w="2780" w:type="dxa"/>
            <w:vAlign w:val="bottom"/>
          </w:tcPr>
          <w:p>
            <w:pPr>
              <w:spacing w:after="0"/>
              <w:rPr>
                <w:sz w:val="24"/>
                <w:szCs w:val="24"/>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48"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17"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560" w:space="720"/>
            <w:col w:w="1880" w:space="720"/>
            <w:col w:w="340"/>
          </w:cols>
          <w:pgMar w:left="240" w:top="517"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560" w:space="640"/>
            <w:col w:w="180" w:space="80"/>
            <w:col w:w="5300" w:space="720"/>
            <w:col w:w="1960" w:space="640"/>
            <w:col w:w="340"/>
          </w:cols>
          <w:pgMar w:left="240" w:top="517"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7440" w:space="160"/>
            <w:col w:w="260" w:space="100"/>
            <w:col w:w="160" w:space="180"/>
            <w:col w:w="220" w:space="80"/>
            <w:col w:w="2820"/>
          </w:cols>
          <w:pgMar w:left="240" w:top="517" w:right="239" w:bottom="1440"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15,913,340 shares of Common Stock, par value $0.01 per share, of the registrant were outstanding on May 1, 2014.</w:t>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21</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394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00"/>
          </w:cols>
          <w:pgMar w:left="280" w:top="364"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76,174</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84,762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95,408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96,309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4,491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4,395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6,157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6,167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276,183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278,466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73,516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75,570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26,136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26,963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5,279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423,733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54,257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58,498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Line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33,834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38,317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sales discounts, rebates and royalties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Accrued income taxes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3,032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accrued expenses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10,388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11,229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105,740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119,918</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Income tax payable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118,357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132,463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340" w:type="dxa"/>
            <w:vAlign w:val="bottom"/>
          </w:tcPr>
          <w:p>
            <w:pPr>
              <w:ind w:left="380"/>
              <w:spacing w:after="0"/>
              <w:rPr>
                <w:sz w:val="20"/>
                <w:szCs w:val="20"/>
                <w:color w:val="auto"/>
              </w:rPr>
            </w:pPr>
            <w:r>
              <w:rPr>
                <w:rFonts w:ascii="Arial" w:cs="Arial" w:eastAsia="Arial" w:hAnsi="Arial"/>
                <w:sz w:val="16"/>
                <w:szCs w:val="16"/>
                <w:color w:val="auto"/>
                <w:w w:val="93"/>
              </w:rPr>
              <w:t>Common stock, $0.01 par value, 50,000,000 shares authorized; 22,550,142 and 22,344,121 shares issued on March 31,</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380"/>
              <w:spacing w:after="0"/>
              <w:rPr>
                <w:sz w:val="20"/>
                <w:szCs w:val="20"/>
                <w:color w:val="auto"/>
              </w:rPr>
            </w:pPr>
            <w:r>
              <w:rPr>
                <w:rFonts w:ascii="Arial" w:cs="Arial" w:eastAsia="Arial" w:hAnsi="Arial"/>
                <w:sz w:val="16"/>
                <w:szCs w:val="16"/>
                <w:color w:val="auto"/>
              </w:rPr>
              <w:t>2014 and December 31, 2013, respectively</w:t>
            </w:r>
          </w:p>
        </w:tc>
        <w:tc>
          <w:tcPr>
            <w:tcW w:w="26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205,434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199,513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197,805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193,532</w:t>
            </w: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404,336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396,250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Less cost of common stock in treasury, 6,643,109 and 6,639,497 shares on March 31, 2014 and December 31, 2013,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(104,980)</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299,055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291,270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423,733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a related party vendor.</w:t>
      </w:r>
    </w:p>
    <w:p>
      <w:pPr>
        <w:spacing w:after="0" w:line="2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084"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084"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34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129,845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114,722</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93,299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82,173</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32,549</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26,279</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24,413</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5,990</w:t>
            </w:r>
          </w:p>
        </w:tc>
        <w:tc>
          <w:tcPr>
            <w:tcW w:w="1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60" w:type="dxa"/>
            <w:vAlign w:val="bottom"/>
            <w:vMerge w:val="continue"/>
          </w:tcPr>
          <w:p>
            <w:pPr>
              <w:spacing w:after="0"/>
              <w:rPr>
                <w:sz w:val="19"/>
                <w:szCs w:val="19"/>
                <w:color w:val="auto"/>
              </w:rPr>
            </w:pP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1260" w:type="dxa"/>
            <w:vAlign w:val="bottom"/>
          </w:tcPr>
          <w:p>
            <w:pPr>
              <w:jc w:val="right"/>
              <w:ind w:right="105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67"/>
        </w:trPr>
        <w:tc>
          <w:tcPr>
            <w:tcW w:w="716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1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Basic</w:t>
            </w:r>
          </w:p>
        </w:tc>
        <w:tc>
          <w:tcPr>
            <w:tcW w:w="12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15,787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14,965</w:t>
            </w:r>
          </w:p>
        </w:tc>
        <w:tc>
          <w:tcPr>
            <w:tcW w:w="0" w:type="dxa"/>
            <w:vAlign w:val="bottom"/>
          </w:tcPr>
          <w:p>
            <w:pPr>
              <w:spacing w:after="0"/>
              <w:rPr>
                <w:sz w:val="1"/>
                <w:szCs w:val="1"/>
                <w:color w:val="auto"/>
              </w:rPr>
            </w:pPr>
          </w:p>
        </w:tc>
      </w:tr>
      <w:tr>
        <w:trPr>
          <w:trHeight w:val="67"/>
        </w:trPr>
        <w:tc>
          <w:tcPr>
            <w:tcW w:w="716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15,225</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18" w:right="29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34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71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2,946</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1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320" w:type="dxa"/>
            <w:vAlign w:val="bottom"/>
            <w:tcBorders>
              <w:top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1,820</w:t>
            </w:r>
          </w:p>
        </w:tc>
      </w:tr>
      <w:tr>
        <w:trPr>
          <w:trHeight w:val="27"/>
        </w:trPr>
        <w:tc>
          <w:tcPr>
            <w:tcW w:w="71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18" w:right="29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r>
      <w:tr>
        <w:trPr>
          <w:trHeight w:val="21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for) operating activities: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60"/>
        </w:trPr>
        <w:tc>
          <w:tcPr>
            <w:tcW w:w="8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4,273</w:t>
            </w:r>
          </w:p>
        </w:tc>
        <w:tc>
          <w:tcPr>
            <w:tcW w:w="120" w:type="dxa"/>
            <w:vAlign w:val="bottom"/>
          </w:tcPr>
          <w:p>
            <w:pPr>
              <w:spacing w:after="0"/>
              <w:rPr>
                <w:sz w:val="20"/>
                <w:szCs w:val="20"/>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2,946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income to net cash provided by (used for)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4,260</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4,374</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Provision for doubtful accounts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Provision for inventory write-downs</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573</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Tax benefit from exercise of stock options and vested restricted stock</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Excess tax benefit from stock-based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Shares issued for employee benefit plan</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255</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Stock-based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1,261</w:t>
            </w:r>
          </w:p>
        </w:tc>
      </w:tr>
      <w:tr>
        <w:trPr>
          <w:trHeight w:val="224"/>
        </w:trPr>
        <w:tc>
          <w:tcPr>
            <w:tcW w:w="810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Accounts receivable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Inventories</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4,756</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(6,066)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Prepaid expenses and other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Accounts payable and accrued expenses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(10,489)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(14,345)</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Accrued income and other taxes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(2,484)</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r>
      <w:tr>
        <w:trPr>
          <w:trHeight w:val="217"/>
        </w:trPr>
        <w:tc>
          <w:tcPr>
            <w:tcW w:w="8100" w:type="dxa"/>
            <w:vAlign w:val="bottom"/>
          </w:tcPr>
          <w:p>
            <w:pPr>
              <w:ind w:left="720"/>
              <w:spacing w:after="0"/>
              <w:rPr>
                <w:sz w:val="20"/>
                <w:szCs w:val="20"/>
                <w:color w:val="auto"/>
              </w:rPr>
            </w:pPr>
            <w:r>
              <w:rPr>
                <w:rFonts w:ascii="Arial" w:cs="Arial" w:eastAsia="Arial" w:hAnsi="Arial"/>
                <w:sz w:val="16"/>
                <w:szCs w:val="16"/>
                <w:color w:val="auto"/>
              </w:rPr>
              <w:t>Net cash provided by (used for) operating activities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13,906</w:t>
            </w: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(11,297)</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4"/>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for investing activities: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60"/>
        </w:trPr>
        <w:tc>
          <w:tcPr>
            <w:tcW w:w="8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Acquisition of property, plant, and equipment</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(2,396)</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(3,058)</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intangible assets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17"/>
        </w:trPr>
        <w:tc>
          <w:tcPr>
            <w:tcW w:w="8100" w:type="dxa"/>
            <w:vAlign w:val="bottom"/>
          </w:tcPr>
          <w:p>
            <w:pPr>
              <w:ind w:left="720"/>
              <w:spacing w:after="0"/>
              <w:rPr>
                <w:sz w:val="20"/>
                <w:szCs w:val="20"/>
                <w:color w:val="auto"/>
              </w:rPr>
            </w:pPr>
            <w:r>
              <w:rPr>
                <w:rFonts w:ascii="Arial" w:cs="Arial" w:eastAsia="Arial" w:hAnsi="Arial"/>
                <w:sz w:val="16"/>
                <w:szCs w:val="16"/>
                <w:color w:val="auto"/>
              </w:rPr>
              <w:t>Net cash used for investing activities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(3,349)</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4"/>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for) financing activities: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60"/>
        </w:trPr>
        <w:tc>
          <w:tcPr>
            <w:tcW w:w="8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Issuance of debt</w:t>
            </w:r>
          </w:p>
        </w:tc>
        <w:tc>
          <w:tcPr>
            <w:tcW w:w="9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13,500</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debt</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(13,500)</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stock options exercised</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3,272</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593</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purchased</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37</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for) 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14,226</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(15,869)</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76,174</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44,593</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28,724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Income taxes paid</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1,601</w:t>
            </w:r>
          </w:p>
        </w:tc>
        <w:tc>
          <w:tcPr>
            <w:tcW w:w="120" w:type="dxa"/>
            <w:vAlign w:val="bottom"/>
          </w:tcPr>
          <w:p>
            <w:pPr>
              <w:spacing w:after="0"/>
              <w:rPr>
                <w:sz w:val="20"/>
                <w:szCs w:val="20"/>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1,682</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r>
      <w:tr>
        <w:trPr>
          <w:trHeight w:val="33"/>
        </w:trPr>
        <w:tc>
          <w:tcPr>
            <w:tcW w:w="8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18" w:right="25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months ended March 31, 2014 are not necessarily indicative of the results to be expected for the full year. These financial statements should be read in conjunction with the "Risk Factors," "Management Discussion and Analysis of Financial Condition and Results of Operations," "Quantitative and Qualitative Disclosures About Market Risk," and the "Financial Statements and Supplementary Data" and notes thereto included in Items 1A, 7, 7A, and 8, respectively, of our Annual Report on Form 10-K for the fiscal year ended December 31,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 for doubtful accounts, warranties, inventory valuation,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2013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2013, the FASB issued ASU 2013-11, "Presentation of an Unrecognized Tax Benefit When a Net Operating Loss Carryforward, a Similar Tax Loss, or a Tax Credit Carryforward Exists." This standard requires an entity to present an unrecognized tax benefit, or a portion of an unrecognized tax benefit, in the financial statements as a reduction to a deferred tax asset for a net operating loss carryforward, a similar tax loss, or a tax credit carryforward.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became effective for fiscal years, and interim periods within those years, beginning after December 15, 2013. The adoption of this guidance did not have a material impact on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CCEEFF"/>
            </w:tcBorders>
            <w:vMerge w:val="continue"/>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30,082</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Asia</w:t>
            </w:r>
          </w:p>
        </w:tc>
        <w:tc>
          <w:tcPr>
            <w:tcW w:w="4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48,263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34,627</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South America</w:t>
            </w:r>
          </w:p>
        </w:tc>
        <w:tc>
          <w:tcPr>
            <w:tcW w:w="4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2,804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w:t>
            </w:r>
          </w:p>
        </w:tc>
        <w:tc>
          <w:tcPr>
            <w:tcW w:w="4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90,400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76,174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5"/>
          </w:tcPr>
          <w:p>
            <w:pPr>
              <w:ind w:left="1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1220" w:type="dxa"/>
            <w:vAlign w:val="bottom"/>
            <w:tcBorders>
              <w:bottom w:val="single" w:sz="8" w:color="CCEEFF"/>
            </w:tcBorders>
            <w:gridSpan w:val="2"/>
            <w:shd w:val="clear" w:color="auto" w:fill="CCEEFF"/>
          </w:tcPr>
          <w:p>
            <w:pPr>
              <w:jc w:val="center"/>
              <w:ind w:left="63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82,989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94,325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9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81,788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92,982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3"/>
              </w:rPr>
              <w:t>2,974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900" w:type="dxa"/>
            <w:vAlign w:val="bottom"/>
          </w:tcPr>
          <w:p>
            <w:pPr>
              <w:spacing w:after="0"/>
              <w:rPr>
                <w:sz w:val="20"/>
                <w:szCs w:val="20"/>
                <w:color w:val="auto"/>
              </w:rPr>
            </w:pPr>
          </w:p>
        </w:tc>
        <w:tc>
          <w:tcPr>
            <w:tcW w:w="320" w:type="dxa"/>
            <w:vAlign w:val="bottom"/>
            <w:tcBorders>
              <w:top w:val="single" w:sz="8" w:color="auto"/>
            </w:tcBorders>
          </w:tcPr>
          <w:p>
            <w:pPr>
              <w:jc w:val="center"/>
              <w:ind w:right="9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84,762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95,408</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40" w:type="dxa"/>
            <w:vAlign w:val="bottom"/>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74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914"/>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Borders>
              <w:bottom w:val="single" w:sz="8" w:color="auto"/>
            </w:tcBorders>
            <w:gridSpan w:val="2"/>
          </w:tcPr>
          <w:p>
            <w:pPr>
              <w:jc w:val="center"/>
              <w:ind w:left="634"/>
              <w:spacing w:after="0"/>
              <w:rPr>
                <w:sz w:val="20"/>
                <w:szCs w:val="20"/>
                <w:color w:val="auto"/>
              </w:rPr>
            </w:pPr>
            <w:r>
              <w:rPr>
                <w:rFonts w:ascii="Arial" w:cs="Arial" w:eastAsia="Arial" w:hAnsi="Arial"/>
                <w:sz w:val="14"/>
                <w:szCs w:val="14"/>
                <w:b w:val="1"/>
                <w:bCs w:val="1"/>
                <w:color w:val="auto"/>
                <w:w w:val="96"/>
              </w:rPr>
              <w:t>2014</w:t>
            </w: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(Write-offs)/FX effects</w:t>
            </w: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March 31, 2014 and December 31, 2013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$0.4 million and $0.5 million on March 31, 2014 and December 31, 2013, respectively. The value of these returned goods was included in our inventory balance at March 31, 2014 and December 31,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 totaled more than 10% of our net sales: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4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1208"/>
              <w:spacing w:after="0"/>
              <w:rPr>
                <w:sz w:val="20"/>
                <w:szCs w:val="20"/>
                <w:color w:val="auto"/>
              </w:rPr>
            </w:pPr>
            <w:r>
              <w:rPr>
                <w:rFonts w:ascii="Arial" w:cs="Arial" w:eastAsia="Arial" w:hAnsi="Arial"/>
                <w:sz w:val="14"/>
                <w:szCs w:val="14"/>
                <w:b w:val="1"/>
                <w:bCs w:val="1"/>
                <w:color w:val="auto"/>
                <w:w w:val="96"/>
              </w:rPr>
              <w:t>2013</w:t>
            </w:r>
          </w:p>
        </w:tc>
      </w:tr>
      <w:tr>
        <w:trPr>
          <w:trHeight w:val="264"/>
        </w:trPr>
        <w:tc>
          <w:tcPr>
            <w:tcW w:w="54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5"/>
              </w:rPr>
              <w:t>$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of Net Sales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5"/>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of Net Sales</w:t>
            </w:r>
          </w:p>
        </w:tc>
      </w:tr>
      <w:tr>
        <w:trPr>
          <w:trHeight w:val="243"/>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14,716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20,847</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5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loss of this customer or any other customer, either in the United States or abroad, due to their financial weakness or bankruptcy, or our inability to obtain orders or maintain our order volume with them, may have a material adverse effect on our financial condition, results of operations and cash flows.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15,002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18,623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54,348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59,393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for excess and obsolete inventory</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90,172</w:t>
            </w:r>
          </w:p>
        </w:tc>
        <w:tc>
          <w:tcPr>
            <w:tcW w:w="100" w:type="dxa"/>
            <w:vAlign w:val="bottom"/>
          </w:tcPr>
          <w:p>
            <w:pPr>
              <w:spacing w:after="0"/>
              <w:rPr>
                <w:sz w:val="20"/>
                <w:szCs w:val="20"/>
                <w:color w:val="auto"/>
              </w:rPr>
            </w:pPr>
          </w:p>
        </w:tc>
        <w:tc>
          <w:tcPr>
            <w:tcW w:w="3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gridSpan w:val="2"/>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Write-offs/FX effects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$45 thousand and $94 thousand for the three months ended March 31, 2014 and 2013, respectively. These amounts are production waste and are not included in management’s reserve for excess and obsolete inventory.</w:t>
      </w:r>
    </w:p>
    <w:p>
      <w:pPr>
        <w:spacing w:after="0" w:line="2"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reversal of reserves associated with inventory items that were sold during the period. Sell through is the result of differences between our judgment concerning the saleability of inventory items during the excess and obsolete inventory review process and our subsequent experience.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We had purchases from the following significant supplier that totaled more than 10% of our total inventory purchases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Three Months Ended March 31,</w:t>
            </w: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40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34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3"/>
              </w:rPr>
              <w:t>$ (thousands)</w:t>
            </w:r>
          </w:p>
        </w:tc>
        <w:tc>
          <w:tcPr>
            <w:tcW w:w="100" w:type="dxa"/>
            <w:vAlign w:val="bottom"/>
            <w:vMerge w:val="restart"/>
          </w:tcPr>
          <w:p>
            <w:pPr>
              <w:spacing w:after="0"/>
              <w:rPr>
                <w:sz w:val="13"/>
                <w:szCs w:val="13"/>
                <w:color w:val="auto"/>
              </w:rPr>
            </w:pPr>
          </w:p>
        </w:tc>
        <w:tc>
          <w:tcPr>
            <w:tcW w:w="20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 of Total</w:t>
            </w:r>
          </w:p>
        </w:tc>
        <w:tc>
          <w:tcPr>
            <w:tcW w:w="1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(thousands)</w:t>
            </w:r>
          </w:p>
        </w:tc>
        <w:tc>
          <w:tcPr>
            <w:tcW w:w="120" w:type="dxa"/>
            <w:vAlign w:val="bottom"/>
            <w:vMerge w:val="restart"/>
          </w:tcPr>
          <w:p>
            <w:pPr>
              <w:spacing w:after="0"/>
              <w:rPr>
                <w:sz w:val="13"/>
                <w:szCs w:val="13"/>
                <w:color w:val="auto"/>
              </w:rPr>
            </w:pPr>
          </w:p>
        </w:tc>
        <w:tc>
          <w:tcPr>
            <w:tcW w:w="1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 Integrated Products International Limited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8,054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4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29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vendor. The vendor is considered a related party for financial reporting purposes because our Senior Vice President of Manufacturing owns 40% of this vendor. Inventory purchases from this vendor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rPr>
              <w:t>Three Months Ended March 31,</w:t>
            </w: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40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38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120" w:type="dxa"/>
            <w:vAlign w:val="bottom"/>
            <w:vMerge w:val="restart"/>
          </w:tcPr>
          <w:p>
            <w:pPr>
              <w:spacing w:after="0"/>
              <w:rPr>
                <w:sz w:val="13"/>
                <w:szCs w:val="13"/>
                <w:color w:val="auto"/>
              </w:rPr>
            </w:pPr>
          </w:p>
        </w:tc>
        <w:tc>
          <w:tcPr>
            <w:tcW w:w="214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8"/>
              </w:rPr>
              <w:t>% of Total</w:t>
            </w:r>
          </w:p>
        </w:tc>
        <w:tc>
          <w:tcPr>
            <w:tcW w:w="11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3"/>
              </w:rPr>
              <w:t>$ (thousands)</w:t>
            </w:r>
          </w:p>
        </w:tc>
        <w:tc>
          <w:tcPr>
            <w:tcW w:w="100" w:type="dxa"/>
            <w:vAlign w:val="bottom"/>
            <w:vMerge w:val="restart"/>
          </w:tcPr>
          <w:p>
            <w:pPr>
              <w:spacing w:after="0"/>
              <w:rPr>
                <w:sz w:val="13"/>
                <w:szCs w:val="13"/>
                <w:color w:val="auto"/>
              </w:rPr>
            </w:pPr>
          </w:p>
        </w:tc>
        <w:tc>
          <w:tcPr>
            <w:tcW w:w="1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Inventory Purchases</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CEEFF"/>
          </w:tcPr>
          <w:p>
            <w:pPr>
              <w:spacing w:after="0"/>
              <w:rPr>
                <w:sz w:val="21"/>
                <w:szCs w:val="21"/>
                <w:color w:val="auto"/>
              </w:rPr>
            </w:pPr>
          </w:p>
        </w:tc>
        <w:tc>
          <w:tcPr>
            <w:tcW w:w="2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  $</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Total accounts payable to this vendor were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December 31, 2013</w:t>
            </w:r>
          </w:p>
        </w:tc>
      </w:tr>
      <w:tr>
        <w:trPr>
          <w:trHeight w:val="264"/>
        </w:trPr>
        <w:tc>
          <w:tcPr>
            <w:tcW w:w="50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 of Accounts Payable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of Accounts Payable</w:t>
            </w: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  $</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payable terms and pricing with this vendor are consistent with the terms offered by other vendors in the ordinary course of business. The accounting policies that we apply to our transactions with our related party vendor are consistent with those applied in transactions with independent third parties. Corporate management routinely monitors purchases from our related party vendor to ensure these purchases remain consistent with our business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Goodwill and changes in the carrying amount of goodwill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6"/>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31,000</w:t>
            </w:r>
          </w:p>
        </w:tc>
      </w:tr>
      <w:tr>
        <w:trPr>
          <w:trHeight w:val="270"/>
        </w:trPr>
        <w:tc>
          <w:tcPr>
            <w:tcW w:w="980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25"/>
                <w:szCs w:val="25"/>
                <w:color w:val="auto"/>
                <w:vertAlign w:val="superscript"/>
              </w:rPr>
              <w:t>(1)</w:t>
            </w: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69"/>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30,992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1760" w:hanging="5288"/>
        <w:spacing w:after="0" w:line="466" w:lineRule="auto"/>
        <w:tabs>
          <w:tab w:leader="none" w:pos="558"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Adjustments were the result of fluctuations in the foreign currency exchange rates used to translate balances into U.S. Dollars. 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2014</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2013</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Carrying amount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Distribution rights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Patents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Trademark and trade names</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and core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w w:val="95"/>
              </w:rPr>
              <w:t>Capitalized software development costs</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18,018</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Total carrying amount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42,515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42,338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26,963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1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$6.6 million and $6.6 million on March 31, 2014 and December 31, 2013, respectively.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2013</w:t>
            </w: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972</w:t>
            </w:r>
          </w:p>
        </w:tc>
      </w:tr>
      <w:tr>
        <w:trPr>
          <w:trHeight w:val="27"/>
        </w:trPr>
        <w:tc>
          <w:tcPr>
            <w:tcW w:w="7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at March 31, 2014,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(remaining 9 months)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3,941</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3,902</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3,874</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3,864</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7,485</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26,136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immaterial impairment charges related to our intangible assets for the three months ended March 31, 2014 and 2013. Impairment charges are recorded in selling, general and administrative expenses as a component of amortization expense, except impairment charges related to capitalized software development costs which are recorded in cost of sales. Quoted prices for identical or similar patents, trademarks and trade names are unavailable. The fair value of intangible assets is based upon management's judgment. Management believes that the net book value represents the fair value of our patents, trademarks and trade names.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2, 2012, we entered into an Amended and Restated Credit Agreement ("Amended Credit Agreement") with U.S. Bank National Association ("U.S. Bank") which provides for a $55.0 million line of credit ("Credit Line") that may be used for working capital and other general corporate purposes including acquisitions, share repurchases and capital expenditures. The Amended Credit Agreement expires on November 1, 2014. Amounts available for borrowing under the Credit Line are reduced by the balance of any outstanding letters of credit, of which there were $13 thousand at March 31, 2014.</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March 31, 2014, we were in compliance with the covenants and conditions of the Amended Credit Agreement.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interest expense on borrowings during the three months ended March 31, 2014. Our total interest expense on borrowings was $23 thousand during the three months ended March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income tax expense of $1.4 million and $0.4 million for the three months ended March 31, 2014 and 2013, respectively. Our effective tax rate was 24.0% and 12.2% during the three months ended March 31, 2014 and 2013, respectively. The increase in our effective tax rate was due primarily to the recognition of a tax benefit of $0.4 million during the three months ended March 31, 2013 related to the 2012 federal R&amp;D tax credit, which passed legislation during the three months ended March 31, 2013. As of March 31, 2014, the federal R&amp;D tax credit for 2014 had not been passed; therefore, the estimated benefit is not included in our estimated tax rate for the current year. In addition, the "Look-Through" rule expired as of December 31, 2013 which resulted in an increase of Subpart F income. Partially offsetting these items are foreign earnings, which have a lower tax rate than the United States, representing a higher percentage of our pre-tax income.</w:t>
      </w:r>
    </w:p>
    <w:p>
      <w:pPr>
        <w:spacing w:after="0" w:line="1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31, 2014, we had gross unrecognized tax benefits of approximately $3.6 million, including interest and penalties, of which approximately $3.2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$0.2 million within the next twelve months.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and $0.1 million on March 31, 2014 and December 31, 2013, respectively, are included in our unrecognized tax benefits.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March 31, 2014, the open statutes of limitations in our significant tax jurisdictions were as follows: federal 2010 through 2013, state 2009 through 2013, and non-U.S. 2007 through 2013. On March 31, 2014, of our gross unrecognized tax benefits of $3.6 million, which included $0.2 million of interest and penalties, $1.5 million are classified as current and $2.1 million are classified as long term.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are listed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December 31, 2013</w:t>
            </w:r>
          </w:p>
        </w:tc>
      </w:tr>
      <w:tr>
        <w:trPr>
          <w:trHeight w:val="270"/>
        </w:trPr>
        <w:tc>
          <w:tcPr>
            <w:tcW w:w="76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19,986</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20,492</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6,176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5,324</w:t>
            </w: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2,113</w:t>
            </w:r>
          </w:p>
        </w:tc>
      </w:tr>
      <w:tr>
        <w:trPr>
          <w:trHeight w:val="270"/>
        </w:trPr>
        <w:tc>
          <w:tcPr>
            <w:tcW w:w="7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7,186</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201</w:t>
            </w: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w:t>
            </w: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33,834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38,317</w:t>
            </w:r>
          </w:p>
        </w:tc>
      </w:tr>
      <w:tr>
        <w:trPr>
          <w:trHeight w:val="27"/>
        </w:trPr>
        <w:tc>
          <w:tcPr>
            <w:tcW w:w="7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March 31, 2014 and December 31, 2013.</w:t>
      </w:r>
    </w:p>
    <w:p>
      <w:pPr>
        <w:spacing w:after="0" w:line="96"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$0.3 million and $0.6 million at March 31, 2014 and December 31, 2013,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16"/>
                <w:szCs w:val="16"/>
                <w:color w:val="auto"/>
              </w:rPr>
            </w:pPr>
          </w:p>
        </w:tc>
        <w:tc>
          <w:tcPr>
            <w:tcW w:w="158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December 31, 2013</w:t>
            </w:r>
          </w:p>
        </w:tc>
      </w:tr>
      <w:tr>
        <w:trPr>
          <w:trHeight w:val="250"/>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Duties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797</w:t>
            </w: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614</w:t>
            </w: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claim costs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1,757</w:t>
            </w: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511</w:t>
            </w: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Unrealized loss on foreign currency exchange futures contracts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2,706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3,189</w:t>
            </w:r>
          </w:p>
        </w:tc>
      </w:tr>
      <w:tr>
        <w:trPr>
          <w:trHeight w:val="27"/>
        </w:trPr>
        <w:tc>
          <w:tcPr>
            <w:tcW w:w="7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accrued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3740" w:hanging="5288"/>
        <w:spacing w:after="0" w:line="466" w:lineRule="auto"/>
        <w:tabs>
          <w:tab w:leader="none" w:pos="652"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 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2013</w:t>
            </w: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4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375</w:t>
            </w:r>
          </w:p>
        </w:tc>
      </w:tr>
      <w:tr>
        <w:trPr>
          <w:trHeight w:val="27"/>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57"/>
        </w:trPr>
        <w:tc>
          <w:tcPr>
            <w:tcW w:w="76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454</w:t>
            </w:r>
          </w:p>
        </w:tc>
      </w:tr>
      <w:tr>
        <w:trPr>
          <w:trHeight w:val="20"/>
        </w:trPr>
        <w:tc>
          <w:tcPr>
            <w:tcW w:w="7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 2012, we filed a lawsuit against Universal Remote Control, Inc. ("URC") in the United States District Court, Central District of California (Universal Electronics Inc. v. Universal Remote Control, Inc., SACV12-0039 AG (JPRx)) alleging that URC is infringing, directly and indirectly, four of our patents related to remote control technology. We have alleged that this complaint relates to multiple URC remote control products, including the URC model numbers UR5U-9000L, WR7 and other remote controls with different model names or numbers, but with substantially the same designs, features, and functionalities. We are seeking monetary relief for the infringement, including enhanced damages due to the willfulness of URC's actions, injunctive relief to enjoin URC from further infringing, including contributory infringement and/or inducing infringement, and attorney's fees. URC has denied infringing our patents and has asserted a variety of counterclaims and affirmative defenses including invalidity and unenforceability of our patents, misuse of patents, and a breach of contract action stemming from the settlement by us of an earlier lawsuit against URC. On January 29, 2013, the Court held its "Markman" hearing and on February 1, 2013, the Court issued its ruling that four of the 24 claims we asserted against URC were invalid, effectively removing one of the four patents alleged by us to be infringed by URC from this litigation. In April 2014, the Court further narrowed the scope of this litigation by effectively removing two additional patents. In our estimation these rulings do not materially affect our position in this litigation. In all other respects, this litigation is continuing as scheduled with trial set to commence on May 6, 2014.</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28, 2013, we filed a second lawsuit against URC, also in the United States District Court, Central District of California (Universal Electronics Inc. v. Universal Remote Control, Inc., SACV13-00987 JAK (SHx)). In this second lawsuit, we are alleging that URC is infringing, directly and indirectly, ten additional patents that we own related to remote control technology. As in the first lawsuit, in this second lawsuit we have alleged that this complaint relates to multiple URC remote control products. We are seeking monetary relief for infringement, including enhanced damages due to the willfulness of URC's actions, injunctive relief to enjoin URC from further infringing, including contributory infringement and/or inducing infringement, and attorney's fees. In mid-July 2013, URC filed a Notice of Related Cases seeking to join this lawsuit with the lawsuit we filed against URC on March 2, 2012 and we did not object to this Notice. Consequently, this lawsuit was transferred to the Judge and Magistrate hearing our first lawsuit filed against URC. In addition, URC answered this complaint with a denial of infringement, asserting affirmative defenses, and seeking a ruling that URC has not infringed our patents, that our patents are invalid and unenforceable, that the patents have been licensed to URC, and an award of attorneys’ fees and costs. In mid-November 2013, UEI filed a motion to add affiliated URC suppliers, Ohsung Electronics Co, Ltd, a South Korean entity, and Ohsung Electronics USA, Inc., a California entity, (collectively "Ohsung"), to the lawsuit. In February 2014, Ohsung answered and counterclaimed with a general denial of wrongdoing and asserted the standard affirmative defenses of non-infringement, invalidity and unenforceability of our patents and breach of contract action stemming from the settlement by us of an earlier lawsuit against URC. In March 2014, we answered by disputing Ohsung’s defenses and with a general denial of Ohsung’s breach of contract complaint. We are seeking attorney’s fees. In all other respects this litigation is continuing as scheduled with discovery underway.</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23, 2013, we filed a lawsuit against Peel Technologies, Inc. (“Peel”) in the United States District Court, Central District of California (Universal Electronics Inc. v. Peel Technologies, Inc., SACV13-01484 GAF (RNBx)) alleging that Peel is infringing, directly and indirectly, five of our patents related to remote control technology. We have alleged that this complaint relates to software and hardware used in connection with remote control devices, including Peel’s software products called “TV App” (sometimes referred to as “Sense TV”), “WatchOn App” and “Peel Smart Remote App,” and a product called “Peel Universal Remote” consisting of a Peel “Fruit” hardware device and a software component for use with the iOS operating system. We are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seeking monetary relief for the infringement, including enhanced damages due to the willfulness of Peel’s actions, injunctive relief to enjoin Peel from further infringment, including contributory infringement and/or inducing infringement, and attorney’s fees. On November 14, 2013, Peel answered our complaint with a general denial that it is infringing our patents and has filed counter-claims, seeking declaratory judgments that our patents are not infringed and are invalid. They are also seeking attorney’s fees. In our reply to Peel’s counterclaims, which we filed on December 5, 2013, we have asked the Court to deny and dismiss with prejudice Peel’s counterclaims and sought after relief. In April 2014, both parties were granted leave by the court to amend the pleadings in the case. We have added four additional patents related to remote control technology, and Peel has filed a counterclaim against us alleging we are infringing one patent related to remote control technology which they recently acquired. We answered Peel’s counterclaim with a general denial of infringement and added our affirmative defenses of non-infringement, invalidity and unenforceability. We will seek attorney fees in connection with defending against this countersuit. In all other respects, this litigation is continuing with discovery just beginning.</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2014, two of our subsidiaries, Gemstar Technology (China) Co. Ltd. and Gemstar Technology (Yangzhou) Co. Ltd., each filed arbitration requests in Hong Kong under the arbitration rules of the Hong Kong International Arbitration Centre (the “HKIAC”) against Dongguan City Liwang Battery Co. Ltd. (“LiWang”). In these requests, our subsidiaries are claiming that LiWang supplied defective batteries and are seeking damages incurred as a result. LiWang is opposing jurisdiction under the HKIAC and has, in turn, filed a claim against Gemstar Technology (China) Co. Ltd. in the People’s Court of Panyu District, Guangzhou City, alleging breach of contract and that jurisdiction should be in China. We are opposing these claims and are awaiting a ruling by the China Court.</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subsidiary in India maintains a defined benefit pension plan ("India Plan") for local employees, which is consistent with local statutes and practices. The pension plan was adequately funded on March 31, 2014 and December 31, 2013 based on its latest actuarial report. The India Plan has an independent external manager that advises us of the appropriate funding contribution requirements to which we comply. At March 31, 2014, approximately 38 percent of our India subsidiary employees had qualified for eligibility. An individual must be employed by our India subsidiary for a minimum of 5 years before becoming eligible. Upon the termination, resignation or retirement of an eligible employee, we are liable to pay the employee an amount equal to 15 days salary for each full year of service completed. The total amount of liability outstanding at March 31, 2014 and December 31, 2013 for the India Plan was not material. During the three months ended March 31, 2014 and 2013, the net periodic benefit costs were also not material.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33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2013</w:t>
            </w: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3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11,112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81,019</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3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1,558</w:t>
            </w:r>
          </w:p>
        </w:tc>
      </w:tr>
      <w:tr>
        <w:trPr>
          <w:trHeight w:val="486"/>
        </w:trPr>
        <w:tc>
          <w:tcPr>
            <w:tcW w:w="3840" w:type="dxa"/>
            <w:vAlign w:val="bottom"/>
          </w:tcPr>
          <w:p>
            <w:pPr>
              <w:spacing w:after="0"/>
              <w:rPr>
                <w:sz w:val="24"/>
                <w:szCs w:val="24"/>
                <w:color w:val="auto"/>
              </w:rPr>
            </w:pPr>
          </w:p>
        </w:tc>
        <w:tc>
          <w:tcPr>
            <w:tcW w:w="3340" w:type="dxa"/>
            <w:vAlign w:val="bottom"/>
          </w:tcPr>
          <w:p>
            <w:pPr>
              <w:jc w:val="right"/>
              <w:ind w:right="1310"/>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 During the three months ended March 31, 2014 and 2013, we issued 7,500 and 7,500 shares from treasury, respectively, to outside directors for services performed (see Note 13).</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March 31, 2014, we had 922,344 shares available for repurchase under the Board's authorizations. On April 23, 2014, our Board increased these repurchase authorizations by 81,516 shares bringing the total authorization as of the approval date to 1,000,000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2013</w:t>
            </w: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47,896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44,768</w:t>
            </w:r>
          </w:p>
        </w:tc>
      </w:tr>
      <w:tr>
        <w:trPr>
          <w:trHeight w:val="27"/>
        </w:trPr>
        <w:tc>
          <w:tcPr>
            <w:tcW w:w="7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Asia (excluding PRC)</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22,160</w:t>
            </w: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People's Republic of China</w:t>
            </w:r>
          </w:p>
        </w:tc>
        <w:tc>
          <w:tcPr>
            <w:tcW w:w="5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20,670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16,821</w:t>
            </w:r>
          </w:p>
        </w:tc>
      </w:tr>
      <w:tr>
        <w:trPr>
          <w:trHeight w:val="27"/>
        </w:trPr>
        <w:tc>
          <w:tcPr>
            <w:tcW w:w="7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15,529</w:t>
            </w: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Latin America</w:t>
            </w:r>
          </w:p>
        </w:tc>
        <w:tc>
          <w:tcPr>
            <w:tcW w:w="5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9,025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7,823</w:t>
            </w:r>
          </w:p>
        </w:tc>
      </w:tr>
      <w:tr>
        <w:trPr>
          <w:trHeight w:val="27"/>
        </w:trPr>
        <w:tc>
          <w:tcPr>
            <w:tcW w:w="7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7,621</w:t>
            </w: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129,845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114,722</w:t>
            </w:r>
          </w:p>
        </w:tc>
      </w:tr>
      <w:tr>
        <w:trPr>
          <w:trHeight w:val="27"/>
        </w:trPr>
        <w:tc>
          <w:tcPr>
            <w:tcW w:w="7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2014</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250"/>
        </w:trPr>
        <w:tc>
          <w:tcPr>
            <w:tcW w:w="3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tangible assets:</w:t>
            </w:r>
          </w:p>
        </w:tc>
        <w:tc>
          <w:tcPr>
            <w:tcW w:w="39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4,573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People's Republic of China</w:t>
            </w:r>
          </w:p>
        </w:tc>
        <w:tc>
          <w:tcPr>
            <w:tcW w:w="3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72,957</w:t>
            </w: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All other countries</w:t>
            </w:r>
          </w:p>
        </w:tc>
        <w:tc>
          <w:tcPr>
            <w:tcW w:w="3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78,678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80,849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13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3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Stock option activity was as follows: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w w:val="91"/>
              </w:rPr>
              <w:t>Weighted-Average</w:t>
            </w:r>
          </w:p>
        </w:tc>
        <w:tc>
          <w:tcPr>
            <w:tcW w:w="14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Number of Options</w:t>
            </w:r>
          </w:p>
        </w:tc>
        <w:tc>
          <w:tcPr>
            <w:tcW w:w="22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Weighted-Average</w:t>
            </w:r>
          </w:p>
        </w:tc>
        <w:tc>
          <w:tcPr>
            <w:tcW w:w="2040" w:type="dxa"/>
            <w:vAlign w:val="bottom"/>
            <w:gridSpan w:val="3"/>
          </w:tcPr>
          <w:p>
            <w:pPr>
              <w:jc w:val="center"/>
              <w:ind w:left="39"/>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2"/>
          </w:tcPr>
          <w:p>
            <w:pPr>
              <w:jc w:val="center"/>
              <w:ind w:left="739"/>
              <w:spacing w:after="0" w:line="149" w:lineRule="exact"/>
              <w:rPr>
                <w:sz w:val="20"/>
                <w:szCs w:val="20"/>
                <w:color w:val="auto"/>
              </w:rPr>
            </w:pPr>
            <w:r>
              <w:rPr>
                <w:rFonts w:ascii="Arial" w:cs="Arial" w:eastAsia="Arial" w:hAnsi="Arial"/>
                <w:sz w:val="14"/>
                <w:szCs w:val="14"/>
                <w:b w:val="1"/>
                <w:bCs w:val="1"/>
                <w:color w:val="auto"/>
                <w:w w:val="90"/>
              </w:rPr>
              <w:t>Terms</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(in 000's)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Exercise Price</w:t>
            </w:r>
          </w:p>
        </w:tc>
        <w:tc>
          <w:tcPr>
            <w:tcW w:w="204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w w:val="93"/>
              </w:rPr>
              <w:t>(in years)</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35.28</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gridSpan w:val="2"/>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March 31, 2014 </w:t>
            </w:r>
            <w:r>
              <w:rPr>
                <w:rFonts w:ascii="Arial" w:cs="Arial" w:eastAsia="Arial" w:hAnsi="Arial"/>
                <w:sz w:val="25"/>
                <w:szCs w:val="25"/>
                <w:color w:val="auto"/>
                <w:vertAlign w:val="superscript"/>
              </w:rPr>
              <w:t>(1)</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6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March 31, 2014 </w:t>
            </w:r>
            <w:r>
              <w:rPr>
                <w:rFonts w:ascii="Arial" w:cs="Arial" w:eastAsia="Arial" w:hAnsi="Arial"/>
                <w:sz w:val="25"/>
                <w:szCs w:val="25"/>
                <w:color w:val="auto"/>
                <w:vertAlign w:val="superscript"/>
              </w:rPr>
              <w:t>(1)</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882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22.58</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6.29</w:t>
            </w:r>
          </w:p>
        </w:tc>
        <w:tc>
          <w:tcPr>
            <w:tcW w:w="46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on March 31, 2014 </w:t>
            </w:r>
            <w:r>
              <w:rPr>
                <w:rFonts w:ascii="Arial" w:cs="Arial" w:eastAsia="Arial" w:hAnsi="Arial"/>
                <w:sz w:val="25"/>
                <w:szCs w:val="25"/>
                <w:color w:val="auto"/>
                <w:vertAlign w:val="superscript"/>
              </w:rPr>
              <w:t>(1)</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180" w:hanging="328"/>
        <w:spacing w:after="0" w:line="238" w:lineRule="auto"/>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first quarter of 2014 and the exercise price, multiplied by the number of in-the-money options) that would have been received by the option holders had they all exercised their options on March 31, 2014.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5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70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25"/>
                <w:szCs w:val="25"/>
                <w:color w:val="auto"/>
                <w:vertAlign w:val="superscript"/>
              </w:rPr>
              <w:t>(1)</w:t>
            </w:r>
          </w:p>
        </w:tc>
        <w:tc>
          <w:tcPr>
            <w:tcW w:w="1360" w:type="dxa"/>
            <w:vAlign w:val="bottom"/>
            <w:shd w:val="clear" w:color="auto" w:fill="CCEEFF"/>
          </w:tcPr>
          <w:p>
            <w:pPr>
              <w:jc w:val="right"/>
              <w:ind w:right="116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0.96%</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136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5.20</w:t>
            </w:r>
          </w:p>
        </w:tc>
      </w:tr>
    </w:tbl>
    <w:p>
      <w:pPr>
        <w:spacing w:after="0" w:line="17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2014, we expect to recognize $3.4 million of total unrecognized pre-tax stock-based compensation expense related to non-vested stock options over a remaining weighted-average life of 2.3 years.</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42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Shares Granted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255"/>
              <w:spacing w:after="0"/>
              <w:rPr>
                <w:sz w:val="20"/>
                <w:szCs w:val="20"/>
                <w:color w:val="auto"/>
              </w:rPr>
            </w:pPr>
            <w:r>
              <w:rPr>
                <w:rFonts w:ascii="Arial" w:cs="Arial" w:eastAsia="Arial" w:hAnsi="Arial"/>
                <w:sz w:val="14"/>
                <w:szCs w:val="14"/>
                <w:b w:val="1"/>
                <w:bCs w:val="1"/>
                <w:color w:val="auto"/>
              </w:rPr>
              <w:t>Weighted-Average</w:t>
            </w:r>
          </w:p>
        </w:tc>
      </w:tr>
      <w:tr>
        <w:trPr>
          <w:trHeight w:val="192"/>
        </w:trPr>
        <w:tc>
          <w:tcPr>
            <w:tcW w:w="76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(in 000’s)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Grant Date Fair Value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2013</w:t>
            </w: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285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24.64</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35.28</w:t>
            </w:r>
          </w:p>
        </w:tc>
      </w:tr>
      <w:tr>
        <w:trPr>
          <w:trHeight w:val="27"/>
        </w:trPr>
        <w:tc>
          <w:tcPr>
            <w:tcW w:w="7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24.24</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37.78</w:t>
            </w: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2014</w:t>
            </w:r>
          </w:p>
        </w:tc>
        <w:tc>
          <w:tcPr>
            <w:tcW w:w="14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301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26.44</w:t>
            </w:r>
          </w:p>
        </w:tc>
      </w:tr>
      <w:tr>
        <w:trPr>
          <w:trHeight w:val="20"/>
        </w:trPr>
        <w:tc>
          <w:tcPr>
            <w:tcW w:w="7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2014, we expect to recognize $6.9 million of total unrecognized pre-tax stock-based compensation expense related to non-vested restricted stock awards over a weighted-average life of 2.3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2013</w:t>
            </w:r>
          </w:p>
        </w:tc>
      </w:tr>
      <w:tr>
        <w:trPr>
          <w:trHeight w:val="270"/>
        </w:trPr>
        <w:tc>
          <w:tcPr>
            <w:tcW w:w="7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50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7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7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16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19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1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15,787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14,965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4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DILUTED</w:t>
            </w:r>
          </w:p>
        </w:tc>
        <w:tc>
          <w:tcPr>
            <w:tcW w:w="1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1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15,787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14,965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1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w w:val="97"/>
              </w:rPr>
              <w:t>Weighted-average common shares outstanding on a diluted basis</w:t>
            </w:r>
          </w:p>
        </w:tc>
        <w:tc>
          <w:tcPr>
            <w:tcW w:w="19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16,163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4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18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4180" w:type="dxa"/>
            <w:vAlign w:val="bottom"/>
            <w:tcBorders>
              <w:bottom w:val="single" w:sz="8" w:color="auto"/>
            </w:tcBorders>
            <w:gridSpan w:val="3"/>
          </w:tcPr>
          <w:p>
            <w:pPr>
              <w:jc w:val="right"/>
              <w:ind w:right="101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2013</w:t>
            </w: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818</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2040" w:type="dxa"/>
            <w:vAlign w:val="bottom"/>
          </w:tcPr>
          <w:p>
            <w:pPr>
              <w:jc w:val="right"/>
              <w:ind w:right="39"/>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20" w:type="dxa"/>
            <w:vAlign w:val="bottom"/>
          </w:tcPr>
          <w:p>
            <w:pPr>
              <w:jc w:val="right"/>
              <w:ind w:right="36"/>
              <w:spacing w:after="0"/>
              <w:rPr>
                <w:sz w:val="20"/>
                <w:szCs w:val="20"/>
                <w:color w:val="auto"/>
              </w:rPr>
            </w:pPr>
            <w:r>
              <w:rPr>
                <w:rFonts w:ascii="Arial" w:cs="Arial" w:eastAsia="Arial" w:hAnsi="Arial"/>
                <w:sz w:val="18"/>
                <w:szCs w:val="18"/>
                <w:color w:val="auto"/>
              </w:rPr>
              <w:t>61</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gains and losses on the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total net fair value of derivatives: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March 31, 2014</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gridSpan w:val="2"/>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futures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(980)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509</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loss of $1.0 million and $0.2 million for the three months ended March 31, 2014 and 2013,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Details of futures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Gain/(Loss)</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8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Position Held</w:t>
            </w:r>
          </w:p>
        </w:tc>
        <w:tc>
          <w:tcPr>
            <w:tcW w:w="1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7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2014</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4, 2014</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Chinese Yuan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March 31, 2014</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6.0461</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July 18, 2014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2014</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18, 2014</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2013</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USD/Euro</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January 31, 2014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Chinese Yuan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15, 2014</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2013</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2.3442</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540" w:hanging="328"/>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develop and manufacture a broad line of pre-programmed universal remote control products, audio-video ("AV") accessories, and software that are marketed to enhance home entertainment systems. Our customers operate in the consumer electronics market and include subscription broadcasters, original equipment manufacturers ("OEMs"), international retailers, private labels, and companies in the computing industry. We also sell integrated circuits, on which our software and infrared ("IR") code database, or library, is embedded, to OEMs that manufacture wireless control devices, cable converters or satellite receivers for resale in their products.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806,200 individual device functions and approximately 6,600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library contains device codes that are capable of controlling virtually all IR controlled set-top boxes, televisions, audio components, DVD players, Blu-Ray players and CD players, as well as most other remote controlled home entertainment devices and home automation control modules worldwide.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as one business segment. We have twenty-three subsidiaries located in Argentina, Cayman Islands, France, Germany, Hong Kong (6), India, Italy, the Netherlands, Singapore, Spain, Brazil, British Virgin Islands (3), People's Republic of China (3) and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2014:</w:t>
      </w:r>
    </w:p>
    <w:p>
      <w:pPr>
        <w:spacing w:after="0" w:line="63"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increased 13.2% to $129.8 million for the three months ended March 31, 2014 from $114.7 million for the three months ended March 31, 2013.</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gross margin percentage decreased slightly from 28.4% for the three months ended March 31, 2013 to 28.1% for the three months ended March 31, 2014.</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as a percent of sales, decreased from 25.0% for the three months ended March 31, 2013 to 23.5% for the three months ended March 31, 2014.</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income increased 53.8% to $6.0 million for the three months ended March 31, 2014 from $3.9 million for the three months ended March 31, 2013, and our operating margin percentage increased to 4.6% for the three months ended March 31, 2014, compared to 3.4% for the three months ended March 31, 2013.</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effective tax rate increased to 24.0% for the three months ended March 31, 2014, compared to 12.2% for the three months ended March 31,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2014 include the following:</w:t>
      </w:r>
    </w:p>
    <w:p>
      <w:pPr>
        <w:spacing w:after="0" w:line="6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increase our market share in newer product categories, such as smart devices and game consoles;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an on-going basis, we evaluate our estimates and judgments, including those related to revenue recognition, allowance for doubtful accounts, warranties, inventory valuation,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2014 to the items that we disclosed as our critical accounting policies and estimates in Item 7, "Management’s Discussion and Analysis of Financial Condition and Results of Operations" contained in our Annual Report on Form 10-K for our fiscal year ended December 31, 2013.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4360" w:type="dxa"/>
            <w:vAlign w:val="bottom"/>
            <w:tcBorders>
              <w:bottom w:val="single" w:sz="8" w:color="auto"/>
            </w:tcBorders>
            <w:gridSpan w:val="3"/>
          </w:tcPr>
          <w:p>
            <w:pPr>
              <w:jc w:val="right"/>
              <w:ind w:right="109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12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b w:val="1"/>
                <w:bCs w:val="1"/>
                <w:color w:val="auto"/>
              </w:rPr>
              <w:t>2013</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120" w:type="dxa"/>
            <w:vAlign w:val="bottom"/>
          </w:tcPr>
          <w:p>
            <w:pPr>
              <w:jc w:val="right"/>
              <w:ind w:right="133"/>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2120" w:type="dxa"/>
            <w:vAlign w:val="bottom"/>
          </w:tcPr>
          <w:p>
            <w:pPr>
              <w:jc w:val="right"/>
              <w:ind w:right="151"/>
              <w:spacing w:after="0"/>
              <w:rPr>
                <w:sz w:val="20"/>
                <w:szCs w:val="20"/>
                <w:color w:val="auto"/>
              </w:rPr>
            </w:pPr>
            <w:r>
              <w:rPr>
                <w:rFonts w:ascii="Arial" w:cs="Arial" w:eastAsia="Arial" w:hAnsi="Arial"/>
                <w:sz w:val="18"/>
                <w:szCs w:val="18"/>
                <w:color w:val="auto"/>
              </w:rPr>
              <w:t>71.6</w:t>
            </w:r>
          </w:p>
        </w:tc>
      </w:tr>
      <w:tr>
        <w:trPr>
          <w:trHeight w:val="27"/>
        </w:trPr>
        <w:tc>
          <w:tcPr>
            <w:tcW w:w="70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1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120" w:type="dxa"/>
            <w:vAlign w:val="bottom"/>
          </w:tcPr>
          <w:p>
            <w:pPr>
              <w:jc w:val="right"/>
              <w:ind w:right="13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120" w:type="dxa"/>
            <w:vAlign w:val="bottom"/>
          </w:tcPr>
          <w:p>
            <w:pPr>
              <w:jc w:val="right"/>
              <w:ind w:right="151"/>
              <w:spacing w:after="0"/>
              <w:rPr>
                <w:sz w:val="20"/>
                <w:szCs w:val="20"/>
                <w:color w:val="auto"/>
              </w:rPr>
            </w:pPr>
            <w:r>
              <w:rPr>
                <w:rFonts w:ascii="Arial" w:cs="Arial" w:eastAsia="Arial" w:hAnsi="Arial"/>
                <w:sz w:val="18"/>
                <w:szCs w:val="18"/>
                <w:color w:val="auto"/>
              </w:rPr>
              <w:t>3.7</w:t>
            </w:r>
          </w:p>
        </w:tc>
      </w:tr>
      <w:tr>
        <w:trPr>
          <w:trHeight w:val="27"/>
        </w:trPr>
        <w:tc>
          <w:tcPr>
            <w:tcW w:w="70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1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21.3</w:t>
            </w: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1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1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3.4</w:t>
            </w:r>
          </w:p>
        </w:tc>
      </w:tr>
      <w:tr>
        <w:trPr>
          <w:trHeight w:val="27"/>
        </w:trPr>
        <w:tc>
          <w:tcPr>
            <w:tcW w:w="70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12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120" w:type="dxa"/>
            <w:vAlign w:val="bottom"/>
          </w:tcPr>
          <w:p>
            <w:pPr>
              <w:jc w:val="right"/>
              <w:ind w:right="91"/>
              <w:spacing w:after="0"/>
              <w:rPr>
                <w:sz w:val="20"/>
                <w:szCs w:val="20"/>
                <w:color w:val="auto"/>
              </w:rPr>
            </w:pPr>
            <w:r>
              <w:rPr>
                <w:rFonts w:ascii="Arial" w:cs="Arial" w:eastAsia="Arial" w:hAnsi="Arial"/>
                <w:sz w:val="18"/>
                <w:szCs w:val="18"/>
                <w:color w:val="auto"/>
              </w:rPr>
              <w:t>(0.5)</w:t>
            </w:r>
          </w:p>
        </w:tc>
      </w:tr>
      <w:tr>
        <w:trPr>
          <w:trHeight w:val="27"/>
        </w:trPr>
        <w:tc>
          <w:tcPr>
            <w:tcW w:w="70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1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12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120" w:type="dxa"/>
            <w:vAlign w:val="bottom"/>
          </w:tcPr>
          <w:p>
            <w:pPr>
              <w:jc w:val="right"/>
              <w:ind w:right="151"/>
              <w:spacing w:after="0"/>
              <w:rPr>
                <w:sz w:val="20"/>
                <w:szCs w:val="20"/>
                <w:color w:val="auto"/>
              </w:rPr>
            </w:pPr>
            <w:r>
              <w:rPr>
                <w:rFonts w:ascii="Arial" w:cs="Arial" w:eastAsia="Arial" w:hAnsi="Arial"/>
                <w:sz w:val="18"/>
                <w:szCs w:val="18"/>
                <w:color w:val="auto"/>
              </w:rPr>
              <w:t>0.3</w:t>
            </w:r>
          </w:p>
        </w:tc>
      </w:tr>
      <w:tr>
        <w:trPr>
          <w:trHeight w:val="27"/>
        </w:trPr>
        <w:tc>
          <w:tcPr>
            <w:tcW w:w="70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versus Three Months Ended March 31, 2013</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March 31, 2014 were $129.8 million, an increase of 13.2% compared to $114.7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2013.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4"/>
                <w:szCs w:val="14"/>
                <w:b w:val="1"/>
                <w:bCs w:val="1"/>
                <w:color w:val="auto"/>
              </w:rPr>
              <w:t>2013</w:t>
            </w:r>
          </w:p>
        </w:tc>
      </w:tr>
      <w:tr>
        <w:trPr>
          <w:trHeight w:val="264"/>
        </w:trPr>
        <w:tc>
          <w:tcPr>
            <w:tcW w:w="5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(millions)</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22"/>
                <w:szCs w:val="22"/>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104.6</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91.2%</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7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8.8</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our Business lines (subscription broadcasting, OEM, and computing companies) were 91.2% of net sales for both the three months ended March 31, 2014 and 2013. Net sales in our Business lines for the three months ended March 31, 2014 increased by 13.2% to $118.4 million from $104.6 million driven primarily by strong demand and increased market share in North American subscription broadcasting, growth in sales to consumer electronics companies in Asia, and an increase in licensing income.</w:t>
      </w:r>
    </w:p>
    <w:p>
      <w:pPr>
        <w:spacing w:after="0" w:line="13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8.8% of net sales for both the three months ended March 31, 2014 and 2013. Net sales in our Consumer lines for the three months ended March 31, 2014 increased by 12.9% to</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$11.4 million from $10.1 million in the three months ended March 31, 2013 primarily due to increased sales in Europe and Latin America.</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three months ended March 31, 2014 was $36.5 million compared to $32.5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2013. Gross profit as a percent of sales remained relatively consistent at 28.1% for the three months ended March 31, 2014 compared to 28.4% for the three months ended March 31, 2013. Increased license revenue associated with the smart device channel contributed to improving our gross margin percentage. Offsetting this was an increase in sales to certain large customers that yield a lower gross margin than our company average.</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0.8% to $4.3 million for the three months ended March 31, 2014 from $4.2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2013. This increase was in line with our strategic initiatives and was primarily driven by additional R&amp;D efforts dedicated to developing new product offerings for new and existing product categories.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7.6% to $26.3 million for the three months ended March 31, 2014 from</w:t>
      </w:r>
      <w:r>
        <w:rPr>
          <w:rFonts w:ascii="Arial" w:cs="Arial" w:eastAsia="Arial" w:hAnsi="Arial"/>
          <w:sz w:val="18"/>
          <w:szCs w:val="18"/>
          <w:i w:val="1"/>
          <w:iCs w:val="1"/>
          <w:color w:val="auto"/>
        </w:rPr>
        <w:t xml:space="preserve"> </w:t>
      </w:r>
      <w:r>
        <w:rPr>
          <w:rFonts w:ascii="Arial" w:cs="Arial" w:eastAsia="Arial" w:hAnsi="Arial"/>
          <w:sz w:val="18"/>
          <w:szCs w:val="18"/>
          <w:color w:val="auto"/>
        </w:rPr>
        <w:t>$24.4 million for the three months ended March 31, 2013. This increase was driven primarily by variable costs associated with increased sales volume including incentive compensation costs, increased external legal expenses related to patent litigation cases, and increased payroll costs resulting from an annual wage increase.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$16 thousand for the three months ended March 31, 2014 compared to net interest income of $9</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three months ended March 31, 2013.</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$0.3 million for the three months ended March 31, 2014 compared to net other expense of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2013. This decrease was driven primarily by decreased foreign currency losses associated with fluctuations in foreign currency rates related to the Argentinian Peso and Chinese Yuan Renminbi and foreign currency gains in the three months ended March 31, 2014 associated with fluctuations in foreign currency rates related to the British Pound.</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Income tax expense was $1.4 million for the three months ended March 31, 2014 compared to $0.4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2013. Our effective tax rate was 24.0% for the three months ended March 31, 2014 compared to 12.2% for the three months ended March 31, 2013. The increase in our effective tax rate was due primarily to the recognition of a tax benefit of $0.4 million during the three months ended March 31, 2013 related to the 2012 federal R&amp;D tax credit, which passed legislation during the three months ended March 31, 2013. As of March 31, 2014, the federal R&amp;D tax credit for 2014 had not been passed; therefore, the estimated benefit is not included in our estimated tax rate for the current year. In addition, the "Look-Through" rule expired as of December 31, 2013 which resulted in an increase of Subpart F income. Partially offsetting these items are foreign earnings, which have a lower tax rate than the United States, representing a higher percentage of our pre-tax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Three months ended March</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Increase</w:t>
            </w: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 March</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31, 2014</w:t>
            </w: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w w:val="94"/>
              </w:rPr>
              <w:t>(Decrease)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31, 2013</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operating activities</w:t>
            </w:r>
          </w:p>
        </w:tc>
        <w:tc>
          <w:tcPr>
            <w:tcW w:w="220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13,906</w:t>
            </w:r>
          </w:p>
        </w:tc>
        <w:tc>
          <w:tcPr>
            <w:tcW w:w="6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504"/>
        </w:trPr>
        <w:tc>
          <w:tcPr>
            <w:tcW w:w="4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8"/>
              </w:rPr>
              <w:t>March 31, 2014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Increase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9"/>
              </w:rPr>
              <w:t>(Decrease)</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90,400</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14,226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76,174</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170,443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19"/>
              <w:spacing w:after="0"/>
              <w:rPr>
                <w:sz w:val="20"/>
                <w:szCs w:val="20"/>
                <w:color w:val="auto"/>
              </w:rPr>
            </w:pPr>
            <w:r>
              <w:rPr>
                <w:rFonts w:ascii="Arial" w:cs="Arial" w:eastAsia="Arial" w:hAnsi="Arial"/>
                <w:sz w:val="18"/>
                <w:szCs w:val="18"/>
                <w:color w:val="auto"/>
              </w:rPr>
              <w:t>11,895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158,548</w:t>
            </w:r>
          </w:p>
        </w:tc>
        <w:tc>
          <w:tcPr>
            <w:tcW w:w="0" w:type="dxa"/>
            <w:vAlign w:val="bottom"/>
          </w:tcPr>
          <w:p>
            <w:pPr>
              <w:spacing w:after="0"/>
              <w:rPr>
                <w:sz w:val="1"/>
                <w:szCs w:val="1"/>
                <w:color w:val="auto"/>
              </w:rPr>
            </w:pPr>
          </w:p>
        </w:tc>
      </w:tr>
      <w:tr>
        <w:trPr>
          <w:trHeight w:val="486"/>
        </w:trPr>
        <w:tc>
          <w:tcPr>
            <w:tcW w:w="4540" w:type="dxa"/>
            <w:vAlign w:val="bottom"/>
          </w:tcPr>
          <w:p>
            <w:pPr>
              <w:spacing w:after="0"/>
              <w:rPr>
                <w:sz w:val="24"/>
                <w:szCs w:val="24"/>
                <w:color w:val="auto"/>
              </w:rPr>
            </w:pPr>
          </w:p>
        </w:tc>
        <w:tc>
          <w:tcPr>
            <w:tcW w:w="2200" w:type="dxa"/>
            <w:vAlign w:val="bottom"/>
            <w:gridSpan w:val="2"/>
          </w:tcPr>
          <w:p>
            <w:pPr>
              <w:jc w:val="right"/>
              <w:ind w:right="868"/>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increased $25.2 million to cash inflows of $13.9 million during the three months ended March 31, 2014 from cash</w:t>
      </w:r>
      <w:r>
        <w:rPr>
          <w:rFonts w:ascii="Arial" w:cs="Arial" w:eastAsia="Arial" w:hAnsi="Arial"/>
          <w:sz w:val="17"/>
          <w:szCs w:val="17"/>
          <w:i w:val="1"/>
          <w:iCs w:val="1"/>
          <w:color w:val="auto"/>
        </w:rPr>
        <w:t xml:space="preserve"> </w:t>
      </w:r>
      <w:r>
        <w:rPr>
          <w:rFonts w:ascii="Arial" w:cs="Arial" w:eastAsia="Arial" w:hAnsi="Arial"/>
          <w:sz w:val="17"/>
          <w:szCs w:val="17"/>
          <w:color w:val="auto"/>
        </w:rPr>
        <w:t>outflows of $11.3 million during the three months ended March 31, 2013, primarily due to the net impact of changes in working capital needs associated with inventories and accounts receivable. Our inventory turns improved to approximately 4.0 turns for the three months ended March 31, 2014, compared to approximately 3.7 turns for the three months ended March 31, 2013, as a result of more tightly managed inventory levels. Our days sales outstanding improved from approximately 69 days for the three months ended March 31, 2013 to approximately 59 days for the three months ended March 31, 2014 due to stronger collections. Our days sales outstanding typically fluctuates between 62 and 69 days.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three months ended March 31, 2014 was $2.6 million compared to $3.3 million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2013. Cash outflows to purchase property, plant and equipment were $2.4 million during the three months ended March 31, 2014 compared to $3.1 million for the three months ended March 31, 2013. This decrease was driven primarily by a decrease in equipment purchases at our China factories compared to the same period in the prior year.</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Net cash provided by financing activities </w:t>
      </w:r>
      <w:r>
        <w:rPr>
          <w:rFonts w:ascii="Arial" w:cs="Arial" w:eastAsia="Arial" w:hAnsi="Arial"/>
          <w:sz w:val="17"/>
          <w:szCs w:val="17"/>
          <w:color w:val="auto"/>
        </w:rPr>
        <w:t>was $3.6 million during the three months ended March 31, 2014 compared to net cash used for financing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of $0.9 million during the three months ended March 31, 2013. The increase in cash provided by financing activities was driven primarily by a $2.7 million increase in proceeds from stock option exercises and a decreased level of stock repurchases in the current year period.</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March 31, 2014, we repurchased 11,112 shares of our common stock at a cost of $0.4 million compared to our repurchase of 81,019 shares at a cost of $1.6 million during the three months ended March 31, 2013. We hold these shares as treasury stock and they are 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March 31, 2014, we had 922,344 shares available for repurchase under the Board's authorizations. On April 23, 2014, our Board increased these repurchase authorizations by 81,516 shares bringing the total authorization as of the approval date to 1,000,000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12,117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2,581</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Purchase obligations consist of contractual payments to purchase tooling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Our working capital needs have typically been greatest during the third and fourth quarters when accounts receivable and inventories increase in connection with the fourth quarter holiday selling season. We believe our current cash balances and anticipated cash flow to be generated from operations will be sufficient to cover expected cash outlays during 2014; however, because our cash is located in various jurisdictions throughout the world, we may at times need to borrow from our revolving line of credit until we are able to transfer cash among our various entities.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1">
              <w:r>
                <w:rPr>
                  <w:rFonts w:ascii="Arial" w:cs="Arial" w:eastAsia="Arial" w:hAnsi="Arial"/>
                  <w:sz w:val="14"/>
                  <w:szCs w:val="14"/>
                  <w:b w:val="1"/>
                  <w:bCs w:val="1"/>
                  <w:color w:val="0000EE"/>
                  <w:w w:val="91"/>
                </w:rPr>
                <w:t>Table of Contents</w:t>
              </w:r>
            </w:hyperlink>
          </w:p>
        </w:tc>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649"/>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4"/>
                <w:szCs w:val="24"/>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 2014</w:t>
            </w:r>
          </w:p>
        </w:tc>
        <w:tc>
          <w:tcPr>
            <w:tcW w:w="300" w:type="dxa"/>
            <w:vAlign w:val="bottom"/>
          </w:tcPr>
          <w:p>
            <w:pPr>
              <w:spacing w:after="0"/>
              <w:rPr>
                <w:sz w:val="24"/>
                <w:szCs w:val="24"/>
                <w:color w:val="auto"/>
              </w:rPr>
            </w:pPr>
          </w:p>
        </w:tc>
        <w:tc>
          <w:tcPr>
            <w:tcW w:w="186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 2013</w:t>
            </w:r>
          </w:p>
        </w:tc>
      </w:tr>
      <w:tr>
        <w:trPr>
          <w:trHeight w:val="250"/>
        </w:trPr>
        <w:tc>
          <w:tcPr>
            <w:tcW w:w="6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76,174</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Debt</w:t>
            </w:r>
          </w:p>
        </w:tc>
        <w:tc>
          <w:tcPr>
            <w:tcW w:w="400" w:type="dxa"/>
            <w:vAlign w:val="bottom"/>
          </w:tcPr>
          <w:p>
            <w:pPr>
              <w:spacing w:after="0"/>
              <w:rPr>
                <w:sz w:val="21"/>
                <w:szCs w:val="21"/>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Available borrowing resources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54,987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54,987</w:t>
            </w:r>
          </w:p>
        </w:tc>
      </w:tr>
      <w:tr>
        <w:trPr>
          <w:trHeight w:val="27"/>
        </w:trPr>
        <w:tc>
          <w:tcPr>
            <w:tcW w:w="110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31, 2014, we had $27.8 million, $48.3 million, $11.5 million and $2.8 million of cash and cash equivalents in the United States, Asia, Europe, and South America, respectively. On December 31, 2013, we had approximately $30.1 million, $34.6 million, $7.2 million, and $4.3 million of cash and cash equivalents in the United States, Asia, Europe and South America, respectively. We attempt to mitigate our exposure to liquidity, credit and other relevant risks by placing our cash and cash equivalents with financial institutions we believe are high quality.</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2, 2012, we entered into an Amended and Restated Credit Agreement ("Amended Credit Agreement") with U.S. Bank National Association ("U.S. Bank") which provides for a $55.0 million line of credit ("Credit Line") that may be used for working capital and other general corporate purposes including acquisitions, share repurchases and capital expenditures. The Amended Credit Agreement expires on November 1, 2014. Amounts available for borrowing under the Credit Line are reduced by the balance of any outstanding letters of credit, of which there were $13 thousand at March 31, 2014.</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March 31, 2014, we were in compliance with the covenants and conditions of the Amended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2013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interest rate risk related to our debt. Although at March 31, 2014 we had no outstanding borrowings under our Credit Line, from time to time we may need to borrow amounts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 100 basis point increase in interest rates would have had an insignificant effect on reported net income for the three months ended March 31, 2014.</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March 31, 2014 we had wholly owned subsidiaries in Argentina, Brazil, Cayman Islands, France, Germany, Hong Kong, India, Italy, the Netherlands, the PRC,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are the Chinese Yuan Renminbi, Euro, British Pound, Argentinian Peso, Brazilian Real, Indian Rupee, and Singapore Dollar.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For most other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March 31, 2014, we believe that movements in foreign currency rates may have a material effect on our financial position and results of operations. We estimate that if the exchange rates for the Chinese Yuan Renminbi, Euro, British Pound, Argentinian Peso, Brazilian Real, Indian Rupee, and Singapore Dollar relative to the U.S. Dollar fluctuate 10% from March 31, 2014, net income in the second quarter of 2014 would fluctuate by approximately $6.7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the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1A: Risk Factors" of the Company's 2013 Annual Report on Form 10-K incorporated herein by reference. These factors may cause our actual results to differ materially from those stated in forward-looking statements contained in this document and elsewhere.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March 31, 2014, we repurchased 11,112 shares of our issued and outstanding common stock for $0.4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March 31, 2014, we had 922,344 shares available for repurchase under the Board's authorizations. On April 23, 2014, our Board increased these repurchase authorizations by 81,516 shares bringing the total authorization as of the approval date to 1,000,000 shares.</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three months ended March 31, 2014, our total stock repurchases, average price paid per share and the maximum number of shares that may yet be purchased under our plans or programs: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Total 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Shares Purchased</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2014 - January 31, 2014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5,561</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927,895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February 1, 2014 - February 28, 2014</w:t>
            </w:r>
          </w:p>
        </w:tc>
        <w:tc>
          <w:tcPr>
            <w:tcW w:w="1320" w:type="dxa"/>
            <w:vAlign w:val="bottom"/>
          </w:tcPr>
          <w:p>
            <w:pPr>
              <w:jc w:val="right"/>
              <w:spacing w:after="0"/>
              <w:rPr>
                <w:sz w:val="20"/>
                <w:szCs w:val="20"/>
                <w:color w:val="auto"/>
              </w:rPr>
            </w:pPr>
            <w:r>
              <w:rPr>
                <w:rFonts w:ascii="Arial" w:cs="Arial" w:eastAsia="Arial" w:hAnsi="Arial"/>
                <w:sz w:val="18"/>
                <w:szCs w:val="18"/>
                <w:color w:val="auto"/>
              </w:rPr>
              <w:t>4,953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35.73</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4,953</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922,942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2014 - March 31, 2014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39.44</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598</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922,344</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11,112</w:t>
            </w:r>
          </w:p>
        </w:tc>
        <w:tc>
          <w:tcPr>
            <w:tcW w:w="60" w:type="dxa"/>
            <w:vAlign w:val="bottom"/>
            <w:tcBorders>
              <w:top w:val="single" w:sz="8" w:color="auto"/>
              <w:bottom w:val="single" w:sz="8" w:color="auto"/>
            </w:tcBorders>
          </w:tcPr>
          <w:p>
            <w:pPr>
              <w:spacing w:after="0"/>
              <w:rPr>
                <w:sz w:val="22"/>
                <w:szCs w:val="2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11,112</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922,344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4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918"/>
        </w:trPr>
        <w:tc>
          <w:tcPr>
            <w:tcW w:w="1040" w:type="dxa"/>
            <w:vAlign w:val="bottom"/>
          </w:tcPr>
          <w:p>
            <w:pPr>
              <w:spacing w:after="0"/>
              <w:rPr>
                <w:sz w:val="24"/>
                <w:szCs w:val="24"/>
                <w:color w:val="auto"/>
              </w:rPr>
            </w:pPr>
          </w:p>
        </w:tc>
        <w:tc>
          <w:tcPr>
            <w:tcW w:w="4860" w:type="dxa"/>
            <w:vAlign w:val="bottom"/>
          </w:tcPr>
          <w:p>
            <w:pPr>
              <w:ind w:left="420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180"/>
          </w:cols>
          <w:pgMar w:left="240" w:top="118" w:right="4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color w:val="auto"/>
              </w:rPr>
              <w:t>Dated:  May 5, 2014</w:t>
            </w:r>
          </w:p>
        </w:tc>
        <w:tc>
          <w:tcPr>
            <w:tcW w:w="7780" w:type="dxa"/>
            <w:vAlign w:val="bottom"/>
            <w:gridSpan w:val="2"/>
          </w:tcPr>
          <w:p>
            <w:pPr>
              <w:ind w:left="200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60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6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6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600" w:type="dxa"/>
            <w:vAlign w:val="bottom"/>
          </w:tcPr>
          <w:p>
            <w:pPr>
              <w:spacing w:after="0"/>
              <w:rPr>
                <w:sz w:val="24"/>
                <w:szCs w:val="24"/>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29</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7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6"/>
              </w:rPr>
              <w:t>Rule 13a-14(a) Certifications of Bryan M. Hackworth, Chief Financial Officer (principal financial officer and principal accounting</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4"/>
              </w:rPr>
              <w:t>Section 1350 Certifications of Paul D. Arling, Chief Executive Officer (principal executive officer) of Universal Electronics Inc., and</w:t>
            </w: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6"/>
              </w:rPr>
              <w:t>Bryan M. Hackworth, Chief Financial Officer (principal financial officer and principal accounting officer) of Universal Electronics</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Inc. pursuant to 18 U.S.C. Section 1350</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18" w:right="2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2014</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2014</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2014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32"/>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2019-12-05T16:11:19Z</dcterms:created>
  <dcterms:modified xsi:type="dcterms:W3CDTF">2019-12-05T16:11:19Z</dcterms:modified>
</cp:coreProperties>
</file>