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3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323" w:lineRule="exact"/>
        <w:rPr>
          <w:sz w:val="20"/>
          <w:szCs w:val="20"/>
          <w:color w:val="auto"/>
        </w:rPr>
      </w:pPr>
    </w:p>
    <w:p>
      <w:pPr>
        <w:sectPr>
          <w:pgSz w:w="11900" w:h="16838" w:orient="portrait"/>
          <w:cols w:equalWidth="0" w:num="5">
            <w:col w:w="2520" w:space="720"/>
            <w:col w:w="160" w:space="60"/>
            <w:col w:w="1320" w:space="720"/>
            <w:col w:w="3180" w:space="480"/>
            <w:col w:w="2120"/>
          </w:cols>
          <w:pgMar w:left="240" w:top="122"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14,138,422 shares of Common Stock, par value $0.01 per share, of the registrant were outstanding on May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4. Controls and Procedures</w:t>
              </w:r>
            </w:hyperlink>
          </w:p>
        </w:tc>
        <w:tc>
          <w:tcPr>
            <w:tcW w:w="8300" w:type="dxa"/>
            <w:vAlign w:val="bottom"/>
            <w:gridSpan w:val="9"/>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w:t>
              </w:r>
            </w:hyperlink>
          </w:p>
        </w:tc>
        <w:tc>
          <w:tcPr>
            <w:tcW w:w="460" w:type="dxa"/>
            <w:vAlign w:val="bottom"/>
            <w:tcBorders>
              <w:top w:val="single" w:sz="8" w:color="0000EE"/>
            </w:tcBorders>
            <w:gridSpan w:val="5"/>
          </w:tcPr>
          <w:p>
            <w:pPr>
              <w:spacing w:after="0"/>
              <w:rPr>
                <w:sz w:val="17"/>
                <w:szCs w:val="17"/>
                <w:color w:val="auto"/>
              </w:rPr>
            </w:pPr>
          </w:p>
        </w:tc>
        <w:tc>
          <w:tcPr>
            <w:tcW w:w="9480" w:type="dxa"/>
            <w:vAlign w:val="bottom"/>
            <w:gridSpan w:val="13"/>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Exhibit Index</w:t>
              </w:r>
            </w:hyperlink>
          </w:p>
        </w:tc>
        <w:tc>
          <w:tcPr>
            <w:tcW w:w="9640" w:type="dxa"/>
            <w:vAlign w:val="bottom"/>
            <w:gridSpan w:val="16"/>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5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5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20" w:type="dxa"/>
            <w:vAlign w:val="bottom"/>
            <w:gridSpan w:val="20"/>
          </w:tcPr>
          <w:p>
            <w:pPr>
              <w:jc w:val="center"/>
              <w:ind w:left="4310"/>
              <w:spacing w:after="0"/>
              <w:rPr>
                <w:sz w:val="20"/>
                <w:szCs w:val="20"/>
                <w:color w:val="auto"/>
              </w:rPr>
            </w:pPr>
            <w:r>
              <w:rPr>
                <w:rFonts w:ascii="Arial" w:cs="Arial" w:eastAsia="Arial" w:hAnsi="Arial"/>
                <w:sz w:val="18"/>
                <w:szCs w:val="18"/>
                <w:color w:val="auto"/>
                <w:w w:val="99"/>
              </w:rPr>
              <w:t>2</w:t>
            </w:r>
          </w:p>
        </w:tc>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83,386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53,878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42,093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184,649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29,769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4,037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48,857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00" w:type="dxa"/>
            <w:vAlign w:val="bottom"/>
          </w:tcPr>
          <w:p>
            <w:pPr>
              <w:spacing w:after="0"/>
              <w:rPr>
                <w:sz w:val="18"/>
                <w:szCs w:val="18"/>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50,000,000 shares authorized; 18,563,814 and 18,547,019 shares issued at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March 31, 2008 and December 31, 2007, respectively</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115,870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226,104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214,355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w w:val="99"/>
              </w:rPr>
              <w:t>Less cost of common stock in treasury, 4,470,439 and 3,975,439 shares at March 31, 2008 and December 31,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2007, respectively</w:t>
            </w:r>
          </w:p>
        </w:tc>
        <w:tc>
          <w:tcPr>
            <w:tcW w:w="100" w:type="dxa"/>
            <w:vAlign w:val="bottom"/>
          </w:tcPr>
          <w:p>
            <w:pPr>
              <w:spacing w:after="0"/>
              <w:rPr>
                <w:sz w:val="20"/>
                <w:szCs w:val="20"/>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(57,493)</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217,468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61,191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39,456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41,678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21,735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24,341</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2,196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16,856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15,833</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2,683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income, net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14,474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14,957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2,473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 provision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(11,455)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5,124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12,138</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86,610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66,075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83,386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All significant intercompany accounts and transactions have been eliminated in the consolidated financial statements. Certain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results of operations for the three months ended March 31, 2008 are not necessarily indicative of the results to be expected for the full year. These financial statements should be read in conjunction with the consolidated financial statements and related notes and “Management Discussion and Analysis of Financial Conditions and Results of Operations” contained in our Annual Report on Form 10-K for our fiscal year ended December 31, 2007.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“Company”, “we”, “us” and “our” refer to Universal Electronics Inc. and its subsidiaries, unless the context indicates to the contrary.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recognize revenue on the sale of products when delivery has occurred, there is persuasive evidence of an arrangement, the sales price is fixed or determinable and collectibility is reasonably assured. 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4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allowances reduce gross accounts receivable to arrive at accounts receivable, net in the same period the related receivable is recorded. We have no obligations after delivery of our products other than the associated warranties (see Note 15).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may from time to time initiate the sale or license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collectibility is reasonably assured. We record license revenue when our customers ship products incorporating our intellectual property, persuasive evidence of an arrangement exists, the sales price is fixed or determinable, and collectibility is reasonably assured.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percentage-of-completion method. When applying the percentage-of-completion method, we rely on estimates of total expected contract revenue and labor hours which are provided by our project managers.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2007, we applied the opinion reached by the FASB’s Emerging Issues Task Force on EITF Issue 06-3, “How Taxes Collected from Customers and Remitted to Governmental Authorities Should Be Presented in the Income Statement (That Is, Gross versus Net Presentation)” (“EITF 06-3”). The consensus in EITF 06-3 does not require us to reevaluate our existing accounting policies for income statement presentation. 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generally accepted accounting principles in the United States of America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In February 2008, the FASB issued FASB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Additionally in February 2008 the FASB issued FASB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We did not apply the provisions of SFAS 157 during the first quarter of 2008; however, we will apply the provisions as necessary (i.e. annual year-end impairment review of goodwill and intangible assets). As a result, the adoption of SFAS 157 had no impact on our consolidated results of operations and financial condition during the quarter ended March 31, 2008.</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Although we adopted the provisions of SFAS 159, we did not apply the provisions to any assets or liabilities during the first quarter of 2008. As a result, the adoption of SFAS 159 had no impact on our consolidated results of operations and financial condition during the quarter ended March 31, 2008.</w:t>
      </w:r>
    </w:p>
    <w:p>
      <w:pPr>
        <w:spacing w:after="0" w:line="6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The adoption of EITF 07-3 did not have a material effect on our consolidated results of operations and financial condition.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 material effect on our financial statements; however, the effect is dependent upon whether we make any future acquisitions and the specifics of those acquisitions.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an impact on our consolidated results of operations and financial condition.</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(“ARB 51”), “Consolidated Financial Statements,” by defining a new term-noncontrolling interests-to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currently do not believe that the adoption of SFAS 160 will have a significant effect on our financial statements as we wholly own our subsidiaries.</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8"/>
          <w:szCs w:val="18"/>
          <w:i w:val="1"/>
          <w:iCs w:val="1"/>
          <w:color w:val="auto"/>
        </w:rPr>
        <w:t>,</w:t>
      </w:r>
      <w:r>
        <w:rPr>
          <w:rFonts w:ascii="Arial" w:cs="Arial" w:eastAsia="Arial" w:hAnsi="Arial"/>
          <w:sz w:val="18"/>
          <w:szCs w:val="18"/>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December 31, 2008. We are currently assessing the impact that SFAS 161 will have on our consolidated results of operations and financial condition.</w:t>
      </w:r>
    </w:p>
    <w:p>
      <w:pPr>
        <w:spacing w:after="0" w:line="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No. 142, “Goodwill and Other Intangible Assets.” The intent of this FSP is to improve the consistency between the useful life of a recognized intangible asset under Statement 142 and the period of expected cash flows used to measure the fair value of the asset under FASB Statement No. 141 (revised 2007), “Business Combinations”, and other U.S. GAAP. FSP FAS 142-3 is effective for fiscal years and interim periods within those fiscal years beginning on or after December 15, 2008. The guidance for determining the useful life of a recognized intangible asset in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paragraphs 7–11 of this FSP shall be applied prospectively to intangible assets acquired after the effective date. The disclosure requirements in paragraphs 13–15 shall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January 1, 2006, we adopted the fair value recognition provisions of SFAS No. 123R, “Share-Based Payment” (“SFAS 123R”) using the modified-prospective transition method. Stock-based compensation expense is presented in the same income statement caption as cash compensation paid to the same employees or directors. During the three months ended March 31, 2008 and 2007, we recorded $1.2 million and $0.7 million, respectively in pre-tax stock-based compensation expense.</w:t>
      </w:r>
    </w:p>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Included in selling, general and administrative (“SG&amp;A”) stock-based compensation expense is $181 thousand and $117 thousand in pre-tax compensation expense for the three months ended March 31, 2008 and 2007, respectively, related to stock awards granted to outside directors.</w:t>
      </w:r>
    </w:p>
    <w:p>
      <w:pPr>
        <w:spacing w:after="0" w:line="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Additionally, during the first quarter of 2008, as part of the annual review cycle, the Compensation Committee of the Board of Directors granted 115,926 shares of restricted stock to our executives under the 2006 Stock Incentive Plan. The awards were granted as part of a long-term incentive compensation plan to assist us in meeting our performance and retention objectives. Each executive grant is subject to a three-year vesting period. In accordance with SFAS 123R, compensation expense related to restricted stock awards is based on the fair value of the shares awarded as of the grant date. The fair value of non-vested shares is determined based on the average of the high and low trade prices of our company’s shares on the grant date. For the three months ended March 31, 2008, the stock-based compensation expense related to this award was $228 thousand and is included in SG&amp;A.</w:t>
      </w:r>
    </w:p>
    <w:p>
      <w:pPr>
        <w:spacing w:after="0" w:line="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income tax benefit under SFAS 123R from the recognition of stock-based compensation was $0.4 million and $0.2 million for the three months ended March 31, 2008 and 2007,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estimate the fair value of share-based payment awards using the Black-Scholes option pricing model with the following assumptions and weighted average fair values:</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 xml:space="preserve">March 31, </w:t>
      </w:r>
      <w:r>
        <w:rPr>
          <w:rFonts w:ascii="Arial" w:cs="Arial" w:eastAsia="Arial" w:hAnsi="Arial"/>
          <w:sz w:val="12"/>
          <w:szCs w:val="12"/>
          <w:b w:val="1"/>
          <w:bCs w:val="1"/>
          <w:color w:val="auto"/>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$ 8.71</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$ 8.79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2.67%</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4.57%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40.70%</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44.16%</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4.75</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20" w:right="5200" w:hanging="5612"/>
        <w:spacing w:after="0" w:line="571" w:lineRule="auto"/>
        <w:tabs>
          <w:tab w:leader="none" w:pos="450" w:val="left"/>
        </w:tabs>
        <w:numPr>
          <w:ilvl w:val="0"/>
          <w:numId w:val="3"/>
        </w:numPr>
        <w:rPr>
          <w:rFonts w:ascii="Arial" w:cs="Arial" w:eastAsia="Arial" w:hAnsi="Arial"/>
          <w:sz w:val="14"/>
          <w:szCs w:val="14"/>
          <w:color w:val="auto"/>
        </w:rPr>
      </w:pPr>
      <w:r>
        <w:rPr>
          <w:rFonts w:ascii="Arial" w:cs="Arial" w:eastAsia="Arial" w:hAnsi="Arial"/>
          <w:sz w:val="16"/>
          <w:szCs w:val="16"/>
          <w:color w:val="auto"/>
        </w:rPr>
        <w:t>The fair value calculation was based on stock options granted during the period.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March 31, 2008 and changes for the three months ended March 31,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40" w:type="dxa"/>
            <w:vAlign w:val="bottom"/>
            <w:gridSpan w:val="2"/>
            <w:vMerge w:val="restart"/>
          </w:tcPr>
          <w:p>
            <w:pPr>
              <w:jc w:val="center"/>
              <w:ind w:left="1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40" w:type="dxa"/>
            <w:vAlign w:val="bottom"/>
            <w:gridSpan w:val="2"/>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4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1,739</w:t>
            </w: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$16.83</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112</w:t>
            </w:r>
          </w:p>
        </w:tc>
        <w:tc>
          <w:tcPr>
            <w:tcW w:w="1460" w:type="dxa"/>
            <w:vAlign w:val="bottom"/>
          </w:tcPr>
          <w:p>
            <w:pPr>
              <w:jc w:val="right"/>
              <w:ind w:right="457"/>
              <w:spacing w:after="0"/>
              <w:rPr>
                <w:sz w:val="20"/>
                <w:szCs w:val="20"/>
                <w:color w:val="auto"/>
              </w:rPr>
            </w:pPr>
            <w:r>
              <w:rPr>
                <w:rFonts w:ascii="Arial" w:cs="Arial" w:eastAsia="Arial" w:hAnsi="Arial"/>
                <w:sz w:val="18"/>
                <w:szCs w:val="18"/>
                <w:color w:val="auto"/>
              </w:rPr>
              <w:t>22.64</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14.89</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Forfeited/ cancelled/ expired</w:t>
            </w:r>
          </w:p>
        </w:tc>
        <w:tc>
          <w:tcPr>
            <w:tcW w:w="36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457"/>
              <w:spacing w:after="0"/>
              <w:rPr>
                <w:sz w:val="20"/>
                <w:szCs w:val="20"/>
                <w:color w:val="auto"/>
              </w:rPr>
            </w:pPr>
            <w:r>
              <w:rPr>
                <w:rFonts w:ascii="Arial" w:cs="Arial" w:eastAsia="Arial" w:hAnsi="Arial"/>
                <w:sz w:val="18"/>
                <w:szCs w:val="18"/>
                <w:color w:val="auto"/>
              </w:rPr>
              <w:t>26.07</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3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1,820</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$17.12</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7"/>
              </w:rPr>
              <w:t>14,050</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2"/>
          </w:tcPr>
          <w:p>
            <w:pPr>
              <w:spacing w:after="0"/>
              <w:rPr>
                <w:sz w:val="20"/>
                <w:szCs w:val="20"/>
                <w:color w:val="auto"/>
              </w:rPr>
            </w:pPr>
            <w:r>
              <w:rPr>
                <w:rFonts w:ascii="Arial" w:cs="Arial" w:eastAsia="Arial" w:hAnsi="Arial"/>
                <w:sz w:val="18"/>
                <w:szCs w:val="18"/>
                <w:color w:val="auto"/>
              </w:rPr>
              <w:t>Vested and expected to vest at March 31, 2008</w:t>
            </w: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1,756</w:t>
            </w:r>
          </w:p>
        </w:tc>
        <w:tc>
          <w:tcPr>
            <w:tcW w:w="1460" w:type="dxa"/>
            <w:vAlign w:val="bottom"/>
          </w:tcPr>
          <w:p>
            <w:pPr>
              <w:jc w:val="right"/>
              <w:ind w:right="457"/>
              <w:spacing w:after="0"/>
              <w:rPr>
                <w:sz w:val="20"/>
                <w:szCs w:val="20"/>
                <w:color w:val="auto"/>
              </w:rPr>
            </w:pPr>
            <w:r>
              <w:rPr>
                <w:rFonts w:ascii="Arial" w:cs="Arial" w:eastAsia="Arial" w:hAnsi="Arial"/>
                <w:sz w:val="18"/>
                <w:szCs w:val="18"/>
                <w:color w:val="auto"/>
              </w:rPr>
              <w:t>$16.81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5.46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87"/>
              </w:rPr>
              <w:t>13,969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2008</w:t>
            </w: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1,235</w:t>
            </w: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$14.04</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7"/>
              </w:rPr>
              <w:t>12,569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aggregate intrinsic value in the table above represents total pre-tax intrinsic value (difference between Universal Electronics Inc.’s average of the high and low trades of the last trading day of the first quarter of 2008 (March 31, 2008) and the option exercise price, multiplied by the number of the in-the-money options) that option holders would have received had all option holders exercised their options on March 31, 2008. This amount changes based on the fair market value of our common stock. The total intrinsic value of options exercised for the three months ended March 31, 2008 and 2007 was $0.1 million and $3.2 million, respectively.</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2008, we expect to recognize $4.5 million of total unrecognized compensation expense related to non-vested employee stock options over a weighted-average life of 2.2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March 31, 2008 and changes during the three months ended March 31,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116</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2008</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March 31, 2008, we expect to recognize $2.7 million in unrecognized compensation expense related to non-vested restricted stock awards over a weighted-average life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7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At March 31, 2008, we had approximately $5.3 million and $78.1 million of cash and cash equivalents in the United States and Europe, respectively. At December 31, 2007, we had approximately $12.2 million and $74.4 million of cash and cash equivalents in the United States and Europe,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58,241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63,528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(2,587)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(2,330)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59,716</w:t>
            </w: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receivables as of March 31, 2008 and December 31, 2007 consisted primarily of a tenant improvement allowance provided by our landlord for the renovation and expansion of our corporate headquarters in Cypress, California. Construction was completed during the first quarter of 2008. We expect the tenant improvement allowance to be paid in the second quarter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had sales to one significant customer that contributed more than 10% of total net sales. Sales made to this customer were $6.4 million and $10.1 million, representing 10.5% and 15.3% of our total net sales for the three months ended March 31, 2008 and 2007, respectively. Trade receivables with this customer amounted to $3.5 million and $2.3 million, or 6.5% and 3.8% of our net trade receivable at March 31, 2008 and December 31, 2007, respectively. In addition, we had sales to another customer and its sub-contractors that, when combined, totaled $9.3 million and $10.9 million, accounting for 15.1% and 16.5% of net sales for the three months ended March 31, 2008 and 2007, respectively. Trade receivables with this customer and its sub-contractors amounted to $5.3 million and $7.9 million, or 9.8% and 13.3% of our net trade receivable at March 31, 2008 and December 31, 2007, respectively.</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future loss of these customers or any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Inventories, which consist of wireless control devices, including universal remote controls, antennas and related component parts, are valued at the lower of cost or market. Cost, which is determined using the first-in, first-out method includes the purchase of integrated circuits, sub-contractor costs and freight-in. We carry inventory in amounts necessary to satisfy our customers’ inventory requirements on a timely basis.</w:t>
      </w:r>
    </w:p>
    <w:p>
      <w:pPr>
        <w:spacing w:after="0" w:line="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inventory to control inventory levels and dispose of any excess or obsolete inventories on hand. We write down our inventory for estimated obsolescence or unmarketable inventory, in an amount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Finished goods</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34,601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Inventory, net</w:t>
            </w:r>
          </w:p>
        </w:tc>
        <w:tc>
          <w:tcPr>
            <w:tcW w:w="4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900" w:type="dxa"/>
            <w:vAlign w:val="bottom"/>
            <w:vMerge w:val="restart"/>
          </w:tcPr>
          <w:p>
            <w:pPr>
              <w:jc w:val="right"/>
              <w:ind w:right="283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2008 and 2007 inventory write-downs totaled $0.3 million and $0.5 million, respectively. Inventory write-downs are a normal part of our business and result primarily from product life cycle estimation variances.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during the first quarter of 2008. Purchases from this major supplier amounted to $6.7 million and $5.3 million, representing 17.2% and 14.9% of total inventory purchases for the three months ended March 31, 2008 and 2007, respectively. Accounts payable with that supplier amounted to $2.5 million and $3.2 million, representing 8.3% and 10.8% of total accounts payable at March 31, 2008 and December 31, 2007, respectively.</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during the three months ended March 31, 2008, we purchased component and finished good products from two major suppliers. Purchases from these two major suppliers amounted to $11.9 million and $6.6 million, representing 30.7% and 17.0%, respectively, of total inventory purchases for the three months ended March 31, 2008. During the three months ended March 31, 2007 purchases from the same two suppliers amounted to $9.8 million and $5.3 million, representing 27.6% and 15.0%, respectively, of total inventory purchases.</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Accounts payable with the aforementioned two major suppliers of component and finished good products amounted to $7.7 million and $5.3 million, representing 25.9% and 17.8%, respectively, of total accounts payable at March 31, 2008. At December 31, 2007, accounts payable with the same suppliers amounted to $10.8 million and $6.3 million, representing 36.6% and 21.4%, respectively, of total accounts payable.</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March 31, 2007, one other supplier provided more than 10% of total inventory purchases. Purchases from this supplier amounted to $3.9 million, representing 11.0% of total inventory purchases for the three months ended March 31, 2007.</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annual effective tax rate to determine our provision for income taxes for interim periods. We recorded income tax expense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$1.3 million for the three months ended March 31, 2008 compared to $2.2 million for the same period last year. Our estimated effective tax rate was 34.3% and 32.5% during the three months ended March 31, 2008 and 2007, respectively. The increase in our effective tax rate is due primarily to the federal research and development tax credit statute expiring at the end of 2007.</w:t>
      </w:r>
    </w:p>
    <w:p>
      <w:pPr>
        <w:spacing w:after="0" w:line="8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Effective January 1, 2007, we adopted the provisions of FASB Interpretation 48, “Accounting for Uncertainty in Income Taxes- an interpretation of FASB Statement No. 109” (“FIN 48”). As a result of the implementation of FIN 48, we recognized a $0.2 million increase in the liability for unrecognized tax benefits, which was accounted for as a reduction to the January 1, 2007 balance of retained earnings. We also recognized a decrease of $0.3 million in other comprehensive income related to foreign currency translation as of December 31, 2007.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2008, we had unrecognized tax benefits of approximately $9.1 million, including interest and penalties.</w:t>
      </w:r>
    </w:p>
    <w:p>
      <w:pPr>
        <w:spacing w:after="0" w:line="10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Approximately $7.6 million of the total amount of unrecognized tax benefits at March 31, 2008 would affect the annual effective tax rate, if recognized.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$0.7 million within the next twelve months.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accordance with FIN 48, we have elected to classify interest and penalties as components of tax expense. Interest and penalties were $1.0 million at December 31, 2007 and $1.1 million at March 31, 2008 and are included in the unrecognized tax benefits.</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file income tax returns in the U.S. federal jurisdiction, various states and foreign jurisdictions. As of March 31, 2008, the open statute of limitations for our significant tax jurisdictions are as follows: federal for 2004 through 2007, state for 2003 through 2007 and non-U.S. for 2001 through 2007. All unrecognized tax benefits at March 31, 2008 are classified as long term as prescribed by FIN 48 because we do not anticipate payment of cash within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2008 and 2007, 356,700 and 4,375 stock options, respectively, with exercise prices greater than the average market price of the underlying common stock, were excluded because their inclusion would have been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6"/>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14,474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14,474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10,319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64"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foreign currency translation gains of $7.8 million and $0.8 million for the three months ended March 31, 2008 and 2007, respectively, were due to the weakening of the U.S. dollar against the Euro. The U.S. dollar/Euro spot rate was 1.58 and 1.46 at March 31, 2008 and December 31, 2007, respectively, and 1.34 and 1.32 at March 31, 2007 and December 31, 2006,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LIBOR plus a fixed margin of 1.25%. The interest rate in effect as of March 31, 2008 using LIBOR plus a fixed margin of 1.25% was 3.74%. We pay a commitment fee ranging from zero to a maximum rate of 1/4 of 1% per year on the unused portion of the credit line depending on the amount of cash investment retained with Comerica during each quarter. At March 31, 2008, the commitment rate was 0.25%.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March 31, 2008, we did not have any amounts outstanding under the Credit Facility or any outstanding import letters of credit. The available balance on the line of credit was $15 million as of March 31, 2008. Furthermore, as of March 31, 2008, we were in compliance with all financial covenants required by the Credit Facility.</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From August 31, 2006 through March 31, 2008, we have purchased 1,067,900 shares of our common stock, leaving 932,100 shares available for purchase under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Accrued freight </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Accrued freight decreased by more than $0.4 million from $1.4 million at December 31, 2007 to $1.0 million as of March 31, 2008, primarily due to lower sales volume during the first quarter of 2008 compared to the fourth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three months ended March 31, 2008 we repurchased 500,000 shares of our common stock at a cost of $11.5 million. We did not purchase any shares of our common stock during the same period in the prior year. Repurchased shares are recorded as shares held in treasury at cost. We generally hold shares for future use as management and the Board of Directors deem appropriate, including compensating outside directors and executives of the Company. During the three months ended March 31, 2008 and 2007, we issued 5,000 and 5,938 shares, respectively, to outside directors for services performed.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one operating segment “Core Business.” Goodwill is reviewed for impairment as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December 31st of each year. Goodwill of a reporting unit is tested for impairment between annual tests, if an event occurs or circumstances change that would more likely than not reduce the fair value of a reporting unit below its carrying amount.</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Domestic and international goodwill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8,314</w:t>
            </w: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March 31, 2008, as compared to the goodwill reported at December 31, 2007, was the result of fluctuations in the foreign currency exchange rates used to translate the balance into U.S. dollars.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one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 xml:space="preserve">March 31, 2008 </w:t>
            </w:r>
            <w:r>
              <w:rPr>
                <w:rFonts w:ascii="Arial" w:cs="Arial" w:eastAsia="Arial" w:hAnsi="Arial"/>
                <w:sz w:val="12"/>
                <w:szCs w:val="12"/>
                <w:b w:val="1"/>
                <w:bCs w:val="1"/>
                <w:color w:val="auto"/>
                <w:w w:val="94"/>
              </w:rPr>
              <w:t>(1)</w:t>
            </w:r>
          </w:p>
        </w:tc>
        <w:tc>
          <w:tcPr>
            <w:tcW w:w="2040" w:type="dxa"/>
            <w:vAlign w:val="bottom"/>
            <w:gridSpan w:val="4"/>
          </w:tcPr>
          <w:p>
            <w:pPr>
              <w:ind w:left="600"/>
              <w:spacing w:after="0"/>
              <w:rPr>
                <w:sz w:val="20"/>
                <w:szCs w:val="20"/>
                <w:color w:val="auto"/>
              </w:rPr>
            </w:pPr>
            <w:r>
              <w:rPr>
                <w:rFonts w:ascii="Arial" w:cs="Arial" w:eastAsia="Arial" w:hAnsi="Arial"/>
                <w:sz w:val="14"/>
                <w:szCs w:val="14"/>
                <w:b w:val="1"/>
                <w:bCs w:val="1"/>
                <w:color w:val="auto"/>
                <w:w w:val="98"/>
              </w:rPr>
              <w:t xml:space="preserve">December 31, 2007 </w:t>
            </w:r>
            <w:r>
              <w:rPr>
                <w:rFonts w:ascii="Arial" w:cs="Arial" w:eastAsia="Arial" w:hAnsi="Arial"/>
                <w:sz w:val="12"/>
                <w:szCs w:val="12"/>
                <w:b w:val="1"/>
                <w:bCs w:val="1"/>
                <w:color w:val="auto"/>
                <w:w w:val="98"/>
              </w:rPr>
              <w:t>(1)</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6,527</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Capitalized software (1-2 years)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3,684</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2680" w:hanging="5612"/>
        <w:spacing w:after="0" w:line="481" w:lineRule="auto"/>
        <w:tabs>
          <w:tab w:leader="none" w:pos="45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This table excludes fully amortized intangible assets of $5.5 million as of March 31, 2008 and December 31, 2007.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expense, including the amortization of capitalized software, which is recorded in cost of sales, for the three months ended March 31, 2008 and 2007 was approximately $0.4 million and $0.3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for existing intangible assets for each of the five succeeding years ending December 31 and thereafter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9 months)</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2009</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2011</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We currently operate in one business segment “Core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32,359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39,679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Asia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8,358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2,923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28,832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26,340</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61,191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March 31, 2008</w:t>
            </w: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3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6,359</w:t>
            </w:r>
          </w:p>
        </w:tc>
        <w:tc>
          <w:tcPr>
            <w:tcW w:w="10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6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0" w:type="dxa"/>
            <w:vAlign w:val="bottom"/>
            <w:vMerge w:val="restart"/>
          </w:tcPr>
          <w:p>
            <w:pPr>
              <w:jc w:val="right"/>
              <w:ind w:right="151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held foreign currency exchange contracts which resulted in a net pre-tax gain of approximately $634 thousand and $183 thousand for the three months ended March 31, 2008 and March 31, 2007, respectively. We had three foreign currency exchange contracts outstanding at March 31, 2008. These are forward contracts with the notional values of $6.5 million, $6.0 million and $2.1 million, respectively. At December 31, 2007 we had one foreign currency exchange contract outstanding, a forward contract with a notional value of $5.0 million, which settled on January 25, 2008.</w:t>
      </w:r>
    </w:p>
    <w:p>
      <w:pPr>
        <w:spacing w:after="0" w:line="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held two US dollar/ Euro forward contracts with notional values of $6.5 million and $6.0 million and forward rates of $1.5398 and $1.5367 US dollar/ Euro, respectively as of March 31, 2008. We also held one GBP/ Euro forward contract with a notional value $2.1 million and a forward rate of £ 0.7802 GBP/ Euro as of March 31, 2008. We held the Euro position on these contracts, which are all due for settlement on April 25, 2008. The aggregate fair value of these contracts as of March 31, 2008 was $358 thousand and is included in prepaid expenses and other current assets. The fair value of the outstanding forward contract as of December 31, 2007 was $11 thousand, which was included in prepaid expenses and other current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We purchased directors and officers’ insurance to insure our individual directors and officers against certain claims, including the payment of claims such as those alleged below and attorney’s fees and related expenses incurred in connection with the defense of such claim.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 xml:space="preserve">Three Months Ended March 31, 2008 </w:t>
            </w:r>
            <w:r>
              <w:rPr>
                <w:rFonts w:ascii="Arial" w:cs="Arial" w:eastAsia="Arial" w:hAnsi="Arial"/>
                <w:sz w:val="15"/>
                <w:szCs w:val="15"/>
                <w:color w:val="auto"/>
              </w:rPr>
              <w:t>(1)</w:t>
            </w:r>
          </w:p>
        </w:tc>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$178</w:t>
            </w:r>
          </w:p>
        </w:tc>
        <w:tc>
          <w:tcPr>
            <w:tcW w:w="540" w:type="dxa"/>
            <w:vAlign w:val="bottom"/>
          </w:tcPr>
          <w:p>
            <w:pPr>
              <w:spacing w:after="0"/>
              <w:rPr>
                <w:sz w:val="16"/>
                <w:szCs w:val="16"/>
                <w:color w:val="auto"/>
              </w:rPr>
            </w:pPr>
          </w:p>
        </w:tc>
        <w:tc>
          <w:tcPr>
            <w:tcW w:w="900" w:type="dxa"/>
            <w:vAlign w:val="bottom"/>
          </w:tcPr>
          <w:p>
            <w:pPr>
              <w:jc w:val="right"/>
              <w:ind w:right="284"/>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0"/>
              </w:rPr>
              <w:t>$(85)</w:t>
            </w:r>
          </w:p>
        </w:tc>
        <w:tc>
          <w:tcPr>
            <w:tcW w:w="540" w:type="dxa"/>
            <w:vAlign w:val="bottom"/>
          </w:tcPr>
          <w:p>
            <w:pPr>
              <w:spacing w:after="0"/>
              <w:rPr>
                <w:sz w:val="16"/>
                <w:szCs w:val="16"/>
                <w:color w:val="auto"/>
              </w:rPr>
            </w:pPr>
          </w:p>
        </w:tc>
        <w:tc>
          <w:tcPr>
            <w:tcW w:w="340" w:type="dxa"/>
            <w:vAlign w:val="bottom"/>
          </w:tcPr>
          <w:p>
            <w:pPr>
              <w:ind w:left="240"/>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Three Months Ended March 31, 2007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$416</w:t>
            </w:r>
          </w:p>
        </w:tc>
        <w:tc>
          <w:tcPr>
            <w:tcW w:w="1440" w:type="dxa"/>
            <w:vAlign w:val="bottom"/>
            <w:gridSpan w:val="2"/>
          </w:tcPr>
          <w:p>
            <w:pPr>
              <w:jc w:val="right"/>
              <w:ind w:right="284"/>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$(82)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 the second quarter of 2007, we renegotiated pricing terms with our third party warranty repair vendor which resulted in lower warranty costs per unit. As a result, our warranty accrual was reduced to reflect the lower pricing.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the Gibson companies counterclaimed that we breached various aspects of the software agreement and that they are seeking unspecified damages. We disagree vigorously with their denials of liability and with their counterclaims and will continue to pursue this matter. As we are in the early stages of discovery, at this time, we are unable to estimate the likely outcome of this matter and the amount, if any, of recovery of the balance due us.</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second quarter of 2007, we adopted a Long-Term Incentive Plan (“LTIP”), effective January 1, 2007, that provides a bonus pool for the executive management team contingent on achieving certain performance goals for the two-year period commencing on January 1, 2007 and ending on December 31, 2008, involving sales growth and earnings per diluted share. Vesting in the bonus pool will occur in eight equal quarterly increments commencing with the quarter ending March 31, 2009 and will continue as long as the participant remains an employee of our company. Payment of the vested portion of the bonus pool will occur on the vesting date, unless the participant elects to defer such payment, and will be made in cash, our common stock, or a combination of cash and stock (at our company’s discretion). Our Board of Directors believes that a four-year performance and vesting time period is appropriate. The LTIP commits a maximum of $12 million in bonus if the highest performance goals are met. We lowered our annual LTIP accrual from $1.0 million at December 31, 2007 to $0.8 million at March 31, 2008, and our prospective accrual rate due to slightly lower net sales projections for 2008. The reduction in the accrual resulted in a $175 thousand benefit recognized during the quarter ended March 31, 2008. The LTIP accrual is included in other long-term liabilities.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350,000 individual device functions and over 3,400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eleven operating subsidiaries located in Argentina, France, two in Germany, Hong Kong, Italy, the Netherlands, Singapore, Spain, India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first quarter of 2008:</w:t>
      </w:r>
    </w:p>
    <w:p>
      <w:pPr>
        <w:spacing w:after="0" w:line="117" w:lineRule="exact"/>
        <w:rPr>
          <w:sz w:val="20"/>
          <w:szCs w:val="20"/>
          <w:color w:val="auto"/>
        </w:rPr>
      </w:pPr>
    </w:p>
    <w:p>
      <w:pPr>
        <w:jc w:val="both"/>
        <w:ind w:left="660" w:right="16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revenue fell year-over-year in the first quarter by 7.3%, from $66.0 million in the first quarter of 2007 to $61.2 million in the first quarter of 2008, and net income was $2.5 million, or $0.17 per diluted share in the first quarter of 2008, compared to $4.6 million, or $0.31 per diluted share in the first quarter of 2007;</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repurchased 500,000 shares for $11.5 million, at an average price of $22.91 per share;</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continued to execute our business objectives established for 2008; and remain confident of achieving the financial outlook that was provided earlier in the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the remainder of 2008 include the following:</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merger and acquisition opportunities that may enhance our business.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For further information regarding critical accounting policies and estimates, other than stock-based compensation discussed below, refer to Item 7, “Management’s Discussion and Analysis of Financial Condition and Results of Operations” contained in our Annual Report on Form 10-K for our fiscal year ended December 31,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January 1, 2006, we adopted the fair value recognition provisions of SFAS No. 123R, “Share Based Payment” (“SFAS 123R”) using the modified-prospective transition method. Stock-based compensation expense is presented in the same income statement line as cash compensation paid to the same employees or directors. During the three months ended March 31, 2008 and 2007, we recorded $1.2 million and $0.7 million, respectively, of pre-tax 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March 31, 2008, we expect to recognize $4.5 million of total unrecognized compensation expense related to non-vested employee stock options over a weighted-average life of 2.2 years.</w:t>
      </w:r>
    </w:p>
    <w:p>
      <w:pPr>
        <w:spacing w:after="0" w:line="6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Included in SG&amp;A stock-based compensation expense is $181 thousand and $117 thousand in pre-tax compensation expense for the three months ended March 31, 2008 and 2007, respectively, related to stock awards granted to outside directors. We issue restricted stock awards to the outside directors for services performed. Compensation expense for the restricted stock awards is recognized on a straight-line basis over the requisite service period of one year.</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in the first quarter of 2008 during the annual review cycle, the Compensation Committee granted our executives 115,926 shares of restricted stock under the 2006 Stock Incentive Plan. The awards were granted as part of long-term incentive compensation to assist us in meeting our performance and retention objectives. Each executive grant is subject to a three-year vesting period. For the three months ended March 31, 2008, the stock-based compensation expense related to this award was $228 thousand and is included in SG&amp;A.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SFAS 123R, compensation expense related to restricted stock awards granted to outside directors and executives is based on the fair value of the shares awarded as of the grant date. The fair value of non-vested shares is determined based on the average of the high and low trade prices of our company’s shares on the grant date.</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March 31, 2008, we expect to recognize $2.7 million in unrecognized compensation expense related to non-vested restricted stock awards over a weighted-average life of 2.6 years.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used to determine stock-based compensation expense. However, if actual results are not consistent with our estimates and assumptions we may be exposed to material stock-based compensation expense. Refer to Note 2 captioned “Stock-based Compensation” included in the “Notes to the Consolidated Financial Statements” set forth above for additional disclosure regarding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expressed as a percentage of net sales for the three months ended March 31,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61,191</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66,019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39,456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41,678</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21,735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24,341</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2,196</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16,856</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15,833</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19,052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18,155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2,683</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6,186</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(1,289)</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(2,231)</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4,637</w:t>
            </w:r>
          </w:p>
        </w:tc>
        <w:tc>
          <w:tcPr>
            <w:tcW w:w="1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2008 versus Three Months Ended March 31,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March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Business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78.9%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50.2</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66.0</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40" w:type="dxa"/>
            <w:vAlign w:val="bottom"/>
            <w:vMerge w:val="restart"/>
          </w:tcPr>
          <w:p>
            <w:pPr>
              <w:jc w:val="right"/>
              <w:ind w:right="57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sales for the first quarter of 2008 were $61.2 million, a decrease of 7% compared to $66.0 million for the first quarter of 2007. Net income for the first quarter of 2008 was $2.5 million or $0.17 per share (basic) and $0.17 per share (diluted) compared to $4.6 million or $0.33 per share (basic) and $0.31 per share (diluted) for the first quarter of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79% of net sales in the first quarter of 2008 compared to approximately 76% in the first quarter of 2007. Net sales in our Business line for the first quarter of 2008 decreased by 4% to $48.3 million from $50.2 million in the first quarter of 2007. This decrease in sales resulted primarily from a decrease in the volume of remote control sales with our subscription broadcasting customers. Sales in the first quarter of 2007 were favorably impacted by the mid-year Open Cable Application Platform (“OCAP”) compliance deadline, as some of our key customers ordered additional product ahead of the deadline. In spite of the difficult comparison with the first quarter of 2007, the roll out of advanced functions such as digital video recording (“DVR”), video-on-demand (“VOD”), and high definition television (“HDTV”) continues. We expect that the deployment of the advanced function set-top boxes by the service operators will continue into the foreseeable future as penetration for each of the functions cited continues to increase. We expect Business category revenue to range between $232 million and $248 million for the full year 2008.</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retail, private label, custom installers and direct import) were approximately 21% of net sales for the first quarter of 2008 compared to approximately 24% for the first quarter of 2007. Net sales in our Consumer lines for the first quarter of 2008 decreased by 18% to $12.9 million, from $15.8 million in the first quarter of 2007. CEDIA sales decreased by $2.0 million compared to the first quarter of 2007, primarily due to a large sell-in that took place in the first quarter of last year. European retail sales decreased by $0.6 million compared to the first quarter of 2007, mainly in the UK market. European retail sales were favorably impacted by the strengthening of both the Euro and the British Pound compared to the U.S. Dollar, which resulted in an increase in net sales of approximately $0.7 million. Net of this positive currency effect, European retail sales decreased by $1.3 million. Additionally, United States direct import licensing and product revenues in first quarter of 2008 decreased by $0.3 million from same quarter of 2007, due to the expiration of a licensing agreement. We expect Consumer category revenue to range between $65 million and $81 million for the full year 2008.</w:t>
      </w:r>
    </w:p>
    <w:p>
      <w:pPr>
        <w:spacing w:after="0" w:line="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Gross profit for the first quarter of 2008 was $21.7 million compared to $24.3 million for the first quarter of 2007. Gross profit as a percent of sales for the first quarter of 2008 was 35.5% compared to 36.9% for the same period in the prior year. The decrease in gross profit as a percentage of net sales was primarily attributable to sales in our consumer lines, which generally have a higher gross profit rate as compared to our other sales, representing a smaller percentage of our total business. This change in mix resulted in a 3.3% decrease in the gross profit rate. Included in this mix calculation is an increase in royalty revenue of $0.7 million which favorably impacted the gross margin rate by 0.7%. Partially offsetting the decrease in the gross profit rate was a reduction of $0.6 million of freight, handling and duty expense, which increased the gross profit rate by 0.8%. In the first quarter of 2008, there was a decrease in the percentage of units shipped by air compared to the first quarter of 2007. Gross profit was also favorably impacted by the strengthening of both the Euro and British Pound compared to the U.S. Dollar, which resulted in an increase in gross profit of approximately $0.7 million and an increase of 0.6% in the gross profit rate. Additionally a reduced royalty rate on certain products in our consumer lines added 0.6% to the gross profit rate.</w:t>
      </w:r>
    </w:p>
    <w:p>
      <w:pPr>
        <w:spacing w:after="0" w:line="5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Research and development expenses decreased 5% from $2.3 million in the first quarter of 2007 to $2.2 million in the first quarter of 2008. The decrease is due to the completion of the latest development phase for the Nevo® platform. We expect research and development expenses to remain near current levels for the remaining quarters of 2008.</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general and administrative expenses increased 6% from $15.8 million in the first quarter of 2007 to $16.9 million in the first quarter of 2008. The strengthening of both the Euro and British Pound compared to the U.S. Dollar resulted in an increase of $1.0 million, stock-based compensation increased by $0.4 million due to grants that occurred in the second quarter of 2007 and the first quarter of 2008. These increases were partially offset by the reduction of our long-term incentive plan accrual, which decreased by $0.2 million. We expect that selling, general and administrative expenses to range between $70 million and $75 million for the full year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the first quarter of 2008, we recorded $0.9 million of interest income compared to $0.6 million in the first quarter of 2007. This increase is due to higher money market rates and a higher average cash balance. We expect net interest income to range between $3.3 million and $3.8 million for the full year 2008.</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income tax expense of $1.3 million in the first quarter of 2008 compared to $2.2 million in the first quarter of 2007. Our effective tax rate was 34.3% in the first quarter of 2008 compared to 32.5% in the first quarter of 2007. The increase in our effective tax rate is due primarily to the expiration of the federal research and development tax credit statute, which occurred on December 31, 2007. We estimate that our effective tax rate will range between 33% and 35% for the full year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(Decrease)/</w:t>
            </w:r>
          </w:p>
        </w:tc>
        <w:tc>
          <w:tcPr>
            <w:tcW w:w="44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March 31, 2008</w:t>
            </w:r>
          </w:p>
        </w:tc>
        <w:tc>
          <w:tcPr>
            <w:tcW w:w="44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Increase in cash</w:t>
            </w:r>
          </w:p>
        </w:tc>
        <w:tc>
          <w:tcPr>
            <w:tcW w:w="44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2007</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5,578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(2,518)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8,096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(2,714)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(1,624)</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(1,090)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2"/>
              </w:rPr>
              <w:t>(11,212)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(15,847)</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4,635</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5,124</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333"/>
              <w:spacing w:after="0"/>
              <w:rPr>
                <w:sz w:val="20"/>
                <w:szCs w:val="20"/>
                <w:color w:val="auto"/>
              </w:rPr>
            </w:pPr>
            <w:r>
              <w:rPr>
                <w:rFonts w:ascii="Arial" w:cs="Arial" w:eastAsia="Arial" w:hAnsi="Arial"/>
                <w:sz w:val="18"/>
                <w:szCs w:val="18"/>
                <w:color w:val="auto"/>
              </w:rPr>
              <w:t>4,627</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497</w:t>
            </w:r>
          </w:p>
        </w:tc>
      </w:tr>
      <w:tr>
        <w:trPr>
          <w:trHeight w:val="350"/>
        </w:trPr>
        <w:tc>
          <w:tcPr>
            <w:tcW w:w="6120" w:type="dxa"/>
            <w:vAlign w:val="bottom"/>
          </w:tcPr>
          <w:p>
            <w:pPr>
              <w:spacing w:after="0"/>
              <w:rPr>
                <w:sz w:val="24"/>
                <w:szCs w:val="24"/>
                <w:color w:val="auto"/>
              </w:rPr>
            </w:pPr>
          </w:p>
        </w:tc>
        <w:tc>
          <w:tcPr>
            <w:tcW w:w="14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March 31, 2008</w:t>
            </w:r>
          </w:p>
        </w:tc>
        <w:tc>
          <w:tcPr>
            <w:tcW w:w="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89"/>
              </w:rPr>
              <w:t>Decrease</w:t>
            </w:r>
          </w:p>
        </w:tc>
        <w:tc>
          <w:tcPr>
            <w:tcW w:w="440" w:type="dxa"/>
            <w:vAlign w:val="bottom"/>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2007</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83,386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(3,224)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86,610</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Working capital</w:t>
            </w:r>
          </w:p>
        </w:tc>
        <w:tc>
          <w:tcPr>
            <w:tcW w:w="4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86"/>
              </w:rPr>
              <w:t>138,569</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(1,761)</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w w:val="86"/>
              </w:rPr>
              <w:t>140,330</w:t>
            </w:r>
          </w:p>
        </w:tc>
      </w:tr>
    </w:tbl>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for the first quarter of 2008 was $5.6 million as compared to $8.1 million in the first quarter of 2007.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provided by operating activities was primarily driven by a decrease in sales of approximately 7% in the first quarter of 2008 compared to the first quarter of 2007 which resulted in lower net income. Days sales outstanding increased from approximately 69 days in the first quarter of 2007 to approximately 79 days in the first quarter of 2008 due to certain customers delaying payment beyond their respective payment terms. We do not believe that these customers represent a credit risk or bad debt risk. Inventory turns decreased from approximately 6.4 turns in the first quarter of 2007 to approximately 3.7 turns in the first quarter of 2008 due primarily to lower than expected sales as well as a deliberate effort to build inventory levels to support expanded market share gains with certain existing customers.</w:t>
      </w:r>
    </w:p>
    <w:p>
      <w:pPr>
        <w:spacing w:after="0" w:line="8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for the first quarter of 2008 was $2.7 million as compared to $1.1 million for the first quarter of 2007.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used for investing activities was primarily due to an increase in leasehold improvements and acquisition of furniture and fixtures related to the renovation of our corporate headquarters. During the first quarter of 2007, we began to renovate and expand our corporate headquarters. Construction was completed during the first quarter of 2008. The total cost of this renovation was approximately $2.0 million, which was financed through our current operations, and a $0.4 million tenant improvement allowance to be provided by the landlord in the second quarter of 2008.</w:t>
      </w:r>
    </w:p>
    <w:p>
      <w:pPr>
        <w:spacing w:after="0" w:line="5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also plan to make a significant investment to upgrade our information systems, which we expect to cost approximately $1.0 million. The strategic planning for the upgrade of our information systems commenced in 2007 and we expect implementation to be completed in 2009. In addition, in order to support our future sales growth, we expect annual purchases of tooling equipment to increase throughout the years.</w:t>
      </w:r>
    </w:p>
    <w:p>
      <w:pPr>
        <w:spacing w:after="0" w:line="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for the first quarter of 2008 was $11.2 million as compared to cash provided by financing activities of $4.6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quarter of 2007. The increase in cash used for financing activities was primarily due to the repurchase of 500,000 shares of our common stock for a total cost of $11.5 million in the first quarter of 2008. During the first quarter of 2007, we did not repurchase any of our common stock.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addition, proceeds from stock exercises was $0.2 million during the first quarter of 2008 compared to $4.3 million in the first quarter of 2007.</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From August 31, 2006, through March 31, 2008, we purchased 1,067,900 shares of our common stock, leaving 932,100 shares available for purchase under the Credit Facility. During 2008 we may continue to purchase shares of our common stock if we believe conditions are favorable and to offset the dilutive effect of stock option exercises.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March 31, 2008 our contractual obligations were $21.8 million compared to $25.6 million as reported on our Annual Report on Form 10-K as of December 31, 2007. Purchase obligations primarily consist of an agreement with a specific vendor to purchase approximately 80% of our integrated circuits through October 16, 2008 from this vendor.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use cash provided by operations as our primary source of liquidity, since internally generated cash flows are typically sufficient to support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March 31, 2008, we had $138.6 million of working capital as compared to $140.3 million at December 31, 2007.</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cash balances are held in the United States and Europe. At March 31, 2008, we had approximately $5.3 million and $78.1 million of cash and cash equivalents in the United States and Europe, respectively.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 $15 million unsecured revolving credit agreement (“Credit Facility”) with Comerica Bank, which expires on August 31, 2009. Under the Credit Facility, the interest payable is variable and is based on the bank’s cost of funds or the LIBOR rate plus a fixed margin of 1.25%. The interest rate in effect as of March 31, 2008 using the LIBOR Rate option plus a fixed margin of 1.25% was 3.74%.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March 31, 2008, we did not have any amounts outstanding under the Credit Facility or any outstanding import letters of credit. As of March 31, 2008, we had available $15 million on the line of credit. Furthermore we were in compliance with all financial covenants required by the Credit Facility as of March 31, 2008.</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funds available from our borrowing facility will be sufficient to fund current business operations and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In February 2008, the FASB issued FASB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Additionally in February 2008 the FASB issued FASB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We did not apply the provisions of SFAS 157 during the first quarter of 2008; however, we will apply the provisions as necessary (i.e. annual year-end impairment review of goodwill and intangible assets). As a result, the adoption of SFAS 157 had no impact on our consolidated results of operations and financial condition during the quarter ended March 31, 2008.</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Although we adopted the provisions of SFAS 159, we did not apply the provisions to any assets or liabilities during the first quarter of 2008. As a result, the adoption of SFAS 159 had no impact on our consolidated results of operations and financial condition during the quarter ended March 31, 2008.</w:t>
      </w:r>
    </w:p>
    <w:p>
      <w:pPr>
        <w:spacing w:after="0" w:line="6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The adoption of EITF 07-3 did not have a material effect on our consolidated financial position, results of operations or cash flows.</w:t>
      </w:r>
    </w:p>
    <w:p>
      <w:pPr>
        <w:spacing w:after="0" w:line="5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 material effect on our financial statements; however, the effect is dependent upon whether we make any future acquisitions and the specifics of those acquisitions.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an impact on our consolidated results of operations and financial condition.</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(“ARB 51”), “Consolidated Financial Statements,” by defining a new term-noncontrolling interests-to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currently do not believe that the adoption of SFAS 160 will have a significant effect on our financial statements as we wholly own our subsidiaries.</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8"/>
          <w:szCs w:val="18"/>
          <w:i w:val="1"/>
          <w:iCs w:val="1"/>
          <w:color w:val="auto"/>
        </w:rPr>
        <w:t>,</w:t>
      </w:r>
      <w:r>
        <w:rPr>
          <w:rFonts w:ascii="Arial" w:cs="Arial" w:eastAsia="Arial" w:hAnsi="Arial"/>
          <w:sz w:val="18"/>
          <w:szCs w:val="18"/>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December 31, 2008. We are currently assessing the impact that SFAS 161 will have on our consolidated results of operations and financial condition.</w:t>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No. 142, “Goodwill and Other Intangible Assets.” The intent of this FSP is to improve the consistency between the useful life of a recognized intangible asset under Statement 142 and the period of expected cash flows used to measure the fair value of the asset under FASB Statement No. 141 (revised 2007), “Business Combinations”, and other U.S. GAAP. FSP FAS 142-3 is effective for fiscal years and interim periods within those fiscal years beginning on or after December 15, 2008. The guidance for determining the useful life of a recognized intangible asset in paragraphs 7–11 of this FSP shall be applied prospectively to intangible assets acquired after the effective date. The disclosure requirements in paragraphs 13–15 shall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those factors discussed in our 2007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 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and other stock-based compensation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 branded products which include digital antennas, signal boosters, and other A/V accessories.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2008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2008,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August 31, 2006, we amended our credit facility to extend for an additional three years, expiring on August 31, 2009. The interest payable under our revolving Credit Facility with our bank is variable and based on either (i) the bank’s cost of funds or (ii) the LIBOR rate plus a fixed margin of 1.25%; the rate is affected by changes in market interest rates. At March 31, 2008, we had no borrowings on our credit facility. The interest rate in effect on the credit facility as of March 31, 2008 using the LIBOR Rate option plus a fixed margin of 1.25% was 3.74%.</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March 31, 2008 we had wholly owned subsidiaries in the Netherlands, United Kingdom, Germany, France, Argentina, Spain, Italy, Singapore, Hong Kong and India.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March 31, 2008, we believe that movements in foreign currency rates could have a material affect on our financial position. We estimate that if the exchange rates for the Euro and the British Pound relative to the U.S. Dollar fluctuate 10% from March 31, 2008, net income and cash flows in the second quarter of 2008 would fluctuate by approximately $0.1 million and $10.3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as is typical, the Gibson companies counterclaimed that we breached various aspects of the software agreement and that they are seeking unspecified damages. We disagree vigorously with their denials of liability and with their counterclaims and will continue to pursue this matter. As we are in the early stages of discovery, at this time, we are unable to estimate the likely outcome of this matter and the amount, if any, of recovery of the balance due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For risk factors, see “Risk Factors” in Part 1, Item 1A, of our Annual Report on Form 10-K for the fiscal year ended December 31, 2007,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2008, we did not sell any equity securities that were not registered under the Securities Act of 1934.</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authority under the Credit Facility to acquire up to 2.0 million shares of our common stock in market purchases. Between August 31, 2006, the date of amendment of the Credit Facility, and March 31, 2008, we purchased 1,067,900 shares of our common stock leaving 932,100 remaining shares authorized for purchase under the Credit Facility. We repurchased 500,000 shares during the quarter ended March 31, 2008, and we may continue to repurchase shares of our common stock during the remainder of the year, if we believe conditions are favorable, or to manage dilution created by shares issued under the employee stock plans. Purchase information for the first quarter of 2008 is set forth by month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January 1, 2008 – January 31, 2008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February 1, 2008 – February 29, 2008</w:t>
            </w:r>
          </w:p>
        </w:tc>
        <w:tc>
          <w:tcPr>
            <w:tcW w:w="4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March 1, 2008 – March 31, 2008</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22.91</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Q1 2008</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gridSpan w:val="2"/>
          </w:tcPr>
          <w:p>
            <w:pPr>
              <w:jc w:val="right"/>
              <w:ind w:right="399"/>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40" w:hanging="543"/>
        <w:spacing w:after="0" w:line="277" w:lineRule="auto"/>
        <w:tabs>
          <w:tab w:leader="none" w:pos="820" w:val="left"/>
        </w:tabs>
        <w:rPr>
          <w:sz w:val="20"/>
          <w:szCs w:val="20"/>
          <w:color w:val="auto"/>
        </w:rPr>
      </w:pPr>
      <w:r>
        <w:rPr>
          <w:rFonts w:ascii="Arial" w:cs="Arial" w:eastAsia="Arial" w:hAnsi="Arial"/>
          <w:sz w:val="18"/>
          <w:szCs w:val="18"/>
          <w:color w:val="auto"/>
        </w:rPr>
        <w:t>10.1</w:t>
        <w:tab/>
        <w:t>Form of Restricted Stock Unit Agreement (incorporated herein by reference to Exhibit 4.5 to the Company’s Form S-8 Registration Statement filed on March 27, 2008 (File No. 333-149926))</w:t>
      </w:r>
    </w:p>
    <w:p>
      <w:pPr>
        <w:spacing w:after="0" w:line="170"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25" w:lineRule="exact"/>
        <w:rPr>
          <w:sz w:val="20"/>
          <w:szCs w:val="20"/>
          <w:color w:val="auto"/>
        </w:rPr>
      </w:pPr>
    </w:p>
    <w:p>
      <w:pPr>
        <w:ind w:left="840" w:right="300" w:hanging="543"/>
        <w:spacing w:after="0" w:line="277" w:lineRule="auto"/>
        <w:tabs>
          <w:tab w:leader="none" w:pos="820" w:val="left"/>
        </w:tabs>
        <w:rPr>
          <w:sz w:val="20"/>
          <w:szCs w:val="20"/>
          <w:color w:val="auto"/>
        </w:rPr>
      </w:pPr>
      <w:r>
        <w:rPr>
          <w:rFonts w:ascii="Arial" w:cs="Arial" w:eastAsia="Arial" w:hAnsi="Arial"/>
          <w:sz w:val="18"/>
          <w:szCs w:val="18"/>
          <w:color w:val="auto"/>
        </w:rPr>
        <w:t>31.2</w:t>
        <w:tab/>
        <w:t>Rule 13a-14(a) Certifications of Bryan Hackworth, Chief Financial Officer (principal financial officer and principal accounting officer) of Universal Electronics Inc.</w:t>
      </w:r>
    </w:p>
    <w:p>
      <w:pPr>
        <w:spacing w:after="0" w:line="170" w:lineRule="exact"/>
        <w:rPr>
          <w:sz w:val="20"/>
          <w:szCs w:val="20"/>
          <w:color w:val="auto"/>
        </w:rPr>
      </w:pPr>
    </w:p>
    <w:p>
      <w:pPr>
        <w:jc w:val="both"/>
        <w:ind w:left="840" w:right="140" w:hanging="404"/>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Exhibit No</w:t>
            </w:r>
          </w:p>
        </w:tc>
        <w:tc>
          <w:tcPr>
            <w:tcW w:w="360" w:type="dxa"/>
            <w:vAlign w:val="bottom"/>
          </w:tcPr>
          <w:p>
            <w:pPr>
              <w:spacing w:after="0"/>
              <w:rPr>
                <w:sz w:val="24"/>
                <w:szCs w:val="24"/>
                <w:color w:val="auto"/>
              </w:rPr>
            </w:pPr>
          </w:p>
        </w:tc>
        <w:tc>
          <w:tcPr>
            <w:tcW w:w="10220" w:type="dxa"/>
            <w:vAlign w:val="bottom"/>
            <w:tcBorders>
              <w:bottom w:val="single" w:sz="8" w:color="auto"/>
            </w:tcBorders>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840" w:type="dxa"/>
            <w:vAlign w:val="bottom"/>
          </w:tcPr>
          <w:p>
            <w:pPr>
              <w:jc w:val="right"/>
              <w:ind w:right="174"/>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8"/>
              </w:rPr>
              <w:t>Form of Restricted Stock Unit Agreement (incorporated herein by reference to Exhibit 4.5 to the Company’s Form S-8 Registration</w:t>
            </w:r>
          </w:p>
        </w:tc>
      </w:tr>
      <w:tr>
        <w:trPr>
          <w:trHeight w:val="230"/>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Statement filed on March 27, 2008 (File No. 333-149926))</w:t>
            </w:r>
          </w:p>
        </w:tc>
      </w:tr>
      <w:tr>
        <w:trPr>
          <w:trHeight w:val="432"/>
        </w:trPr>
        <w:tc>
          <w:tcPr>
            <w:tcW w:w="840" w:type="dxa"/>
            <w:vAlign w:val="bottom"/>
          </w:tcPr>
          <w:p>
            <w:pPr>
              <w:jc w:val="right"/>
              <w:ind w:right="174"/>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18"/>
        </w:trPr>
        <w:tc>
          <w:tcPr>
            <w:tcW w:w="840" w:type="dxa"/>
            <w:vAlign w:val="bottom"/>
          </w:tcPr>
          <w:p>
            <w:pPr>
              <w:jc w:val="right"/>
              <w:ind w:right="174"/>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3"/>
              </w:rPr>
              <w:t>Rule 13a-14(a) Certifications of Bryan M. Hackworth, Chief Financial Officer (principal financial officer and principal accounting officer) of</w:t>
            </w:r>
          </w:p>
        </w:tc>
      </w:tr>
      <w:tr>
        <w:trPr>
          <w:trHeight w:val="230"/>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jc w:val="both"/>
        <w:ind w:left="1200" w:right="100" w:hanging="863"/>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1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2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9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March 31, 2008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Dated: May 9, 2008</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Paul D. Arling</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Bryan M. Hackworth</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3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2019-12-13T07:46:34Z</dcterms:created>
  <dcterms:modified xsi:type="dcterms:W3CDTF">2019-12-13T07:46:34Z</dcterms:modified>
</cp:coreProperties>
</file>