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September 30, 2025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erif" w:hAnsi="Times New Roman;serif"/>
          <w:b/>
          <w:color w:val="000000"/>
          <w:sz w:val="24"/>
        </w:rPr>
      </w:pPr>
      <w:r>
        <w:rPr>
          <w:rFonts w:ascii="Times New Roman;serif" w:hAnsi="Times New Roman;serif"/>
          <w:b/>
          <w:color w:val="000000"/>
          <w:sz w:val="24"/>
        </w:rPr>
        <w:t>For the transition period from            to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0-21044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33-0204817</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15147 N. Scottsdale Road, Suite H300, Scottsdale, Arizona 85254-2494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(480) 530-3000</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pPr>
      <w:r>
        <w:rPr>
          <w:rFonts w:ascii="Times New Roman;serif" w:hAnsi="Times New Roman;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13,366,106 shares of Common Stock, par value $0.01 per share, of the registrant were outstanding on November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8685" w:type="dxa"/>
        <w:jc w:val="left"/>
        <w:tblInd w:w="0" w:type="dxa"/>
        <w:tblLayout w:type="fixed"/>
        <w:tblCellMar>
          <w:top w:w="28" w:type="dxa"/>
          <w:left w:w="28" w:type="dxa"/>
          <w:bottom w:w="28" w:type="dxa"/>
          <w:right w:w="28" w:type="dxa"/>
        </w:tblCellMar>
      </w:tblPr>
      <w:tblGrid>
        <w:gridCol w:w="2879"/>
        <w:gridCol w:w="2529"/>
        <w:gridCol w:w="2541"/>
        <w:gridCol w:w="215"/>
        <w:gridCol w:w="215"/>
        <w:gridCol w:w="306"/>
      </w:tblGrid>
      <w:tr>
        <w:trPr/>
        <w:tc>
          <w:tcPr>
            <w:tcW w:w="287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Page</w:t>
            </w:r>
          </w:p>
          <w:p>
            <w:pPr>
              <w:pStyle w:val="TableContents"/>
              <w:bidi w:val="0"/>
              <w:spacing w:lineRule="auto" w:line="240" w:before="0" w:after="0"/>
              <w:jc w:val="right"/>
              <w:rPr>
                <w:rFonts w:ascii="Times New Roman;serif" w:hAnsi="Times New Roman;serif"/>
                <w:b/>
                <w:color w:val="000000"/>
                <w:sz w:val="16"/>
                <w:u w:val="single"/>
              </w:rPr>
            </w:pPr>
            <w:r>
              <w:rPr>
                <w:rFonts w:ascii="Times New Roman;serif" w:hAnsi="Times New Roman;serif"/>
                <w:b/>
                <w:color w:val="000000"/>
                <w:sz w:val="16"/>
                <w:u w:val="single"/>
              </w:rPr>
              <w:t>Number</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0">
              <w:r>
                <w:rPr>
                  <w:rStyle w:val="InternetLink"/>
                  <w:rFonts w:ascii="Times New Roman;serif" w:hAnsi="Times New Roman;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0">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3">
              <w:r>
                <w:rPr>
                  <w:rStyle w:val="InternetLink"/>
                  <w:rFonts w:ascii="Times New Roman;serif" w:hAnsi="Times New Roman;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3">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6">
              <w:r>
                <w:rPr>
                  <w:rStyle w:val="InternetLink"/>
                  <w:rFonts w:ascii="Times New Roman;serif" w:hAnsi="Times New Roman;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6">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9">
              <w:r>
                <w:rPr>
                  <w:rStyle w:val="InternetLink"/>
                  <w:rFonts w:ascii="Times New Roman;serif" w:hAnsi="Times New Roman;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9">
              <w:r>
                <w:rPr>
                  <w:rStyle w:val="InternetLink"/>
                  <w:rFonts w:ascii="Times New Roman;serif" w:hAnsi="Times New Roman;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22">
              <w:r>
                <w:rPr>
                  <w:rStyle w:val="InternetLink"/>
                  <w:rFonts w:ascii="Times New Roman;serif" w:hAnsi="Times New Roman;serif"/>
                  <w:b w:val="false"/>
                  <w:color w:val="0000FF"/>
                  <w:sz w:val="20"/>
                  <w:u w:val="single"/>
                </w:rPr>
                <w:t>Consolidated Statements of Comprehensive Income (Loss)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22">
              <w:r>
                <w:rPr>
                  <w:rStyle w:val="InternetLink"/>
                  <w:rFonts w:ascii="Times New Roman;serif" w:hAnsi="Times New Roman;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25">
              <w:r>
                <w:rPr>
                  <w:rStyle w:val="InternetLink"/>
                  <w:rFonts w:ascii="Times New Roman;serif" w:hAnsi="Times New Roman;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25">
              <w:r>
                <w:rPr>
                  <w:rStyle w:val="InternetLink"/>
                  <w:rFonts w:ascii="Times New Roman;serif" w:hAnsi="Times New Roman;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28">
              <w:r>
                <w:rPr>
                  <w:rStyle w:val="InternetLink"/>
                  <w:rFonts w:ascii="Times New Roman;serif" w:hAnsi="Times New Roman;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28">
              <w:r>
                <w:rPr>
                  <w:rStyle w:val="InternetLink"/>
                  <w:rFonts w:ascii="Times New Roman;serif" w:hAnsi="Times New Roman;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31">
              <w:r>
                <w:rPr>
                  <w:rStyle w:val="InternetLink"/>
                  <w:rFonts w:ascii="Times New Roman;serif" w:hAnsi="Times New Roman;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31">
              <w:r>
                <w:rPr>
                  <w:rStyle w:val="InternetLink"/>
                  <w:rFonts w:ascii="Times New Roman;serif" w:hAnsi="Times New Roman;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91">
              <w:r>
                <w:rPr>
                  <w:rStyle w:val="InternetLink"/>
                  <w:rFonts w:ascii="Times New Roman;serif" w:hAnsi="Times New Roman;serif"/>
                  <w:b w:val="false"/>
                  <w:color w:val="0000FF"/>
                  <w:sz w:val="20"/>
                  <w:u w:val="singl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00">
              <w:r>
                <w:rPr>
                  <w:rStyle w:val="InternetLink"/>
                  <w:rFonts w:ascii="Times New Roman;serif" w:hAnsi="Times New Roman;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00">
              <w:r>
                <w:rPr>
                  <w:rStyle w:val="InternetLink"/>
                  <w:rFonts w:ascii="Times New Roman;serif" w:hAnsi="Times New Roman;serif"/>
                  <w:b w:val="false"/>
                  <w:color w:val="0000FF"/>
                  <w:sz w:val="20"/>
                  <w:u w:val="single"/>
                </w:rPr>
                <w:t>38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03">
              <w:r>
                <w:rPr>
                  <w:rStyle w:val="InternetLink"/>
                  <w:rFonts w:ascii="Times New Roman;serif" w:hAnsi="Times New Roman;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03">
              <w:r>
                <w:rPr>
                  <w:rStyle w:val="InternetLink"/>
                  <w:rFonts w:ascii="Times New Roman;serif" w:hAnsi="Times New Roman;serif"/>
                  <w:b w:val="false"/>
                  <w:color w:val="0000FF"/>
                  <w:sz w:val="20"/>
                  <w:u w:val="singl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06">
              <w:r>
                <w:rPr>
                  <w:rStyle w:val="InternetLink"/>
                  <w:rFonts w:ascii="Times New Roman;serif" w:hAnsi="Times New Roman;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06">
              <w:r>
                <w:rPr>
                  <w:rStyle w:val="InternetLink"/>
                  <w:rFonts w:ascii="Times New Roman;serif" w:hAnsi="Times New Roman;serif"/>
                  <w:b w:val="false"/>
                  <w:color w:val="0000FF"/>
                  <w:sz w:val="20"/>
                  <w:u w:val="singl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09">
              <w:r>
                <w:rPr>
                  <w:rStyle w:val="InternetLink"/>
                  <w:rFonts w:ascii="Times New Roman;serif" w:hAnsi="Times New Roman;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09">
              <w:r>
                <w:rPr>
                  <w:rStyle w:val="InternetLink"/>
                  <w:rFonts w:ascii="Times New Roman;serif" w:hAnsi="Times New Roman;serif"/>
                  <w:b w:val="false"/>
                  <w:color w:val="0000FF"/>
                  <w:sz w:val="20"/>
                  <w:u w:val="singl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12">
              <w:r>
                <w:rPr>
                  <w:rStyle w:val="InternetLink"/>
                  <w:rFonts w:ascii="Times New Roman;serif" w:hAnsi="Times New Roman;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12">
              <w:r>
                <w:rPr>
                  <w:rStyle w:val="InternetLink"/>
                  <w:rFonts w:ascii="Times New Roman;serif" w:hAnsi="Times New Roman;serif"/>
                  <w:b w:val="false"/>
                  <w:color w:val="0000FF"/>
                  <w:sz w:val="20"/>
                  <w:u w:val="single"/>
                </w:rPr>
                <w:t>39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15">
              <w:r>
                <w:rPr>
                  <w:rStyle w:val="InternetLink"/>
                  <w:rFonts w:ascii="Times New Roman;serif" w:hAnsi="Times New Roman;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15">
              <w:r>
                <w:rPr>
                  <w:rStyle w:val="InternetLink"/>
                  <w:rFonts w:ascii="Times New Roman;serif" w:hAnsi="Times New Roman;serif"/>
                  <w:b w:val="false"/>
                  <w:color w:val="0000FF"/>
                  <w:sz w:val="20"/>
                  <w:u w:val="singl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18">
              <w:r>
                <w:rPr>
                  <w:rStyle w:val="InternetLink"/>
                  <w:rFonts w:ascii="Times New Roman;serif" w:hAnsi="Times New Roman;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18">
              <w:r>
                <w:rPr>
                  <w:rStyle w:val="InternetLink"/>
                  <w:rFonts w:ascii="Times New Roman;serif" w:hAnsi="Times New Roman;serif"/>
                  <w:b w:val="false"/>
                  <w:color w:val="0000FF"/>
                  <w:sz w:val="20"/>
                  <w:u w:val="single"/>
                </w:rPr>
                <w:t>40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21">
              <w:r>
                <w:rPr>
                  <w:rStyle w:val="InternetLink"/>
                  <w:rFonts w:ascii="Times New Roman;serif" w:hAnsi="Times New Roman;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21">
              <w:r>
                <w:rPr>
                  <w:rStyle w:val="InternetLink"/>
                  <w:rFonts w:ascii="Times New Roman;serif" w:hAnsi="Times New Roman;serif"/>
                  <w:b w:val="false"/>
                  <w:color w:val="0000FF"/>
                  <w:sz w:val="20"/>
                  <w:u w:val="single"/>
                </w:rPr>
                <w:t>41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aab0f677ef453589a3de2eae364200_124">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aab0f677ef453589a3de2eae364200_124">
              <w:r>
                <w:rPr>
                  <w:rStyle w:val="InternetLink"/>
                  <w:rFonts w:ascii="Times New Roman;serif" w:hAnsi="Times New Roman;serif"/>
                  <w:b w:val="false"/>
                  <w:color w:val="0000FF"/>
                  <w:sz w:val="20"/>
                  <w:u w:val="single"/>
                </w:rPr>
                <w:t>42</w:t>
              </w:r>
            </w:hyperlink>
          </w:p>
        </w:tc>
      </w:tr>
    </w:tbl>
    <w:p>
      <w:pPr>
        <w:pStyle w:val="TextBody"/>
        <w:bidi w:val="0"/>
        <w:spacing w:before="80" w:after="283"/>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share-related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1"/>
        <w:gridCol w:w="2198"/>
        <w:gridCol w:w="2181"/>
        <w:gridCol w:w="247"/>
        <w:gridCol w:w="928"/>
        <w:gridCol w:w="137"/>
        <w:gridCol w:w="109"/>
        <w:gridCol w:w="109"/>
        <w:gridCol w:w="109"/>
        <w:gridCol w:w="240"/>
        <w:gridCol w:w="903"/>
        <w:gridCol w:w="193"/>
      </w:tblGrid>
      <w:tr>
        <w:trPr/>
        <w:tc>
          <w:tcPr>
            <w:tcW w:w="285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208,580 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323,354 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Lines of credit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discounts, rebates and royalties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158,291 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134,552 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shares authorized; none issued or outstanding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 shares authorized; 26,137,645 and 25,712,940 shares issued on September 30, 2025 and December 31, 2024, respectively</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12,772,743 and 12,666,443 shares on September 30, 2025 and December 31, 2024, respectively</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280,697 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323,354 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9538" w:type="dxa"/>
        <w:jc w:val="center"/>
        <w:tblInd w:w="0" w:type="dxa"/>
        <w:tblLayout w:type="fixed"/>
        <w:tblCellMar>
          <w:top w:w="28" w:type="dxa"/>
          <w:left w:w="28" w:type="dxa"/>
          <w:bottom w:w="28" w:type="dxa"/>
          <w:right w:w="28" w:type="dxa"/>
        </w:tblCellMar>
      </w:tblPr>
      <w:tblGrid>
        <w:gridCol w:w="1362"/>
        <w:gridCol w:w="1201"/>
        <w:gridCol w:w="1217"/>
        <w:gridCol w:w="227"/>
        <w:gridCol w:w="748"/>
        <w:gridCol w:w="126"/>
        <w:gridCol w:w="126"/>
        <w:gridCol w:w="126"/>
        <w:gridCol w:w="126"/>
        <w:gridCol w:w="227"/>
        <w:gridCol w:w="852"/>
        <w:gridCol w:w="126"/>
        <w:gridCol w:w="109"/>
        <w:gridCol w:w="109"/>
        <w:gridCol w:w="109"/>
        <w:gridCol w:w="211"/>
        <w:gridCol w:w="793"/>
        <w:gridCol w:w="117"/>
        <w:gridCol w:w="117"/>
        <w:gridCol w:w="117"/>
        <w:gridCol w:w="117"/>
        <w:gridCol w:w="211"/>
        <w:gridCol w:w="793"/>
        <w:gridCol w:w="117"/>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280,543 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restructuring charges (Note 12)</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earnings (loss) per share:</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0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9290" w:type="dxa"/>
        <w:jc w:val="center"/>
        <w:tblInd w:w="0" w:type="dxa"/>
        <w:tblLayout w:type="fixed"/>
        <w:tblCellMar>
          <w:top w:w="28" w:type="dxa"/>
          <w:left w:w="28" w:type="dxa"/>
          <w:bottom w:w="28" w:type="dxa"/>
          <w:right w:w="28" w:type="dxa"/>
        </w:tblCellMar>
      </w:tblPr>
      <w:tblGrid>
        <w:gridCol w:w="1316"/>
        <w:gridCol w:w="1161"/>
        <w:gridCol w:w="1168"/>
        <w:gridCol w:w="239"/>
        <w:gridCol w:w="770"/>
        <w:gridCol w:w="133"/>
        <w:gridCol w:w="133"/>
        <w:gridCol w:w="133"/>
        <w:gridCol w:w="133"/>
        <w:gridCol w:w="239"/>
        <w:gridCol w:w="770"/>
        <w:gridCol w:w="133"/>
        <w:gridCol w:w="109"/>
        <w:gridCol w:w="109"/>
        <w:gridCol w:w="109"/>
        <w:gridCol w:w="213"/>
        <w:gridCol w:w="785"/>
        <w:gridCol w:w="118"/>
        <w:gridCol w:w="118"/>
        <w:gridCol w:w="118"/>
        <w:gridCol w:w="118"/>
        <w:gridCol w:w="213"/>
        <w:gridCol w:w="785"/>
        <w:gridCol w:w="167"/>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(21,793)</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following summarizes the changes in total equity for the nine months ended September 30, 2025:</w:t>
      </w:r>
    </w:p>
    <w:tbl>
      <w:tblPr>
        <w:tblW w:w="11250" w:type="dxa"/>
        <w:jc w:val="left"/>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(21,721)</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before="10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following summarizes the changes in total equity for the nine months ended September 30, 2024:</w:t>
      </w:r>
    </w:p>
    <w:tbl>
      <w:tblPr>
        <w:tblW w:w="11880" w:type="dxa"/>
        <w:jc w:val="center"/>
        <w:tblInd w:w="0" w:type="dxa"/>
        <w:tblLayout w:type="fixed"/>
        <w:tblCellMar>
          <w:top w:w="28" w:type="dxa"/>
          <w:left w:w="28" w:type="dxa"/>
          <w:bottom w:w="28" w:type="dxa"/>
          <w:right w:w="28" w:type="dxa"/>
        </w:tblCellMar>
      </w:tblPr>
      <w:tblGrid>
        <w:gridCol w:w="559"/>
        <w:gridCol w:w="268"/>
        <w:gridCol w:w="269"/>
        <w:gridCol w:w="360"/>
        <w:gridCol w:w="361"/>
        <w:gridCol w:w="196"/>
        <w:gridCol w:w="109"/>
        <w:gridCol w:w="109"/>
        <w:gridCol w:w="109"/>
        <w:gridCol w:w="211"/>
        <w:gridCol w:w="466"/>
        <w:gridCol w:w="109"/>
        <w:gridCol w:w="109"/>
        <w:gridCol w:w="109"/>
        <w:gridCol w:w="109"/>
        <w:gridCol w:w="367"/>
        <w:gridCol w:w="369"/>
        <w:gridCol w:w="196"/>
        <w:gridCol w:w="109"/>
        <w:gridCol w:w="109"/>
        <w:gridCol w:w="109"/>
        <w:gridCol w:w="211"/>
        <w:gridCol w:w="841"/>
        <w:gridCol w:w="109"/>
        <w:gridCol w:w="109"/>
        <w:gridCol w:w="109"/>
        <w:gridCol w:w="109"/>
        <w:gridCol w:w="211"/>
        <w:gridCol w:w="826"/>
        <w:gridCol w:w="109"/>
        <w:gridCol w:w="109"/>
        <w:gridCol w:w="109"/>
        <w:gridCol w:w="109"/>
        <w:gridCol w:w="242"/>
        <w:gridCol w:w="847"/>
        <w:gridCol w:w="127"/>
        <w:gridCol w:w="109"/>
        <w:gridCol w:w="109"/>
        <w:gridCol w:w="109"/>
        <w:gridCol w:w="211"/>
        <w:gridCol w:w="82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2024</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625" w:type="dxa"/>
        <w:jc w:val="left"/>
        <w:tblInd w:w="0" w:type="dxa"/>
        <w:tblLayout w:type="fixed"/>
        <w:tblCellMar>
          <w:top w:w="28" w:type="dxa"/>
          <w:left w:w="28" w:type="dxa"/>
          <w:bottom w:w="28" w:type="dxa"/>
          <w:right w:w="28" w:type="dxa"/>
        </w:tblCellMar>
      </w:tblPr>
      <w:tblGrid>
        <w:gridCol w:w="2532"/>
        <w:gridCol w:w="2220"/>
        <w:gridCol w:w="2238"/>
        <w:gridCol w:w="213"/>
        <w:gridCol w:w="785"/>
        <w:gridCol w:w="118"/>
        <w:gridCol w:w="118"/>
        <w:gridCol w:w="118"/>
        <w:gridCol w:w="118"/>
        <w:gridCol w:w="213"/>
        <w:gridCol w:w="785"/>
        <w:gridCol w:w="167"/>
      </w:tblGrid>
      <w:tr>
        <w:trPr/>
        <w:tc>
          <w:tcPr>
            <w:tcW w:w="253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for)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contract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Blue Chip Swap securities (Note 15)</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Blue Chip Swap securities (Note 15)</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intangible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lines of credit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lines of credit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rates on cash and cash equivalents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as described in Note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"UEI," "we," "us," and "our" refer to Universal Electronics Inc. and its subsidiaries, unless the context indicates to the contrary.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for the three and nine months ended September 30, 2025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 exception of the following policy, our significant accounting policies are unchanged from those disclosed in Note 2 to the consolidated financial statements included in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two extensions at the then current market rate. Lease expense for lease payments is recognized on a straight-line basis over the lease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we commit to a plan to abandon an operating lease at a future date, the amortization of the operating lease ROU asset and depreciation of the associated leasehold improvements are accelerated based on the revised useful life of the operating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for further information concerning our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(the "FASB") issued Accounting Standards Update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adoption of this ASU is not expected to have a material impact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This guidance is effective for annual periods beginning after December 15, 2024, and therefore will be effective beginning with our financial statements issued for the year ending December 31, 2025. We are currently evaluating the impact of adopting this guidance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Cash and Cash Equivalents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held in the following geographic regions:</w:t>
      </w:r>
    </w:p>
    <w:tbl>
      <w:tblPr>
        <w:tblW w:w="6431" w:type="dxa"/>
        <w:jc w:val="left"/>
        <w:tblInd w:w="0" w:type="dxa"/>
        <w:tblLayout w:type="fixed"/>
        <w:tblCellMar>
          <w:top w:w="28" w:type="dxa"/>
          <w:left w:w="28" w:type="dxa"/>
          <w:bottom w:w="28" w:type="dxa"/>
          <w:right w:w="28" w:type="dxa"/>
        </w:tblCellMar>
      </w:tblPr>
      <w:tblGrid>
        <w:gridCol w:w="1089"/>
        <w:gridCol w:w="962"/>
        <w:gridCol w:w="964"/>
        <w:gridCol w:w="313"/>
        <w:gridCol w:w="1070"/>
        <w:gridCol w:w="161"/>
        <w:gridCol w:w="109"/>
        <w:gridCol w:w="109"/>
        <w:gridCol w:w="109"/>
        <w:gridCol w:w="300"/>
        <w:gridCol w:w="1026"/>
        <w:gridCol w:w="219"/>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 ("PRC")</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the PRC)</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Revenue and 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Details    </w:t>
      </w:r>
    </w:p>
    <w:p>
      <w:pPr>
        <w:pStyle w:val="TextBody"/>
        <w:bidi w:val="0"/>
        <w:spacing w:before="0" w:after="6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pattern of revenue recognition was as follows:</w:t>
      </w:r>
    </w:p>
    <w:tbl>
      <w:tblPr>
        <w:tblW w:w="9677" w:type="dxa"/>
        <w:jc w:val="center"/>
        <w:tblInd w:w="0" w:type="dxa"/>
        <w:tblLayout w:type="fixed"/>
        <w:tblCellMar>
          <w:top w:w="28" w:type="dxa"/>
          <w:left w:w="28" w:type="dxa"/>
          <w:bottom w:w="28" w:type="dxa"/>
          <w:right w:w="28" w:type="dxa"/>
        </w:tblCellMar>
      </w:tblPr>
      <w:tblGrid>
        <w:gridCol w:w="1447"/>
        <w:gridCol w:w="1277"/>
        <w:gridCol w:w="1280"/>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at a point in time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over time</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channel were as follows:</w:t>
      </w:r>
    </w:p>
    <w:tbl>
      <w:tblPr>
        <w:tblW w:w="7652" w:type="dxa"/>
        <w:jc w:val="center"/>
        <w:tblInd w:w="0" w:type="dxa"/>
        <w:tblLayout w:type="fixed"/>
        <w:tblCellMar>
          <w:top w:w="28" w:type="dxa"/>
          <w:left w:w="28" w:type="dxa"/>
          <w:bottom w:w="28" w:type="dxa"/>
          <w:right w:w="28" w:type="dxa"/>
        </w:tblCellMar>
      </w:tblPr>
      <w:tblGrid>
        <w:gridCol w:w="715"/>
        <w:gridCol w:w="631"/>
        <w:gridCol w:w="633"/>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Connected home </w:t>
            </w:r>
            <w:r>
              <w:rPr>
                <w:rFonts w:ascii="Times New Roman;serif" w:hAnsi="Times New Roman;serif"/>
                <w:b w:val="false"/>
                <w:color w:val="000000"/>
                <w:sz w:val="13"/>
              </w:rPr>
              <w:t>(1)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Home entertainment </w:t>
            </w:r>
            <w:r>
              <w:rPr>
                <w:rFonts w:ascii="Times New Roman;serif" w:hAnsi="Times New Roman;serif"/>
                <w:b w:val="false"/>
                <w:color w:val="000000"/>
                <w:sz w:val="13"/>
              </w:rPr>
              <w:t>(2)</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connected home channel represents climate control, smart home and security product sales sold primarily to HVAC, security, home automation and home appliance customers.</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geographic area were as follows:</w:t>
      </w:r>
    </w:p>
    <w:tbl>
      <w:tblPr>
        <w:tblW w:w="7562" w:type="dxa"/>
        <w:jc w:val="left"/>
        <w:tblInd w:w="0" w:type="dxa"/>
        <w:tblLayout w:type="fixed"/>
        <w:tblCellMar>
          <w:top w:w="28" w:type="dxa"/>
          <w:left w:w="28" w:type="dxa"/>
          <w:bottom w:w="28" w:type="dxa"/>
          <w:right w:w="28" w:type="dxa"/>
        </w:tblCellMar>
      </w:tblPr>
      <w:tblGrid>
        <w:gridCol w:w="682"/>
        <w:gridCol w:w="602"/>
        <w:gridCol w:w="605"/>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PRC)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60,837</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26,888</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Specific identification of the customer billing location was the basis used for attributing revenues from external customers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geographic areas.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Accounts receivable, net were as follows:</w:t>
      </w:r>
    </w:p>
    <w:tbl>
      <w:tblPr>
        <w:tblW w:w="5739" w:type="dxa"/>
        <w:jc w:val="center"/>
        <w:tblInd w:w="0" w:type="dxa"/>
        <w:tblLayout w:type="fixed"/>
        <w:tblCellMar>
          <w:top w:w="28" w:type="dxa"/>
          <w:left w:w="28" w:type="dxa"/>
          <w:bottom w:w="28" w:type="dxa"/>
          <w:right w:w="28" w:type="dxa"/>
        </w:tblCellMar>
      </w:tblPr>
      <w:tblGrid>
        <w:gridCol w:w="840"/>
        <w:gridCol w:w="741"/>
        <w:gridCol w:w="743"/>
        <w:gridCol w:w="313"/>
        <w:gridCol w:w="1070"/>
        <w:gridCol w:w="161"/>
        <w:gridCol w:w="109"/>
        <w:gridCol w:w="109"/>
        <w:gridCol w:w="109"/>
        <w:gridCol w:w="273"/>
        <w:gridCol w:w="1072"/>
        <w:gridCol w:w="199"/>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gross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net </w:t>
            </w:r>
            <w:r>
              <w:rPr>
                <w:rFonts w:ascii="Times New Roman;serif" w:hAnsi="Times New Roman;serif"/>
                <w:b w:val="false"/>
                <w:color w:val="000000"/>
                <w:sz w:val="13"/>
              </w:rPr>
              <w:t>(2)</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Other accounts receivable is primarily comprised of supplier, supplier rebate and interest receivables.</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Accounts receivable, net at December 31, 2023 was $112.6 million.</w:t>
      </w:r>
    </w:p>
    <w:p>
      <w:pPr>
        <w:pStyle w:val="TextBody"/>
        <w:bidi w:val="0"/>
        <w:spacing w:before="0" w:after="0"/>
        <w:jc w:val="both"/>
        <w:rPr/>
      </w:pPr>
      <w:r>
        <w:rPr/>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were as follows:</w:t>
      </w:r>
    </w:p>
    <w:tbl>
      <w:tblPr>
        <w:tblW w:w="6372" w:type="dxa"/>
        <w:jc w:val="center"/>
        <w:tblInd w:w="0" w:type="dxa"/>
        <w:tblLayout w:type="fixed"/>
        <w:tblCellMar>
          <w:top w:w="28" w:type="dxa"/>
          <w:left w:w="28" w:type="dxa"/>
          <w:bottom w:w="28" w:type="dxa"/>
          <w:right w:w="28" w:type="dxa"/>
        </w:tblCellMar>
      </w:tblPr>
      <w:tblGrid>
        <w:gridCol w:w="1350"/>
        <w:gridCol w:w="1191"/>
        <w:gridCol w:w="1194"/>
        <w:gridCol w:w="266"/>
        <w:gridCol w:w="776"/>
        <w:gridCol w:w="137"/>
        <w:gridCol w:w="137"/>
        <w:gridCol w:w="137"/>
        <w:gridCol w:w="137"/>
        <w:gridCol w:w="266"/>
        <w:gridCol w:w="587"/>
        <w:gridCol w:w="19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Write-offs/Foreign exchange effects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were $5.7 million and $10.3 million at September 30, 2025 and December 31, 2024, respectively. The change in balances between periods is due to the fluctuation of custom product inventory balances for which we have an enforceable right to payment for performance completed to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contract liabilities were as follows: </w:t>
      </w:r>
    </w:p>
    <w:tbl>
      <w:tblPr>
        <w:tblW w:w="8287" w:type="dxa"/>
        <w:jc w:val="left"/>
        <w:tblInd w:w="0" w:type="dxa"/>
        <w:tblLayout w:type="fixed"/>
        <w:tblCellMar>
          <w:top w:w="28" w:type="dxa"/>
          <w:left w:w="28" w:type="dxa"/>
          <w:bottom w:w="28" w:type="dxa"/>
          <w:right w:w="28" w:type="dxa"/>
        </w:tblCellMar>
      </w:tblPr>
      <w:tblGrid>
        <w:gridCol w:w="954"/>
        <w:gridCol w:w="842"/>
        <w:gridCol w:w="844"/>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sales to the following customers totaled more than 10% of our net sales:</w:t>
      </w:r>
      <w:r>
        <w:rPr>
          <w:color w:val="000000"/>
        </w:rPr>
        <w:t> </w:t>
      </w:r>
    </w:p>
    <w:tbl>
      <w:tblPr>
        <w:tblW w:w="8119" w:type="dxa"/>
        <w:jc w:val="left"/>
        <w:tblInd w:w="0" w:type="dxa"/>
        <w:tblLayout w:type="fixed"/>
        <w:tblCellMar>
          <w:top w:w="28" w:type="dxa"/>
          <w:left w:w="28" w:type="dxa"/>
          <w:bottom w:w="28" w:type="dxa"/>
          <w:right w:w="28" w:type="dxa"/>
        </w:tblCellMar>
      </w:tblPr>
      <w:tblGrid>
        <w:gridCol w:w="820"/>
        <w:gridCol w:w="720"/>
        <w:gridCol w:w="724"/>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Sony Corporation</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Sales associated with this customer did not total more than 10% of our net sales for the indicated period.</w:t>
      </w:r>
    </w:p>
    <w:p>
      <w:pPr>
        <w:pStyle w:val="TextBody"/>
        <w:bidi w:val="0"/>
        <w:spacing w:before="100" w:after="283"/>
        <w:ind w:left="0" w:right="0" w:hanging="360"/>
        <w:jc w:val="both"/>
        <w:rPr/>
      </w:pPr>
      <w:r>
        <w:rPr/>
      </w:r>
    </w:p>
    <w:tbl>
      <w:tblPr>
        <w:tblW w:w="8119" w:type="dxa"/>
        <w:jc w:val="left"/>
        <w:tblInd w:w="0" w:type="dxa"/>
        <w:tblLayout w:type="fixed"/>
        <w:tblCellMar>
          <w:top w:w="28" w:type="dxa"/>
          <w:left w:w="28" w:type="dxa"/>
          <w:bottom w:w="28" w:type="dxa"/>
          <w:right w:w="28" w:type="dxa"/>
        </w:tblCellMar>
      </w:tblPr>
      <w:tblGrid>
        <w:gridCol w:w="820"/>
        <w:gridCol w:w="720"/>
        <w:gridCol w:w="724"/>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Sales associated with this customer did not total more than 10% of our net sales for the indicated period.</w:t>
      </w:r>
    </w:p>
    <w:p>
      <w:pPr>
        <w:pStyle w:val="TextBody"/>
        <w:bidi w:val="0"/>
        <w:spacing w:before="100" w:after="283"/>
        <w:ind w:left="0" w:right="0" w:hanging="36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Trade receivables associated with this significant customer that totaled more than 10% of our accounts receivable, net was as follows:</w:t>
      </w:r>
    </w:p>
    <w:tbl>
      <w:tblPr>
        <w:tblW w:w="10205" w:type="dxa"/>
        <w:jc w:val="left"/>
        <w:tblInd w:w="0" w:type="dxa"/>
        <w:tblLayout w:type="fixed"/>
        <w:tblCellMar>
          <w:top w:w="28" w:type="dxa"/>
          <w:left w:w="28" w:type="dxa"/>
          <w:bottom w:w="28" w:type="dxa"/>
          <w:right w:w="28" w:type="dxa"/>
        </w:tblCellMar>
      </w:tblPr>
      <w:tblGrid>
        <w:gridCol w:w="805"/>
        <w:gridCol w:w="695"/>
        <w:gridCol w:w="669"/>
        <w:gridCol w:w="217"/>
        <w:gridCol w:w="744"/>
        <w:gridCol w:w="112"/>
        <w:gridCol w:w="109"/>
        <w:gridCol w:w="109"/>
        <w:gridCol w:w="109"/>
        <w:gridCol w:w="488"/>
        <w:gridCol w:w="488"/>
        <w:gridCol w:w="1215"/>
        <w:gridCol w:w="109"/>
        <w:gridCol w:w="109"/>
        <w:gridCol w:w="109"/>
        <w:gridCol w:w="356"/>
        <w:gridCol w:w="356"/>
        <w:gridCol w:w="358"/>
        <w:gridCol w:w="158"/>
        <w:gridCol w:w="158"/>
        <w:gridCol w:w="158"/>
        <w:gridCol w:w="730"/>
        <w:gridCol w:w="730"/>
        <w:gridCol w:w="732"/>
        <w:gridCol w:w="109"/>
        <w:gridCol w:w="109"/>
        <w:gridCol w:w="164"/>
      </w:tblGrid>
      <w:tr>
        <w:trPr/>
        <w:tc>
          <w:tcPr>
            <w:tcW w:w="8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Trade receivables associated with this customer did not total more than 10% of our accounts receivable, net for the indicated period.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Inventories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Inventories were as follows:</w:t>
      </w:r>
    </w:p>
    <w:tbl>
      <w:tblPr>
        <w:tblW w:w="4840" w:type="dxa"/>
        <w:jc w:val="left"/>
        <w:tblInd w:w="0" w:type="dxa"/>
        <w:tblLayout w:type="fixed"/>
        <w:tblCellMar>
          <w:top w:w="28" w:type="dxa"/>
          <w:left w:w="28" w:type="dxa"/>
          <w:bottom w:w="28" w:type="dxa"/>
          <w:right w:w="28" w:type="dxa"/>
        </w:tblCellMar>
      </w:tblPr>
      <w:tblGrid>
        <w:gridCol w:w="514"/>
        <w:gridCol w:w="454"/>
        <w:gridCol w:w="456"/>
        <w:gridCol w:w="313"/>
        <w:gridCol w:w="1070"/>
        <w:gridCol w:w="161"/>
        <w:gridCol w:w="109"/>
        <w:gridCol w:w="109"/>
        <w:gridCol w:w="109"/>
        <w:gridCol w:w="300"/>
        <w:gridCol w:w="1026"/>
        <w:gridCol w:w="219"/>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Supplier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Purchases from the following supplier totaled more than 10% of our total inventory purchases:</w:t>
      </w:r>
    </w:p>
    <w:tbl>
      <w:tblPr>
        <w:tblW w:w="10205" w:type="dxa"/>
        <w:jc w:val="left"/>
        <w:tblInd w:w="0" w:type="dxa"/>
        <w:tblLayout w:type="fixed"/>
        <w:tblCellMar>
          <w:top w:w="28" w:type="dxa"/>
          <w:left w:w="28" w:type="dxa"/>
          <w:bottom w:w="28" w:type="dxa"/>
          <w:right w:w="28" w:type="dxa"/>
        </w:tblCellMar>
      </w:tblPr>
      <w:tblGrid>
        <w:gridCol w:w="811"/>
        <w:gridCol w:w="713"/>
        <w:gridCol w:w="715"/>
        <w:gridCol w:w="241"/>
        <w:gridCol w:w="704"/>
        <w:gridCol w:w="126"/>
        <w:gridCol w:w="109"/>
        <w:gridCol w:w="109"/>
        <w:gridCol w:w="109"/>
        <w:gridCol w:w="509"/>
        <w:gridCol w:w="495"/>
        <w:gridCol w:w="1241"/>
        <w:gridCol w:w="109"/>
        <w:gridCol w:w="109"/>
        <w:gridCol w:w="109"/>
        <w:gridCol w:w="356"/>
        <w:gridCol w:w="356"/>
        <w:gridCol w:w="358"/>
        <w:gridCol w:w="109"/>
        <w:gridCol w:w="109"/>
        <w:gridCol w:w="109"/>
        <w:gridCol w:w="739"/>
        <w:gridCol w:w="739"/>
        <w:gridCol w:w="742"/>
        <w:gridCol w:w="109"/>
        <w:gridCol w:w="109"/>
        <w:gridCol w:w="161"/>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Qorvo International Pte Ltd.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Purchases associated with this supplier did not total more than 10% of our total inventory purchases for the indicated period.</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purchases from suppliers that totaled more than 10% of our total inventory purchases for the nine months ended September 30, 2025 and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trade payable balances to suppliers that totaled more than 10% of our total accounts payable at September 30,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Long-lived Tangible Assets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Long-lived tangible assets by geographic area, which include property, plant, and equipment, net ("PP&amp;E") and operating lease right-of-use assets, were as follows:</w:t>
      </w:r>
    </w:p>
    <w:tbl>
      <w:tblPr>
        <w:tblW w:w="6100" w:type="dxa"/>
        <w:jc w:val="left"/>
        <w:tblInd w:w="0" w:type="dxa"/>
        <w:tblLayout w:type="fixed"/>
        <w:tblCellMar>
          <w:top w:w="28" w:type="dxa"/>
          <w:left w:w="28" w:type="dxa"/>
          <w:bottom w:w="28" w:type="dxa"/>
          <w:right w:w="28" w:type="dxa"/>
        </w:tblCellMar>
      </w:tblPr>
      <w:tblGrid>
        <w:gridCol w:w="969"/>
        <w:gridCol w:w="856"/>
        <w:gridCol w:w="859"/>
        <w:gridCol w:w="313"/>
        <w:gridCol w:w="1070"/>
        <w:gridCol w:w="161"/>
        <w:gridCol w:w="109"/>
        <w:gridCol w:w="109"/>
        <w:gridCol w:w="109"/>
        <w:gridCol w:w="300"/>
        <w:gridCol w:w="1026"/>
        <w:gridCol w:w="219"/>
      </w:tblGrid>
      <w:tr>
        <w:trPr/>
        <w:tc>
          <w:tcPr>
            <w:tcW w:w="9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tangible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PP&amp;E are shown net of accumulated depreciation of $166.5 million and $156.8 million at September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was $2.2 million and $3.0 million for the three months ended September 30, 2025 and 2024, respectively. Depreciation expense was $7.3 million and $9.7 million for the nine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to evaluate our global manufacturing footprint as part of our overall cost optimization and return to profitability strategy and, in July 2025, we decided to cease all production activities and began to shut down our Mexico manufacturing facility. As a result of this decision, we recorded impairment charges of $1.2 million in cost of sales on our consolidated statements of operations during the three and nine months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Intangible Assets,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table excludes the gross value of fully amortized intangible assets totaling $52.3 million and $49.3 million at September 30, 2025 and December 31, 2024, respectively.</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9382" w:type="dxa"/>
        <w:jc w:val="left"/>
        <w:tblInd w:w="0" w:type="dxa"/>
        <w:tblLayout w:type="fixed"/>
        <w:tblCellMar>
          <w:top w:w="28" w:type="dxa"/>
          <w:left w:w="28" w:type="dxa"/>
          <w:bottom w:w="28" w:type="dxa"/>
          <w:right w:w="28" w:type="dxa"/>
        </w:tblCellMar>
      </w:tblPr>
      <w:tblGrid>
        <w:gridCol w:w="1348"/>
        <w:gridCol w:w="1189"/>
        <w:gridCol w:w="1198"/>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Estimated future annual amortization expense related to our intangible assets at September 30, 2025,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3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operating lease agreements for automobiles, offices and manufacturing facilities throughout the world. At September 30, 2025, our operating leases had remaining lease terms of up to 35 years, including any reasonably probable extensions.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balances within our consolidated balance sheets were as follows:</w:t>
      </w:r>
    </w:p>
    <w:tbl>
      <w:tblPr>
        <w:tblW w:w="6641" w:type="dxa"/>
        <w:jc w:val="center"/>
        <w:tblInd w:w="0" w:type="dxa"/>
        <w:tblLayout w:type="fixed"/>
        <w:tblCellMar>
          <w:top w:w="28" w:type="dxa"/>
          <w:left w:w="28" w:type="dxa"/>
          <w:bottom w:w="28" w:type="dxa"/>
          <w:right w:w="28" w:type="dxa"/>
        </w:tblCellMar>
      </w:tblPr>
      <w:tblGrid>
        <w:gridCol w:w="1166"/>
        <w:gridCol w:w="1028"/>
        <w:gridCol w:w="1031"/>
        <w:gridCol w:w="313"/>
        <w:gridCol w:w="1070"/>
        <w:gridCol w:w="161"/>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expense, operating lease cash flows and supplemental cash flow information were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41"/>
        <w:gridCol w:w="1535"/>
        <w:gridCol w:w="1547"/>
        <w:gridCol w:w="242"/>
        <w:gridCol w:w="710"/>
        <w:gridCol w:w="125"/>
        <w:gridCol w:w="125"/>
        <w:gridCol w:w="125"/>
        <w:gridCol w:w="125"/>
        <w:gridCol w:w="242"/>
        <w:gridCol w:w="710"/>
        <w:gridCol w:w="125"/>
        <w:gridCol w:w="109"/>
        <w:gridCol w:w="109"/>
        <w:gridCol w:w="109"/>
        <w:gridCol w:w="236"/>
        <w:gridCol w:w="691"/>
        <w:gridCol w:w="122"/>
        <w:gridCol w:w="122"/>
        <w:gridCol w:w="122"/>
        <w:gridCol w:w="122"/>
        <w:gridCol w:w="236"/>
        <w:gridCol w:w="691"/>
        <w:gridCol w:w="184"/>
      </w:tblGrid>
      <w:tr>
        <w:trPr/>
        <w:tc>
          <w:tcPr>
            <w:tcW w:w="174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8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23"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 from variable and short-term lease costs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continued evaluation of our global manufacturing footprint and our overall cost optimization and return to profitability strategy, we made the decision to cease production activities and shut down our manufacturing facility in Mexico and to vacate and abandon our office space in Carlsbad, California. As a result of these actions, we reassessed our Mexico factory lease and recorded a decrease of $0.7 million and $0.8 million to our Mexico operating lease ROU asset and lease liability, respectively, during the three months ended September 30, 2025. In addition, the estimated useful lives of the Mexico and Carlsbad related ROU assets were revised to reflect shorter lease terms than those originally estimated at lease inception. A change in the estimated useful life of a long-lived asset represents a change in accounting estimate and is accounted for prospectively. The Mexico ROU asset is expected to be fully amortized by December 31, 2025. The Carlsbad ROU asset was fully amortized as of September 30, 2025 and we recognized accelerated amortization of $1.3 million during the three and nine months ended September 30, 2025. </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liability term and the weighted average discount rate were as follows:</w:t>
      </w:r>
    </w:p>
    <w:tbl>
      <w:tblPr>
        <w:tblW w:w="7362" w:type="dxa"/>
        <w:jc w:val="center"/>
        <w:tblInd w:w="0" w:type="dxa"/>
        <w:tblLayout w:type="fixed"/>
        <w:tblCellMar>
          <w:top w:w="28" w:type="dxa"/>
          <w:left w:w="28" w:type="dxa"/>
          <w:bottom w:w="28" w:type="dxa"/>
          <w:right w:w="28" w:type="dxa"/>
        </w:tblCellMar>
      </w:tblPr>
      <w:tblGrid>
        <w:gridCol w:w="1430"/>
        <w:gridCol w:w="1253"/>
        <w:gridCol w:w="1262"/>
        <w:gridCol w:w="344"/>
        <w:gridCol w:w="344"/>
        <w:gridCol w:w="857"/>
        <w:gridCol w:w="109"/>
        <w:gridCol w:w="109"/>
        <w:gridCol w:w="109"/>
        <w:gridCol w:w="314"/>
        <w:gridCol w:w="314"/>
        <w:gridCol w:w="91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liability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undiscounted cash flows for each of the first five years and thereafter to the operating lease liabilities recognized in our consolidated balance sheets at September 30, 2025. The reconciliation excludes short-term leases that are not recorded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3914" w:type="dxa"/>
        <w:jc w:val="center"/>
        <w:tblInd w:w="0" w:type="dxa"/>
        <w:tblLayout w:type="fixed"/>
        <w:tblCellMar>
          <w:top w:w="28" w:type="dxa"/>
          <w:left w:w="28" w:type="dxa"/>
          <w:bottom w:w="28" w:type="dxa"/>
          <w:right w:w="28" w:type="dxa"/>
        </w:tblCellMar>
      </w:tblPr>
      <w:tblGrid>
        <w:gridCol w:w="840"/>
        <w:gridCol w:w="741"/>
        <w:gridCol w:w="743"/>
        <w:gridCol w:w="309"/>
        <w:gridCol w:w="1056"/>
        <w:gridCol w:w="225"/>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3 months)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we did not have any operating leases that had not yet commenced.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Lines of Credit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 Line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16, 2024, we executed an amendment to our Second Amended and Restated Credit Agreement ("Second Amended Credit Agreement") with U.S. Bank National Association, which provides for a revolving line of credit ("U.S. Credit Line") through April 30, 2026. We expect to renew the U.S. Credit Line prior to its expiration; however, no assurance can be given that future financing will be available or, if available, that we will be offered terms satisfactory to us. The U.S.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Credit Line has a maximum availability of up to $75.0 million, subject to meeting certain financial conditions, including an accounts receivable coverage ratio ("AR Ratio"). This AR Ratio is calculated monthly and adjusts the current U.S. Credit Line total availability. At September 30, 2025, the U.S. Credit Line total availability was $54.1 million based upon the AR Ratio. At October 23, 2025, the U.S. Credit Line total availability was $50.4 million based upon the AR Ratio.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was $0.5 million at September 30, 2025 and none at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Amended Credit Agreement, we pay interest on the U.S. Credit Line based on the Secured Overnight Financing Rate ("SOFR") plus a 3.00% margin. The Second Amended Credit Agreement also contains a facility fee of 0.25%. The interest rates in effect at September 30, 2025 and December 31, 2024 were 7.25% and 7.31%,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includes financial covenants and contains other customary affirmative and negative covenants and events of default. Subsequent to December 31, 2024, our covenants are based upon a minimum fixed charge coverage ratio and a maximum cash flow leverage ratio. We were in compliance with the covenants and conditions of the Second Amended Credit Agreement at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none and $26.0 million outstanding under the U.S. Credit Line, respectively. At September 30, 2025, our remaining availability under our U.S. Credit Line was $53.6 million. Our total interest expense on borrowings under the U.S. Credit Line was $0.4 million and $1.0 million during the three months ended September 30, 2025 and 2024, respectively. Our total interest expense on borrowings under the U.S. Credit Line was $1.4 million and $3.5 million during the nine months ended September 30, 2025 and 2024, respectively. Our total facility fee expense under the U.S. Credit Line was $48 thousand and $63 thousand during the three months ended September 30, 2025 and 2024, respectively. Our total facility fee expense under the U.S. Credit Line was $142 thousand and $140 thousand during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China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extends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China Credit Line had a maximum availability of up to RMB 130.0 million (approximately $18.3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China Credit Line are reduced by the balance of any outstanding letters of credit, of which there were none at September 30, 2025 and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China Credit Line are secured by GTY's buildings and land use rights.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Line of Credit Agreement, we pay interest on the China Credit Line based on the one-year rate from the National Interbank Funding Center less a 0.1% margin. There are no associated commitment fees on the China Credit Line. The interest rates in effect at September 30, 2025 and December 31, 2024 were 2.92% and 3.07%,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RMB 130.0 million (approximately $18.3 million) and RMB 80.0 million (approximately $11.2 million), respectively, outstanding under the China Credit Line. At September 30, 2025, we had no remaining availability under our China Credit Line. Our total interest expense on borrowings under the China Credit Line was RMB 0.8 million (approximately $0.1 million) and RMB 21 thousand (approximately $3 thousand) during the three months ended September 30, 2025 and 2024, respectively. Our total interest expense on borrowings under the China Credit Line was RMB $2.1 million (approximately $0.3 million) and RMB 21 thousand (approximately $3 thousand) during the nine months ended September 30, 2025 and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income tax expense of $2.6 million and $2.5 million for the three months ended September 30, 2025 and 2024, respectively. We recorded income tax expense of $6.6 million and $6.0 million for the nine months ended September 30, 2025 and 2024, respectively. The income tax expense recorded for the nine months ended September 30, 2025 and September 30, 2024 is primarily attributable to the mix of pre-tax income among jurisdictions, including losses not benefited as a result of a valuation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 and the 21.0% U.S. federal statutory rate for the nine months ended September 30, 2025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2024,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2024, we had a three-year cumulative operating loss for our U.S. operations and have accordingly provided a valuation allowance on our U.S. federal and state deferred tax assets. During the three months ended September 30, 2025, there was no change to our U.S. valuation allowance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we had gross unrecognized tax benefits of $3.7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classify interest and penalties as a component of tax expense. Accrued interest and penalties are immaterial at September 30, 2025 and December 31, 2024 and are included in unrecognized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was enacted in the United States. H.R. 1 includes significant provisions, including the permanent extension of certain expiring provisions of the Tax Cuts and Jobs Act of 2017, modifications to the U.S. international tax framework, and the restoration of favorable tax treatment for certain business provisions. This legislation has multiple effective dates, with certain provisions becoming effective beginning in 2025 and others implemented through 2027. Due to the U.S. valuation allowance position, the legislation is not expected to have a material impact on our estimated annual effective tax rate or cash tax position.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Accrued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we executed a global reduction in force as part of our ongoing cost optimization and return to profitability strategy. The reductions primarily impacted roles within the engineering and research and development functions. As a result, we recognized severance expenses of $1.7 million and $2.3 million for the three and nine months ended September 30, 2025, respectively, which are included in selling, general and administrative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accrued compensation were as follows:</w:t>
      </w:r>
    </w:p>
    <w:tbl>
      <w:tblPr>
        <w:tblW w:w="5845" w:type="dxa"/>
        <w:jc w:val="left"/>
        <w:tblInd w:w="0" w:type="dxa"/>
        <w:tblLayout w:type="fixed"/>
        <w:tblCellMar>
          <w:top w:w="28" w:type="dxa"/>
          <w:left w:w="28" w:type="dxa"/>
          <w:bottom w:w="28" w:type="dxa"/>
          <w:right w:w="28" w:type="dxa"/>
        </w:tblCellMar>
      </w:tblPr>
      <w:tblGrid>
        <w:gridCol w:w="878"/>
        <w:gridCol w:w="775"/>
        <w:gridCol w:w="776"/>
        <w:gridCol w:w="313"/>
        <w:gridCol w:w="1070"/>
        <w:gridCol w:w="161"/>
        <w:gridCol w:w="109"/>
        <w:gridCol w:w="109"/>
        <w:gridCol w:w="109"/>
        <w:gridCol w:w="300"/>
        <w:gridCol w:w="1026"/>
        <w:gridCol w:w="219"/>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salary/wages </w:t>
            </w:r>
            <w:r>
              <w:rPr>
                <w:rFonts w:ascii="Times New Roman;serif" w:hAnsi="Times New Roman;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social insurance </w:t>
            </w:r>
            <w:r>
              <w:rPr>
                <w:rFonts w:ascii="Times New Roman;serif" w:hAnsi="Times New Roman;serif"/>
                <w:b w:val="false"/>
                <w:color w:val="000000"/>
                <w:sz w:val="13"/>
              </w:rPr>
              <w:t>(2)</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vacation/holiday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compensation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At September 30, 2025, this includes $0.5 million and $1.1 million of accrued severance expenses related to our 2025 restructuring plan and global reduction in force, respectively. At December 31, 2024, this includes $0.9 million of accrued severance expenses related to our 2023 - 2024 restructuring plan. See Note 12 for further information related to our restructuring activities.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2025 and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Other Accrued Liabilities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other accrued liabilities were as follows:</w:t>
      </w:r>
    </w:p>
    <w:tbl>
      <w:tblPr>
        <w:tblW w:w="8245" w:type="dxa"/>
        <w:jc w:val="left"/>
        <w:tblInd w:w="0" w:type="dxa"/>
        <w:tblLayout w:type="fixed"/>
        <w:tblCellMar>
          <w:top w:w="28" w:type="dxa"/>
          <w:left w:w="28" w:type="dxa"/>
          <w:bottom w:w="28" w:type="dxa"/>
          <w:right w:w="28" w:type="dxa"/>
        </w:tblCellMar>
      </w:tblPr>
      <w:tblGrid>
        <w:gridCol w:w="1746"/>
        <w:gridCol w:w="1540"/>
        <w:gridCol w:w="1543"/>
        <w:gridCol w:w="313"/>
        <w:gridCol w:w="1070"/>
        <w:gridCol w:w="161"/>
        <w:gridCol w:w="109"/>
        <w:gridCol w:w="109"/>
        <w:gridCol w:w="109"/>
        <w:gridCol w:w="300"/>
        <w:gridCol w:w="1026"/>
        <w:gridCol w:w="219"/>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associated with fulfilled performance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and handling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judgment </w:t>
            </w:r>
            <w:r>
              <w:rPr>
                <w:rFonts w:ascii="Times New Roman;serif" w:hAnsi="Times New Roman;serif"/>
                <w:b w:val="false"/>
                <w:color w:val="000000"/>
                <w:sz w:val="13"/>
              </w:rPr>
              <w:t>(1)</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claims costs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value added taxes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amount relates to the judgment of a lawsuit with an employment agency in the PRC. See Note 12 for further information related to this matter.</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$0.3 million and $0.1 million at September 30, 2025 and December 31, 2024, respectively, associated with the purchase of property, plant and equipment.</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inventory and property, plant and equipment related purchase agreements with suppliers. Certain of these agreements have provisions for a binding forecast (inventory) or non-cancellable purchase orders (inventory and PP&amp;E).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non-cancellable purchase commitments were as follows:</w:t>
      </w:r>
    </w:p>
    <w:p>
      <w:pPr>
        <w:pStyle w:val="TextBody"/>
        <w:bidi w:val="0"/>
        <w:spacing w:before="0" w:after="0"/>
        <w:jc w:val="both"/>
        <w:rPr/>
      </w:pPr>
      <w:r>
        <w:rPr/>
      </w:r>
    </w:p>
    <w:tbl>
      <w:tblPr>
        <w:tblW w:w="6236" w:type="dxa"/>
        <w:jc w:val="left"/>
        <w:tblInd w:w="0" w:type="dxa"/>
        <w:tblLayout w:type="fixed"/>
        <w:tblCellMar>
          <w:top w:w="28" w:type="dxa"/>
          <w:left w:w="28" w:type="dxa"/>
          <w:bottom w:w="28" w:type="dxa"/>
          <w:right w:w="28" w:type="dxa"/>
        </w:tblCellMar>
      </w:tblPr>
      <w:tblGrid>
        <w:gridCol w:w="1018"/>
        <w:gridCol w:w="897"/>
        <w:gridCol w:w="904"/>
        <w:gridCol w:w="348"/>
        <w:gridCol w:w="1017"/>
        <w:gridCol w:w="180"/>
        <w:gridCol w:w="109"/>
        <w:gridCol w:w="109"/>
        <w:gridCol w:w="109"/>
        <w:gridCol w:w="300"/>
        <w:gridCol w:w="1026"/>
        <w:gridCol w:w="219"/>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commitments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PP&amp;E purchase commitments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amounts are expected to be paid within the next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Warranties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liability for product warranty claims costs were as follows:</w:t>
      </w:r>
    </w:p>
    <w:tbl>
      <w:tblPr>
        <w:tblW w:w="6373" w:type="dxa"/>
        <w:jc w:val="left"/>
        <w:tblInd w:w="0" w:type="dxa"/>
        <w:tblLayout w:type="fixed"/>
        <w:tblCellMar>
          <w:top w:w="28" w:type="dxa"/>
          <w:left w:w="28" w:type="dxa"/>
          <w:bottom w:w="28" w:type="dxa"/>
          <w:right w:w="28" w:type="dxa"/>
        </w:tblCellMar>
      </w:tblPr>
      <w:tblGrid>
        <w:gridCol w:w="1350"/>
        <w:gridCol w:w="1191"/>
        <w:gridCol w:w="1194"/>
        <w:gridCol w:w="303"/>
        <w:gridCol w:w="518"/>
        <w:gridCol w:w="156"/>
        <w:gridCol w:w="156"/>
        <w:gridCol w:w="156"/>
        <w:gridCol w:w="156"/>
        <w:gridCol w:w="303"/>
        <w:gridCol w:w="669"/>
        <w:gridCol w:w="221"/>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(in cash or in kind)</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2023 - 2024 Restructuring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our plan to restructure and optimize our manufacturing footprint while reducing our concentration risk in the PRC, we stopped all production activities and began to shut down our southwestern China factory beginning in the third quarter of 2023. In addition, during the fourth quarter of 2024, we stopped production activities and shut down one of our eastern PRC factories. We incurred no severance or other exit costs during the nine months ended September 30, 2025 and $0.1 million of severance and $0.1 million of other exit costs for the nine months ended September 30, 2024. These costs are included within factory restructuring charges on our consolidated statements of operations. We have recognized a total of $4.6 million in factory restructuring charges since September 2023. This factory restructuring was completed in the fourth quarter of 2024 and we do not expect to incur any further expenses associated with this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Mexico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plan to restructure and optimize our factory footprint, we worked to downsize our factory in Mexico due to decreased demand in the U.S. market and our Vietnam facility's ability to supply our North American customers. We leased a smaller facility and reduced our factory headcount during the three months ended September 30, 2024. We incurred no severance or other exit costs during the three months ended September 30, 2025 and revised our severance accrual downward by $0.1 million and incurred $0.2 million of other exit costs during the three months ended September 30, 2024. We incurred no severance or other exit costs during the nine months ended September 30, 2025 and $1.3 million of severance and $1.3 million of other exit costs during the nine months ended September 30, 2024. These costs are included within factory restructuring charges on our consolidated statements of operations. We have recognized a total of $3.0 million in factory restructuring charges since January 2024. This factory restructuring was completed in the fourth quarter of 2024 and we do not expect to incur any further expenses associated with the 2023-2024 restructuring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liabilities are included in accrued compensation, accounts payable and other accrued liabilities on our consolidated balance sheets. Total restructuring activities for the nine months ended September 30, 2025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both"/>
        <w:rPr/>
      </w:pPr>
      <w:r>
        <w:rPr/>
      </w:r>
    </w:p>
    <w:tbl>
      <w:tblPr>
        <w:tblW w:w="9672" w:type="dxa"/>
        <w:jc w:val="left"/>
        <w:tblInd w:w="0" w:type="dxa"/>
        <w:tblLayout w:type="fixed"/>
        <w:tblCellMar>
          <w:top w:w="28" w:type="dxa"/>
          <w:left w:w="28" w:type="dxa"/>
          <w:bottom w:w="28" w:type="dxa"/>
          <w:right w:w="28" w:type="dxa"/>
        </w:tblCellMar>
      </w:tblPr>
      <w:tblGrid>
        <w:gridCol w:w="2229"/>
        <w:gridCol w:w="1965"/>
        <w:gridCol w:w="1971"/>
        <w:gridCol w:w="211"/>
        <w:gridCol w:w="616"/>
        <w:gridCol w:w="109"/>
        <w:gridCol w:w="109"/>
        <w:gridCol w:w="109"/>
        <w:gridCol w:w="109"/>
        <w:gridCol w:w="211"/>
        <w:gridCol w:w="616"/>
        <w:gridCol w:w="109"/>
        <w:gridCol w:w="109"/>
        <w:gridCol w:w="109"/>
        <w:gridCol w:w="109"/>
        <w:gridCol w:w="211"/>
        <w:gridCol w:w="616"/>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w:t>
              <w:br/>
              <w:t>Expense</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inception to date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expected expense to be incurred as of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Restructuring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Mexico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to evaluate our global manufacturing footprint as part of our overall cost optimization and return to profitability strategy. As a result, in July 2025, we decided to cease all production activities and began to shut down our Mexico manufacturing facility. We incurred $0.7 million of severance and $0.1 million of other exit costs during the three and nine months ended September 30, 2025. These costs are included within factory restructuring charges on our consolidated statements of operations. We expect this restructuring to be completed in the fourth quarter of 2025, with total estimated restructuring charges of $1.1 million, including $0.3 million expected to be recognized subsequent to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liabilities are included in accrued compensation, accounts payable and other accrued liabilities on our consolidated balance sheets. Total restructuring activities for the nine months ended September 30, 2025 are as follows: </w:t>
      </w:r>
    </w:p>
    <w:p>
      <w:pPr>
        <w:pStyle w:val="TextBody"/>
        <w:bidi w:val="0"/>
        <w:spacing w:before="0" w:after="0"/>
        <w:jc w:val="both"/>
        <w:rPr/>
      </w:pPr>
      <w:r>
        <w:rPr/>
      </w:r>
    </w:p>
    <w:tbl>
      <w:tblPr>
        <w:tblW w:w="9376" w:type="dxa"/>
        <w:jc w:val="left"/>
        <w:tblInd w:w="0" w:type="dxa"/>
        <w:tblLayout w:type="fixed"/>
        <w:tblCellMar>
          <w:top w:w="28" w:type="dxa"/>
          <w:left w:w="28" w:type="dxa"/>
          <w:bottom w:w="28" w:type="dxa"/>
          <w:right w:w="28" w:type="dxa"/>
        </w:tblCellMar>
      </w:tblPr>
      <w:tblGrid>
        <w:gridCol w:w="2229"/>
        <w:gridCol w:w="1965"/>
        <w:gridCol w:w="1971"/>
        <w:gridCol w:w="211"/>
        <w:gridCol w:w="466"/>
        <w:gridCol w:w="109"/>
        <w:gridCol w:w="109"/>
        <w:gridCol w:w="109"/>
        <w:gridCol w:w="109"/>
        <w:gridCol w:w="225"/>
        <w:gridCol w:w="498"/>
        <w:gridCol w:w="118"/>
        <w:gridCol w:w="109"/>
        <w:gridCol w:w="109"/>
        <w:gridCol w:w="109"/>
        <w:gridCol w:w="236"/>
        <w:gridCol w:w="522"/>
        <w:gridCol w:w="172"/>
      </w:tblGrid>
      <w:tr>
        <w:trPr/>
        <w:tc>
          <w:tcPr>
            <w:tcW w:w="222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w:t>
              <w:br/>
              <w:t>Expense</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inception to date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expected expense to be incurred as of September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Roku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UEI and Roku Inc. ("Roku") and certain of its customers have been in litigation in various forums since 2018 — 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serif" w:hAnsi="Times New Roman;serif"/>
          <w:b w:val="false"/>
          <w:i/>
          <w:color w:val="000000"/>
          <w:sz w:val="20"/>
        </w:rPr>
        <w:t xml:space="preserve">ex parte </w:t>
      </w:r>
      <w:r>
        <w:rPr>
          <w:rFonts w:ascii="Times New Roman;serif" w:hAnsi="Times New Roman;serif"/>
          <w:b w:val="false"/>
          <w:color w:val="000000"/>
          <w:sz w:val="20"/>
        </w:rPr>
        <w:t xml:space="preserve">reexams) and the Patent and Trademark Appeals Board ("PTAB"). The CDCA cases have all been stayed on various grounds since 2019. The 2018 case was stayed in November 2019 pending resolution of Roku initiated PTO and PTAB matters, all of which have since been resolved.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2020 case was also immediately stayed due to UEI's related ITC action against Roku, in which UEI ultimately prevailed when on July 9, 2021, the Administrative Law Judge ("ALJ") issued an initial determination finding Roku in violation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pPr>
      <w:r>
        <w:rPr>
          <w:rFonts w:ascii="Times New Roman;serif" w:hAnsi="Times New Roman;serif"/>
          <w:b w:val="false"/>
          <w:color w:val="000000"/>
          <w:sz w:val="20"/>
        </w:rPr>
        <w:t xml:space="preserve">Section 337. The Commission issued a final determination on November 10, 2021, affirming the ALJ’s finding. The Commission then issued a limited exclusion order and cease and desist order against Roku, which went into effect following the expiration of the Presidential Review Period on January 9, 2022. The Federal Circuit affirmed on January 19, 2024. Following UEI's win and affirmance by the Federal Circuit, Roku sought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and sought cert from the Supreme Court on a domestic industry question. On January 13, 2025, the Supreme Court denied cert.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While this ITC matter has been finally resolved and Roku has no more ability to appeal, we have agreed to continue the stay of the CDCA cases pending the outcome of one final PTAB action involving one of our patents. UEI and Roku participated in a hearing on July 28, 2025 regarding the consolidation of the 2018 and 2020 cases, the stay of the cases, and amending the claims that UEI would be allowed to move forward with a consolidated case by the court if unstayed. On July 29, 2025 the Judge issued an order lifting the stay, consolidating the cases and allowing UEI to move forward on 25 claims in the case. </w:t>
      </w:r>
      <w:r>
        <w:rPr>
          <w:rFonts w:ascii="Times New Roman;serif" w:hAnsi="Times New Roman;serif"/>
          <w:b w:val="false"/>
          <w:color w:val="212121"/>
          <w:sz w:val="20"/>
        </w:rPr>
        <w:t>The Court held a scheduling conference for the consolidated district court case on September 29, 2025, where the Court set various dates and deadlines for the case, including a trial date of March 16,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Roku also filed its own retaliatory ITC action against UEI and certain of our customers on two patents it purchased for this purpose. Roku’s action failed when on June 24, 2022, the ALJ found one of Roku’s patents to be invalid as indefinite. Thereafter, on June 28, 2022, the ALJ issued its initial determination ("ID") fully exonerating us and our customers finding Roku’s second patent invalid and that Roku failed to establish the requisite domestic industry and thus no violation of the Tariff Act. Roku and UEI filed petitions to appeal certain portions of the ID. On October 28, 2022, the full ITC issued its final determination affirming the ID, ruling there was no violation of the Tariff Act and terminated the investigation. In December 2022, Roku filed an appeal. Further, on October 23, 2023, the PTAB issued its Final Written Decision invalidating all of Roku's infringement claims. Roku also filed an appeal of this decision. Oral argument occurred May 9, 2025. On June 17, 2025, the Federal Circuit affirmed the PTAB decision that invalidated the Roku patent and also remanded the case to the PTAB with respect to one remaining claim. We expect a decision with respect to the one remaining claim from the PTAB in late 2025 or early 2026. As a companion to its ITC request, on April 8, 2021, Roku also filed a lawsuit against us in Federal CDCA alleging that we are infringing the same two patents they alleged were infringed in the ITC investigation explained above. This District Court case has been stayed pending their ITC case, and will likely continue to be stayed pending the conclusion of Roku's appeal of their ITC 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Court of International Trade Action against the United States of America, et. 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the PRC under Lists 3 and 4A.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8, 2025, the U.S. Court of Appeals for the Federal Circuit ("USCAFC") heard oral arguments on the appeal by the lead plaintiff from the CIT March 17, 2023 decision in which the CIT sustained the List 3 and List 4 tariffs, concluding that USTR's rationale in support of the tariffs was not impermissibly post hoc. A decision from the USCAFC is expected by the end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Tongshun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23, 2024, Tongshun Company ("TS") filed suit against one of our subsidiaries, Gemstar Technology (Yangzhou) Co. Ltd. ("GTY"), claiming among other things, breach of an employment agency, and as is standard in Chinese litigation matters such as these, TS requested the Court to order a hold on GTY's bank account for the total claimed amount. On February 8, 2024, we deposited RMB 35.0 million (approximately $4.9 million) with the court. On July 12, 2024, we were refunded RMB 10.0 million (approximately $1.4 million) of the original deposit. This deposit was included in prepaid expenses and other current assets on our consolidated balance sheets at December 31, 2024. On December 20, 2024, the Jiangsu Province Baoying People’s Court rendered a decision in favor of TS and ordered a judgment of RMB 27.4 million (approximately $3.8 million) plus interest and costs totaling approximately RMB 30.4 million (approximately $4.2 million). We recorded an accrual of RMB 30.4 million (approximately $4.2 million) for this judgment during the fourth quarter of 2024. This accrual is included in other accrued expenses on our consolidated balance sheets at December 31, 2024. We filed an appeal of this judgment and on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 2025, the Jiangsu Province Yangzhou Intermediate People's Court affirmed the lower court’s decision in its entirety. The full judgment amount of RMB 30.4 million (approximately $4.2 million) was paid to TS during the second quarter of 2025. Both the deposit and accrual have been released from our consolidated balance sheets at September 30, 2025. GTY has the right to make a further and final appeal to the highest court of the province. GTY has not yet determined whether it will pursue an appeal.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Convergence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mid-2024, an arbitration proceeding commenced between UEI and IT Convergence, Inc. ("IT Convergence"). IT Convergence has alleged misappropriation of confidential information and theft of trade secrets. We have denied these claims and have filed a counterclaim asserting breach of contract. The arbitration hearing took place in August 2025 and the arbitrator issued his decision on October 29, 2025. After making rulings on various claims and counterclaims, the arbitrator awarded the net amount of approximately $0.2 million in favor of UEI and against IT Convergence. Each party has 90 days to appeal the arbitration decision to a regular court. It is not yet known if either party will appeal the decision.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Litigation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Treasury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our Board of Directors authorizes management to repurchase shares of our issued and outstanding common stock. On October 26, 2023, our Board of Directors approved a share repurchase program with an effective date of November 7, 2023 (the "Share Repurchase Program"). Pursuant to the Share Repurchase Program, we are authorized to repurchase up to 1,000,000 shares of our common stock and to date, we have repurchased 221,638 shares of our common stock. On November 4, 2025, our Board of Directors authorized management to continue to execute under the Share Repurchase Program. As a result, pursuant to this authorization, we may, from time to time, repurchase up to the lesser of $3.5 million worth of our common stock or 778,362 shares (the total remaining number of shares available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repurchase shares of our issued and outstanding common stock to satisfy income tax withholding obligations relating to the stock-based compensation of our employees and directors and/or the cost of stock option exercises.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Repurchased shares of our common stock were as follows: </w:t>
      </w:r>
    </w:p>
    <w:tbl>
      <w:tblPr>
        <w:tblW w:w="7692" w:type="dxa"/>
        <w:jc w:val="left"/>
        <w:tblInd w:w="0" w:type="dxa"/>
        <w:tblLayout w:type="fixed"/>
        <w:tblCellMar>
          <w:top w:w="28" w:type="dxa"/>
          <w:left w:w="28" w:type="dxa"/>
          <w:bottom w:w="28" w:type="dxa"/>
          <w:right w:w="28" w:type="dxa"/>
        </w:tblCellMar>
      </w:tblPr>
      <w:tblGrid>
        <w:gridCol w:w="1827"/>
        <w:gridCol w:w="1612"/>
        <w:gridCol w:w="1616"/>
        <w:gridCol w:w="266"/>
        <w:gridCol w:w="587"/>
        <w:gridCol w:w="137"/>
        <w:gridCol w:w="137"/>
        <w:gridCol w:w="137"/>
        <w:gridCol w:w="137"/>
        <w:gridCol w:w="266"/>
        <w:gridCol w:w="776"/>
        <w:gridCol w:w="194"/>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shares repurchased</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shares repurchased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open market shares repurchased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stock-based compensation related shares repurchased</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shares repurchased</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10205" w:type="dxa"/>
        <w:jc w:val="left"/>
        <w:tblInd w:w="0" w:type="dxa"/>
        <w:tblLayout w:type="fixed"/>
        <w:tblCellMar>
          <w:top w:w="28" w:type="dxa"/>
          <w:left w:w="28" w:type="dxa"/>
          <w:bottom w:w="28" w:type="dxa"/>
          <w:right w:w="28" w:type="dxa"/>
        </w:tblCellMar>
      </w:tblPr>
      <w:tblGrid>
        <w:gridCol w:w="1711"/>
        <w:gridCol w:w="1492"/>
        <w:gridCol w:w="1508"/>
        <w:gridCol w:w="266"/>
        <w:gridCol w:w="588"/>
        <w:gridCol w:w="137"/>
        <w:gridCol w:w="137"/>
        <w:gridCol w:w="137"/>
        <w:gridCol w:w="137"/>
        <w:gridCol w:w="266"/>
        <w:gridCol w:w="778"/>
        <w:gridCol w:w="137"/>
        <w:gridCol w:w="109"/>
        <w:gridCol w:w="109"/>
        <w:gridCol w:w="109"/>
        <w:gridCol w:w="242"/>
        <w:gridCol w:w="707"/>
        <w:gridCol w:w="125"/>
        <w:gridCol w:w="125"/>
        <w:gridCol w:w="125"/>
        <w:gridCol w:w="125"/>
        <w:gridCol w:w="242"/>
        <w:gridCol w:w="707"/>
        <w:gridCol w:w="186"/>
      </w:tblGrid>
      <w:tr>
        <w:trPr/>
        <w:tc>
          <w:tcPr>
            <w:tcW w:w="171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Outside directors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employee and director stock-based compensation expense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award activity was as follows:</w:t>
      </w:r>
    </w:p>
    <w:tbl>
      <w:tblPr>
        <w:tblW w:w="7584"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693"/>
        <w:gridCol w:w="2023"/>
        <w:gridCol w:w="508"/>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expect to recognize $3.6 million of total unrecognized pre-tax stock-based compensation expense related to non-vested restricted stock awards over a weighted-average life of 1.7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 Stock</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performance stock award activity was as follows:</w:t>
      </w:r>
    </w:p>
    <w:tbl>
      <w:tblPr>
        <w:tblW w:w="7585"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776"/>
        <w:gridCol w:w="1881"/>
        <w:gridCol w:w="568"/>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Monte Carlo simulation model and the resulting weighted average fair value of performance stock grants were the following:</w:t>
      </w:r>
    </w:p>
    <w:tbl>
      <w:tblPr>
        <w:tblW w:w="8798" w:type="dxa"/>
        <w:jc w:val="left"/>
        <w:tblInd w:w="0" w:type="dxa"/>
        <w:tblLayout w:type="fixed"/>
        <w:tblCellMar>
          <w:top w:w="28" w:type="dxa"/>
          <w:left w:w="28" w:type="dxa"/>
          <w:bottom w:w="28" w:type="dxa"/>
          <w:right w:w="28" w:type="dxa"/>
        </w:tblCellMar>
      </w:tblPr>
      <w:tblGrid>
        <w:gridCol w:w="1142"/>
        <w:gridCol w:w="1001"/>
        <w:gridCol w:w="1007"/>
        <w:gridCol w:w="269"/>
        <w:gridCol w:w="518"/>
        <w:gridCol w:w="346"/>
        <w:gridCol w:w="139"/>
        <w:gridCol w:w="139"/>
        <w:gridCol w:w="139"/>
        <w:gridCol w:w="269"/>
        <w:gridCol w:w="518"/>
        <w:gridCol w:w="346"/>
        <w:gridCol w:w="109"/>
        <w:gridCol w:w="109"/>
        <w:gridCol w:w="109"/>
        <w:gridCol w:w="236"/>
        <w:gridCol w:w="572"/>
        <w:gridCol w:w="303"/>
        <w:gridCol w:w="122"/>
        <w:gridCol w:w="122"/>
        <w:gridCol w:w="122"/>
        <w:gridCol w:w="236"/>
        <w:gridCol w:w="572"/>
        <w:gridCol w:w="353"/>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expect to recognize $0.5 million of total unrecognized pre-tax stock-based compensation expense related to non-vested performance stock awards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Stock option activity was as follows:    </w:t>
      </w:r>
    </w:p>
    <w:tbl>
      <w:tblPr>
        <w:tblW w:w="10205" w:type="dxa"/>
        <w:jc w:val="left"/>
        <w:tblInd w:w="0" w:type="dxa"/>
        <w:tblLayout w:type="fixed"/>
        <w:tblCellMar>
          <w:top w:w="28" w:type="dxa"/>
          <w:left w:w="28" w:type="dxa"/>
          <w:bottom w:w="28" w:type="dxa"/>
          <w:right w:w="28" w:type="dxa"/>
        </w:tblCellMar>
      </w:tblPr>
      <w:tblGrid>
        <w:gridCol w:w="939"/>
        <w:gridCol w:w="801"/>
        <w:gridCol w:w="802"/>
        <w:gridCol w:w="363"/>
        <w:gridCol w:w="363"/>
        <w:gridCol w:w="365"/>
        <w:gridCol w:w="109"/>
        <w:gridCol w:w="109"/>
        <w:gridCol w:w="109"/>
        <w:gridCol w:w="425"/>
        <w:gridCol w:w="1245"/>
        <w:gridCol w:w="221"/>
        <w:gridCol w:w="109"/>
        <w:gridCol w:w="109"/>
        <w:gridCol w:w="109"/>
        <w:gridCol w:w="779"/>
        <w:gridCol w:w="779"/>
        <w:gridCol w:w="780"/>
        <w:gridCol w:w="109"/>
        <w:gridCol w:w="109"/>
        <w:gridCol w:w="109"/>
        <w:gridCol w:w="369"/>
        <w:gridCol w:w="713"/>
        <w:gridCol w:w="280"/>
      </w:tblGrid>
      <w:tr>
        <w:trPr/>
        <w:tc>
          <w:tcPr>
            <w:tcW w:w="93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br/>
              <w:t>(in thousands)</w:t>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at September 30, 2025</w:t>
            </w:r>
            <w:r>
              <w:rPr>
                <w:color w:val="000000"/>
              </w:rPr>
              <w:t xml:space="preserve"> </w:t>
            </w:r>
            <w:r>
              <w:rPr>
                <w:rFonts w:ascii="Times New Roman;serif" w:hAnsi="Times New Roman;serif"/>
                <w:b w:val="false"/>
                <w:color w:val="000000"/>
                <w:sz w:val="13"/>
              </w:rPr>
              <w:t>(1)</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 and expected to vest at September 30, 2025</w:t>
            </w:r>
            <w:r>
              <w:rPr>
                <w:color w:val="000000"/>
              </w:rPr>
              <w:t xml:space="preserve"> </w:t>
            </w:r>
            <w:r>
              <w:rPr>
                <w:rFonts w:ascii="Times New Roman;serif" w:hAnsi="Times New Roman;serif"/>
                <w:b w:val="false"/>
                <w:color w:val="000000"/>
                <w:sz w:val="13"/>
              </w:rPr>
              <w:t>(1)</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Exercisable at September 30, 2025</w:t>
            </w:r>
            <w:r>
              <w:rPr>
                <w:color w:val="000000"/>
              </w:rPr>
              <w:t xml:space="preserve"> </w:t>
            </w:r>
            <w:r>
              <w:rPr>
                <w:rFonts w:ascii="Times New Roman;serif" w:hAnsi="Times New Roman;serif"/>
                <w:b w:val="false"/>
                <w:color w:val="000000"/>
                <w:sz w:val="13"/>
              </w:rPr>
              <w:t>(1)</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aggregate intrinsic value represents the total pre-tax value (the difference between our closing stock price on the last trading day of the third quarter of 2025 and the exercise price, multiplied by the number of in-the-money options) that would have been received by the option holders had they all exercised their options on September 30, 2025. This amount will change based on the fair market value of our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expect to recognize $0.1 million of total unrecognized pre-tax stock-based compensation expense related to non-vested stock options over a remaining weighted-average life of 0.4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Other Income (Expense),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nine months ended September 30, 2025, in order to collect an open accounts receivable balance with an Argentine customer, we purchased $2.5 million and sold $2.3 million of BCS securities and incurred a loss on the transactions of $0.2 million which is recorded in other income (expense) on our consolidated statements of operations. </w:t>
      </w:r>
    </w:p>
    <w:p>
      <w:pPr>
        <w:pStyle w:val="TextBody"/>
        <w:bidi w:val="0"/>
        <w:spacing w:before="0" w:after="0"/>
        <w:jc w:val="both"/>
        <w:rPr/>
      </w:pPr>
      <w:r>
        <w:rPr/>
      </w:r>
    </w:p>
    <w:p>
      <w:pPr>
        <w:pStyle w:val="TextBody"/>
        <w:bidi w:val="0"/>
        <w:spacing w:lineRule="auto" w:line="288" w:before="0" w:after="60"/>
        <w:jc w:val="left"/>
        <w:rPr/>
      </w:pPr>
      <w:r>
        <w:rPr>
          <w:rFonts w:ascii="Times New Roman;serif" w:hAnsi="Times New Roman;serif"/>
          <w:b w:val="false"/>
          <w:color w:val="000000"/>
          <w:sz w:val="20"/>
        </w:rPr>
        <w:t>Other income (expense), net consisted of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674"/>
        <w:gridCol w:w="1467"/>
        <w:gridCol w:w="1471"/>
        <w:gridCol w:w="263"/>
        <w:gridCol w:w="862"/>
        <w:gridCol w:w="135"/>
        <w:gridCol w:w="135"/>
        <w:gridCol w:w="135"/>
        <w:gridCol w:w="135"/>
        <w:gridCol w:w="263"/>
        <w:gridCol w:w="583"/>
        <w:gridCol w:w="135"/>
        <w:gridCol w:w="109"/>
        <w:gridCol w:w="109"/>
        <w:gridCol w:w="109"/>
        <w:gridCol w:w="254"/>
        <w:gridCol w:w="832"/>
        <w:gridCol w:w="131"/>
        <w:gridCol w:w="131"/>
        <w:gridCol w:w="131"/>
        <w:gridCol w:w="131"/>
        <w:gridCol w:w="254"/>
        <w:gridCol w:w="562"/>
        <w:gridCol w:w="194"/>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gain (loss) on foreign currency exchange contracts </w:t>
            </w:r>
            <w:r>
              <w:rPr>
                <w:rFonts w:ascii="Times New Roman;serif" w:hAnsi="Times New Roman;serif"/>
                <w:b w:val="false"/>
                <w:color w:val="000000"/>
                <w:sz w:val="13"/>
              </w:rPr>
              <w:t>(1)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foreign currency exchange transactions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w:t>
            </w:r>
            <w:r>
              <w:rPr>
                <w:color w:val="000000"/>
              </w:rPr>
              <w:t xml:space="preserve"> </w:t>
            </w:r>
            <w:r>
              <w:rPr>
                <w:rFonts w:ascii="Times New Roman;serif" w:hAnsi="Times New Roman;serif"/>
                <w:b w:val="false"/>
                <w:color w:val="000000"/>
                <w:sz w:val="13"/>
              </w:rPr>
              <w:t>(2)</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represents the gains (losses) incurred on foreign currency hedging derivatives (see Note 17 for further details).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this amount is $0.2 million of loss related to BCS security transactions during the nine months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Earnings (Loss) Per Share</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Earnings (loss) per share was calculated as follows:</w:t>
      </w:r>
    </w:p>
    <w:tbl>
      <w:tblPr>
        <w:tblW w:w="10205" w:type="dxa"/>
        <w:jc w:val="left"/>
        <w:tblInd w:w="0" w:type="dxa"/>
        <w:tblLayout w:type="fixed"/>
        <w:tblCellMar>
          <w:top w:w="28" w:type="dxa"/>
          <w:left w:w="28" w:type="dxa"/>
          <w:bottom w:w="28" w:type="dxa"/>
          <w:right w:w="28" w:type="dxa"/>
        </w:tblCellMar>
      </w:tblPr>
      <w:tblGrid>
        <w:gridCol w:w="1885"/>
        <w:gridCol w:w="1438"/>
        <w:gridCol w:w="1444"/>
        <w:gridCol w:w="230"/>
        <w:gridCol w:w="735"/>
        <w:gridCol w:w="118"/>
        <w:gridCol w:w="118"/>
        <w:gridCol w:w="118"/>
        <w:gridCol w:w="118"/>
        <w:gridCol w:w="230"/>
        <w:gridCol w:w="735"/>
        <w:gridCol w:w="118"/>
        <w:gridCol w:w="109"/>
        <w:gridCol w:w="109"/>
        <w:gridCol w:w="109"/>
        <w:gridCol w:w="212"/>
        <w:gridCol w:w="782"/>
        <w:gridCol w:w="109"/>
        <w:gridCol w:w="109"/>
        <w:gridCol w:w="109"/>
        <w:gridCol w:w="109"/>
        <w:gridCol w:w="212"/>
        <w:gridCol w:w="782"/>
        <w:gridCol w:w="167"/>
      </w:tblGrid>
      <w:tr>
        <w:trPr/>
        <w:tc>
          <w:tcPr>
            <w:tcW w:w="188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per-share amounts)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for basic</w:t>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performance stock awards and stock options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on a diluted basis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(loss) per share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number of stock options, shares of restricted stock and shares of performance stock were excluded from the computation of diluted earnings per common share as their inclusion would have been anti-dilutive: </w:t>
      </w:r>
    </w:p>
    <w:tbl>
      <w:tblPr>
        <w:tblW w:w="7849" w:type="dxa"/>
        <w:jc w:val="left"/>
        <w:tblInd w:w="0" w:type="dxa"/>
        <w:tblLayout w:type="fixed"/>
        <w:tblCellMar>
          <w:top w:w="28" w:type="dxa"/>
          <w:left w:w="28" w:type="dxa"/>
          <w:bottom w:w="28" w:type="dxa"/>
          <w:right w:w="28" w:type="dxa"/>
        </w:tblCellMar>
      </w:tblPr>
      <w:tblGrid>
        <w:gridCol w:w="797"/>
        <w:gridCol w:w="703"/>
        <w:gridCol w:w="704"/>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Derivatives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549"/>
        <w:gridCol w:w="444"/>
        <w:gridCol w:w="446"/>
        <w:gridCol w:w="109"/>
        <w:gridCol w:w="109"/>
        <w:gridCol w:w="109"/>
        <w:gridCol w:w="211"/>
        <w:gridCol w:w="406"/>
        <w:gridCol w:w="109"/>
        <w:gridCol w:w="109"/>
        <w:gridCol w:w="109"/>
        <w:gridCol w:w="109"/>
        <w:gridCol w:w="211"/>
        <w:gridCol w:w="390"/>
        <w:gridCol w:w="109"/>
        <w:gridCol w:w="109"/>
        <w:gridCol w:w="109"/>
        <w:gridCol w:w="109"/>
        <w:gridCol w:w="211"/>
        <w:gridCol w:w="406"/>
        <w:gridCol w:w="109"/>
        <w:gridCol w:w="109"/>
        <w:gridCol w:w="109"/>
        <w:gridCol w:w="109"/>
        <w:gridCol w:w="235"/>
        <w:gridCol w:w="440"/>
        <w:gridCol w:w="121"/>
        <w:gridCol w:w="109"/>
        <w:gridCol w:w="109"/>
        <w:gridCol w:w="109"/>
        <w:gridCol w:w="211"/>
        <w:gridCol w:w="406"/>
        <w:gridCol w:w="109"/>
        <w:gridCol w:w="109"/>
        <w:gridCol w:w="109"/>
        <w:gridCol w:w="109"/>
        <w:gridCol w:w="211"/>
        <w:gridCol w:w="495"/>
        <w:gridCol w:w="109"/>
        <w:gridCol w:w="109"/>
        <w:gridCol w:w="109"/>
        <w:gridCol w:w="109"/>
        <w:gridCol w:w="211"/>
        <w:gridCol w:w="406"/>
        <w:gridCol w:w="109"/>
        <w:gridCol w:w="109"/>
        <w:gridCol w:w="109"/>
        <w:gridCol w:w="109"/>
        <w:gridCol w:w="225"/>
        <w:gridCol w:w="532"/>
        <w:gridCol w:w="168"/>
      </w:tblGrid>
      <w:tr>
        <w:trPr/>
        <w:tc>
          <w:tcPr>
            <w:tcW w:w="54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held foreign currency exchange contracts, which resulted in a net pre-tax loss of $0.2 million and net pre-tax gain $0.4 million for the three months ended September 30, 2025 and 2024, respectively. For the nine months ended September 30, 2025 and 2024, we had a net pre-tax loss of $0.8 million and net pre-tax gain of $0.2 million, respectively.</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455"/>
        <w:gridCol w:w="400"/>
        <w:gridCol w:w="409"/>
        <w:gridCol w:w="109"/>
        <w:gridCol w:w="109"/>
        <w:gridCol w:w="109"/>
        <w:gridCol w:w="283"/>
        <w:gridCol w:w="283"/>
        <w:gridCol w:w="284"/>
        <w:gridCol w:w="109"/>
        <w:gridCol w:w="109"/>
        <w:gridCol w:w="109"/>
        <w:gridCol w:w="278"/>
        <w:gridCol w:w="278"/>
        <w:gridCol w:w="280"/>
        <w:gridCol w:w="109"/>
        <w:gridCol w:w="109"/>
        <w:gridCol w:w="109"/>
        <w:gridCol w:w="246"/>
        <w:gridCol w:w="597"/>
        <w:gridCol w:w="127"/>
        <w:gridCol w:w="109"/>
        <w:gridCol w:w="109"/>
        <w:gridCol w:w="109"/>
        <w:gridCol w:w="379"/>
        <w:gridCol w:w="356"/>
        <w:gridCol w:w="300"/>
        <w:gridCol w:w="109"/>
        <w:gridCol w:w="109"/>
        <w:gridCol w:w="109"/>
        <w:gridCol w:w="553"/>
        <w:gridCol w:w="1279"/>
        <w:gridCol w:w="287"/>
        <w:gridCol w:w="109"/>
        <w:gridCol w:w="109"/>
        <w:gridCol w:w="109"/>
        <w:gridCol w:w="339"/>
        <w:gridCol w:w="339"/>
        <w:gridCol w:w="491"/>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Gain/(Loss) Recorded at Balance Sheet Date</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Date</w:t>
            </w:r>
          </w:p>
        </w:tc>
      </w:tr>
      <w:tr>
        <w:trPr/>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10, 2025</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10, 2025</w:t>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Reportable Segment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our interim CEO,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reported segment revenue, segment profit or loss, and significant segment expenses were as follows:</w:t>
      </w:r>
    </w:p>
    <w:p>
      <w:pPr>
        <w:pStyle w:val="TextBody"/>
        <w:bidi w:val="0"/>
        <w:spacing w:before="0" w:after="0"/>
        <w:jc w:val="left"/>
        <w:rPr/>
      </w:pPr>
      <w:r>
        <w:rPr/>
      </w:r>
    </w:p>
    <w:tbl>
      <w:tblPr>
        <w:tblW w:w="9977" w:type="dxa"/>
        <w:jc w:val="left"/>
        <w:tblInd w:w="0" w:type="dxa"/>
        <w:tblLayout w:type="fixed"/>
        <w:tblCellMar>
          <w:top w:w="28" w:type="dxa"/>
          <w:left w:w="28" w:type="dxa"/>
          <w:bottom w:w="28" w:type="dxa"/>
          <w:right w:w="28" w:type="dxa"/>
        </w:tblCellMar>
      </w:tblPr>
      <w:tblGrid>
        <w:gridCol w:w="1553"/>
        <w:gridCol w:w="1370"/>
        <w:gridCol w:w="1381"/>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(2)</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operating expenses </w:t>
            </w:r>
            <w:r>
              <w:rPr>
                <w:rFonts w:ascii="Times New Roman;serif" w:hAnsi="Times New Roman;serif"/>
                <w:b w:val="false"/>
                <w:color w:val="000000"/>
                <w:sz w:val="13"/>
              </w:rPr>
              <w:t>(3)</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Cost of sales from the consolidated statements of operations, adjusted to exclude stock-based compensation and impairment expenses.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R&amp;D expenses from the consolidated statements of operations, adjusted to exclude stock-based compensation expense.</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Operating expenses less R&amp;D expenses from the consolidated statements of operations, adjusted to exclude stock-based compensation, amortization of acquired intangible assets, factory restructuring charges, severance, lease abandonment costs and costs associated with our Roku litigation.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segment items include the adjustments described in the notes above; as well as interest income (expense), net; other income (expense), net; and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consolidated balance sheets as consolidated total assets. Long-lived assets by geographic area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customer demand for our products and solutions; expectations with respect to the markets in which we operate, including for specific geographic markets; other future demand and recovery trends and expectations; the delay by or failure of our customers to order products from us; plans to shut down our Mexico manufacturing facility, including the timing thereof and related costs; expected benefits of our restructuring and cost-reduction activities; continued availability of cash through borrowing under our revolving lines of credit; risks related to interest rates and foreign currency exchange rates;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our expectations with respect to the impact of changes in tax laws;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2024 ("2024 Form 10-K"), Part II, Item 1A of this report, and other factors we describe from time to time in our periodic filings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Connected home:</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Climate Control Solutions:</w:t>
      </w:r>
      <w:r>
        <w:rPr>
          <w:color w:val="000000"/>
        </w:rPr>
        <w:t xml:space="preserve"> </w:t>
      </w:r>
      <w:r>
        <w:rPr>
          <w:rFonts w:ascii="Times New Roman;serif" w:hAnsi="Times New Roman;serif"/>
          <w:b w:val="false"/>
          <w:color w:val="000000"/>
          <w:sz w:val="20"/>
        </w:rPr>
        <w:t>Our innovative climate control solutions include wireless and wired controllers, smart 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Smart Home and Security Products:</w:t>
      </w:r>
      <w:r>
        <w:rPr>
          <w:color w:val="000000"/>
        </w:rPr>
        <w:t xml:space="preserve"> </w:t>
      </w:r>
      <w:r>
        <w:rPr>
          <w:rFonts w:ascii="Times New Roman;serif" w:hAnsi="Times New Roman;serif"/>
          <w:b w:val="false"/>
          <w:color w:val="000000"/>
          <w:sz w:val="20"/>
        </w:rPr>
        <w:t xml:space="preserve">We offer proprietary and standards-based radio frequency ("RF") wireless remote controls and sensors designed for residential security, safety and a broad variety of home automation applications, such as smart lighting and motorized shades.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Home entertainment:</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Home Entertainment Products:</w:t>
      </w:r>
      <w:r>
        <w:rPr>
          <w:color w:val="000000"/>
        </w:rPr>
        <w:t xml:space="preserve"> </w:t>
      </w:r>
      <w:r>
        <w:rPr>
          <w:rFonts w:ascii="Times New Roman;serif" w:hAnsi="Times New Roman;serif"/>
          <w:b w:val="false"/>
          <w:color w:val="000000"/>
          <w:sz w:val="20"/>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Software and Cloud Services:</w:t>
      </w:r>
      <w:r>
        <w:rPr>
          <w:color w:val="000000"/>
        </w:rPr>
        <w:t xml:space="preserve"> </w:t>
      </w:r>
      <w:r>
        <w:rPr>
          <w:rFonts w:ascii="Times New Roman;serif" w:hAnsi="Times New Roman;serif"/>
          <w:b w:val="false"/>
          <w:color w:val="000000"/>
          <w:sz w:val="20"/>
        </w:rPr>
        <w:t>Our software, firmware and technology solutions enable devices such as smart TVs, 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Intellectual Property and Licensing:</w:t>
      </w:r>
      <w:r>
        <w:rPr>
          <w:color w:val="000000"/>
        </w:rPr>
        <w:t xml:space="preserve"> </w:t>
      </w:r>
      <w:r>
        <w:rPr>
          <w:rFonts w:ascii="Times New Roman;serif" w:hAnsi="Times New Roman;serif"/>
          <w:b w:val="false"/>
          <w:color w:val="000000"/>
          <w:sz w:val="20"/>
        </w:rPr>
        <w:t>We license our intellectual property primarily to OEMs and video service 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as one business segment. We have 24 international subsidiaries located in Brazil, the British Virgin Islands, France, Germany, Hong Kong (3), India, Italy, Japan, Korea, Mexico (2), the Netherlands, the People's Republic of China (the "PRC") (6), Singapore, Spain, United Kingdom and Vietnam.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recap our results for the three months ended September 30,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sales decreased 11.3% to $90.6 million for the three months ended September 30, 2025 from $102.1 million for the three months ended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gross margin percentage decreased to 27.7% for the three months ended September 30, 2025 from 30.1% for the three months ended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expenses, as a percentage of net sales, increased to 32.7% for the three months ended September 30, 2025 from 29.7% for the three months ended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operating loss was $4.5 million for the three months ended September 30, 2025 compared to operating income of $0.4 million for the three months ended September 30, 2024. Our operating loss percentage was 5.0% for the three months ended September 30, 2025 compared to our operating income percentage of 0.4% for the three months ended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Income tax expense was $2.6 million for the three months ended September 30, 2025 compared to $2.5 million for the three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strategic business objectives for 2025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 long-term (3-5 year) revenue pipeline by engaging with industry leading brands and securing new and continued product design wins with major HVAC OEMs in North America, Europe and Asia Pacific;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Commercially deploy the UEI TIDE family of products in multiple dwelling unit and utility channels and leverage initial deployments to validate, and promote, turnkey solutions to address industry need;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 a footprint in broadband gateway platforms with expanded QuickSet Cloud software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 QuickSet Cloud software penetration in the TV OS market through development and commercial deployment of QuickSet features such as content personalization, privacy-first presence detection and monitoring;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 AI-powered cloud services, and on-device AI developments to generate opportunities for recurring revenue streams in software licensing;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Position UEI as the development partner of choice in smart thermostat control through innovation and next generation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Launch new product categories in direct-to-consumer channel and build a growth revenue business with sustainable gross margins;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 our technology offerings and development capabilities in new standards such as WiFi6, Thread, Matter and Z-Wave Long Range;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Seek potential acquisitions or strategic partners that complement and strengthen our existing commercial footprint, add new capabilities, and offer strong synergies;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 our long-term global manufacturing footprint by optimizing internal investments and seeking external manufacturing partnerships where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negatively impacted and we expect to continue to be negatively impacted by adverse macroeconomic conditions, including new tariffs imposed or to be imposed on goods manufactured in Vietnam, Taiwan, the PRC, and Mexico, and reduced consumer spending on durable goods. Economic tensions and changes in international trade policies, including the recent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Manufacturing Footprint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to evaluate our global manufacturing footprint as part of our overall cost optimization and return to profitability strategy. In late July 2025, our Board approved a plan to shut down our Mexico manufacturing facility based upon strong productivity at our Vietnam factory and decreased demand in our home entertainment channel. We expect this shut down to be completed by the end of 2025 with additional shutdown-related expenses recorded throughout the remainder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Short-Term Employee Furlough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we announced a short-term furlough program affecting approximately 4.3% of our workforce. This action is taken in response to cost containment efforts, and was designed to align labor costs with current business activity levels during the year-end holiday season, while preserving long-term employment relationships. The furloughs are temporary in nature, with affected employees returning to work after 80 hours. During the furlough period, the Company will continue to provide certain benefits to affected employees, including healthcare coverage. The anticipated impact of this furlough program is expected to modestly reduce labor-related expenses and support ongoing cost management objectives.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w:t>
      </w:r>
      <w:r>
        <w:rPr>
          <w:rFonts w:ascii="Times New Roman;serif" w:hAnsi="Times New Roman;serif"/>
          <w:b w:val="false"/>
          <w:color w:val="000000"/>
          <w:sz w:val="18"/>
        </w:rPr>
        <w:t>nine months ended September 30, 2025</w:t>
      </w:r>
      <w:r>
        <w:rPr>
          <w:color w:val="000000"/>
        </w:rPr>
        <w:t xml:space="preserve"> </w:t>
      </w:r>
      <w:r>
        <w:rPr>
          <w:rFonts w:ascii="Times New Roman;serif" w:hAnsi="Times New Roman;serif"/>
          <w:b w:val="false"/>
          <w:color w:val="000000"/>
          <w:sz w:val="20"/>
        </w:rPr>
        <w:t>to the items that we disclosed as our critical accounting policies and estimates in Item 7, "Management's Discussion and Analysis of Financial Condition and Results of Operations" contained in our 2024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 contained in the "Notes to Consolidated Financial Statements"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reported results of operations expressed as a percentage of net sales for the periods indicated.</w:t>
      </w:r>
    </w:p>
    <w:tbl>
      <w:tblPr>
        <w:tblW w:w="10205" w:type="dxa"/>
        <w:jc w:val="left"/>
        <w:tblInd w:w="0" w:type="dxa"/>
        <w:tblLayout w:type="fixed"/>
        <w:tblCellMar>
          <w:top w:w="28" w:type="dxa"/>
          <w:left w:w="28" w:type="dxa"/>
          <w:bottom w:w="28" w:type="dxa"/>
          <w:right w:w="28" w:type="dxa"/>
        </w:tblCellMar>
      </w:tblPr>
      <w:tblGrid>
        <w:gridCol w:w="1602"/>
        <w:gridCol w:w="1136"/>
        <w:gridCol w:w="1149"/>
        <w:gridCol w:w="308"/>
        <w:gridCol w:w="308"/>
        <w:gridCol w:w="549"/>
        <w:gridCol w:w="220"/>
        <w:gridCol w:w="220"/>
        <w:gridCol w:w="220"/>
        <w:gridCol w:w="308"/>
        <w:gridCol w:w="308"/>
        <w:gridCol w:w="549"/>
        <w:gridCol w:w="109"/>
        <w:gridCol w:w="109"/>
        <w:gridCol w:w="109"/>
        <w:gridCol w:w="308"/>
        <w:gridCol w:w="308"/>
        <w:gridCol w:w="523"/>
        <w:gridCol w:w="210"/>
        <w:gridCol w:w="210"/>
        <w:gridCol w:w="210"/>
        <w:gridCol w:w="308"/>
        <w:gridCol w:w="308"/>
        <w:gridCol w:w="616"/>
      </w:tblGrid>
      <w:tr>
        <w:trPr/>
        <w:tc>
          <w:tcPr>
            <w:tcW w:w="16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Three Months Ended September 30, 2025 versus Three Months Ended September 30, 2024</w:t>
      </w:r>
    </w:p>
    <w:p>
      <w:pPr>
        <w:pStyle w:val="TextBody"/>
        <w:bidi w:val="0"/>
        <w:spacing w:lineRule="auto" w:line="288" w:before="0" w:after="60"/>
        <w:jc w:val="both"/>
        <w:rPr/>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three months ended September 30, 2025 were $90.6 million compared to $102.1 million for the three months ended September 30, 2024. Net sales by channel were as follows:</w:t>
      </w:r>
    </w:p>
    <w:tbl>
      <w:tblPr>
        <w:tblW w:w="4497" w:type="dxa"/>
        <w:jc w:val="left"/>
        <w:tblInd w:w="0" w:type="dxa"/>
        <w:tblLayout w:type="fixed"/>
        <w:tblCellMar>
          <w:top w:w="28" w:type="dxa"/>
          <w:left w:w="28" w:type="dxa"/>
          <w:bottom w:w="28" w:type="dxa"/>
          <w:right w:w="28" w:type="dxa"/>
        </w:tblCellMar>
      </w:tblPr>
      <w:tblGrid>
        <w:gridCol w:w="640"/>
        <w:gridCol w:w="564"/>
        <w:gridCol w:w="565"/>
        <w:gridCol w:w="225"/>
        <w:gridCol w:w="769"/>
        <w:gridCol w:w="116"/>
        <w:gridCol w:w="116"/>
        <w:gridCol w:w="116"/>
        <w:gridCol w:w="116"/>
        <w:gridCol w:w="225"/>
        <w:gridCol w:w="881"/>
        <w:gridCol w:w="16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connected home were $29.8 million for the three months ended September 30, 2025 compared to $26.4 million for the three months ended September 30, 2024. This growth is driven primarily by shipments to large climate control and home automation customers relating to projects won over the past couple of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home entertainment were $60.8 million for the three months ended September 30, 2025 compared to $75.7 million for the three months ended September 30, 2024. The decrease in sales within the home entertainment channel was primarily driven by lower demand for subscription broadcasting products in Europe and Latin America, particularly for basic remote controls with lower price points and limited or no advanced features. In addition, several customers in the consumer electronics industry experienced reduced demand for televisions, which led to a corresponding decline in remote control sales in this channel. The retail market also remains weak, reflecting elevated inventory levels and soft sell-through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Gross profit for the three months ended September 30, 2025 was $25.1 million compared to $30.7 million for the three months ended September 30, 2024. Gross profit as a percentage of sales decreased to 27.7% for the three months ended September 30, 2025 from 30.1% for the three months ended September 30, 2024. The decline in gross margin primarily reflects a one-time impairment charge of approximately $1.2 million related to machinery and equipment that will no longer be utilized following the planned closure of our Mexico facility by the end of 2025. This charge reduced the gross margin rate by approximately 130 basis points. In addition, higher tariff costs and unfavorable sales mix together contributed to an additional 270 basis point decline in gross margin during the period. These pressures were partially offset by realized procurement savings, which improved gross margin by approximately 80 basis points. We also benefited from favorable foreign exchange movements driven by a weaker U.S. Dollar relative to the Euro and British Pound and a stronger U.S. Dollar relative to Vietnamese Dong, resulting in an additional 80 basis points of margin improvement.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Research and development ("R&amp;D") expenses. </w:t>
      </w:r>
      <w:r>
        <w:rPr>
          <w:rFonts w:ascii="Times New Roman;serif" w:hAnsi="Times New Roman;serif"/>
          <w:b w:val="false"/>
          <w:color w:val="000000"/>
          <w:sz w:val="20"/>
        </w:rPr>
        <w:t>R&amp;D expenses decreased to $6.7 million for the three months ended September 30, 2025 from $7.3 million for the three months ended September 30, 2024 attributable to reductions in payroll and related personnel expenses following headcount optimization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to $22.1 million for the three months ended September 30, 2025 from $22.9 million for the three months ended September 30, 2024. The decrease reflects lower volume-driven expenses of $0.9 million, consistent with the decline in sales volume. In addition, ongoing cost-reduction initiatives, including organizational rightsizing, resulted in savings from headcount reductions. People-related expenses decreased by $1.8 million, complemented by an additional $1.0 million reduction in other discretionary spending. These savings were largely offset by one-time charges incurred during the period, including $1.3 million related to the abandonment of office space in Carlsbad, California and $1.7 million of severance costs associated with our global reduction in force.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Factory restructuring charges. </w:t>
      </w:r>
      <w:r>
        <w:rPr>
          <w:rFonts w:ascii="Times New Roman;serif" w:hAnsi="Times New Roman;serif"/>
          <w:b w:val="false"/>
          <w:color w:val="000000"/>
          <w:sz w:val="20"/>
        </w:rPr>
        <w:t>During the three months ended September 30, 2025, we recorded $0.8 million in expense, including severance and moving costs associated with the closure of our factory in Mexico. During the three months ended September 30, 2024, we recorded $0.1 million in expense, which included severance and moving costs associated with the streamlining of our factory in Mexico.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decreased to $0.2 million for the three months ended September 30, 2025 from $0.9 million for the three months ended September 30, 2024,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was $1.0 million for the three months ended September 30, 2025 compared to other income, net of $0.3 million for the three months ended September 30, 2024. This increase was attributable to foreign currency losses arising from the persistent weakness of the U.S. Dollar in the third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$2.6 million for the three months ended September 30, 2025, relative to a pre-tax loss of $5.8 million, compared to income tax expense of $2.5 million for the three months ended September 30, 2024, relative to a pre-tax loss of $0.2 million. Consistent with 2024, we expect the U.S. to be in a pre-tax loss position without benefit for the full year 2025, resulting in an elevated effective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Nine Months Ended September 30, 2025 versus Nine Months Ended September 30, 2024</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nine months ended September 30, 2025 were $280.5 million compared to $284.4 million for the nine months ended September 30, 2024. Net sales by channel were as follows:</w:t>
      </w:r>
    </w:p>
    <w:tbl>
      <w:tblPr>
        <w:tblW w:w="4433" w:type="dxa"/>
        <w:jc w:val="left"/>
        <w:tblInd w:w="0" w:type="dxa"/>
        <w:tblLayout w:type="fixed"/>
        <w:tblCellMar>
          <w:top w:w="28" w:type="dxa"/>
          <w:left w:w="28" w:type="dxa"/>
          <w:bottom w:w="28" w:type="dxa"/>
          <w:right w:w="28" w:type="dxa"/>
        </w:tblCellMar>
      </w:tblPr>
      <w:tblGrid>
        <w:gridCol w:w="640"/>
        <w:gridCol w:w="564"/>
        <w:gridCol w:w="565"/>
        <w:gridCol w:w="211"/>
        <w:gridCol w:w="826"/>
        <w:gridCol w:w="109"/>
        <w:gridCol w:w="109"/>
        <w:gridCol w:w="109"/>
        <w:gridCol w:w="109"/>
        <w:gridCol w:w="211"/>
        <w:gridCol w:w="82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connected home were $95.6 million for the nine months ended September 30, 2025 compared to $73.8 million for the nine months ended September 30, 2024. This growth is driven primarily by shipments to large climate control and home automation customers relating to projects won over the past couple of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home entertainment were $184.9 million for the nine months ended September 30, 2025 compared to $210.6 million for the nine months ended September 30, 2024. The decrease primarily reflects lower demand for subscription broadcasting products in Europe and Latin America, particularly basic remote control models at lower price points and limited to no advanced features. In addition, reduced demand for televisions among certain consumer electronics customers contributed to a corresponding decline in remote control sales within this channel.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Gross profit for the nine months ended September 30, 2025 was $80.4 million compared to $82.7 million for the nine months ended September 30, 2024. Gross profit as a percentage of sales decreased to 28.7% for the nine months ended September 30, 2025 from 29.1% for the nine months ended September 30, 2024. The decline in gross margin primarily reflects a one-time impairment charge of approximately $1.2 million related to machinery and equipment that will no longer be utilized following the planned closure of our Mexico facility by the end of 2025. This charge reduced the gross margin rate by approximately 40 basis points. In addition, an unfavorable sales mix contributed an additional 80 basis point decline in gross margin during the period. These pressures were partially offset by favorable foreign exchange impacts driven by a stronger U.S. Dollar relative to the Mexican Peso and Vietnamese Dong and a weaker U.S. Dollar relative to the Euro and British Pound, which together provided approximately 90 basis points of margin improvement.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 xml:space="preserve">R&amp;D expenses. </w:t>
      </w:r>
      <w:r>
        <w:rPr>
          <w:rFonts w:ascii="Times New Roman;serif" w:hAnsi="Times New Roman;serif"/>
          <w:b w:val="false"/>
          <w:color w:val="000000"/>
          <w:sz w:val="20"/>
        </w:rPr>
        <w:t>R&amp;D expenses decreased to $20.9 million for the nine months ended September 30, 2025 from $22.7 million for the nine months ended September 30, 2024 attributable to reductions in payroll and related personnel expenses following headcount optimization 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SG&amp;A expenses.</w:t>
      </w:r>
      <w:r>
        <w:rPr>
          <w:color w:val="000000"/>
        </w:rPr>
        <w:t xml:space="preserve"> </w:t>
      </w:r>
      <w:r>
        <w:rPr>
          <w:rFonts w:ascii="Times New Roman;serif" w:hAnsi="Times New Roman;serif"/>
          <w:b w:val="false"/>
          <w:color w:val="000000"/>
          <w:sz w:val="20"/>
        </w:rPr>
        <w:t>SG&amp;A expenses decreased to $65.9 million for the nine months ended September 30, 2025 from $68.2 million for the nine months ended September 30, 2024. The decrease reflects lower volume-driven expenses of $1.3 million, consistent with the decline in sales volume. In addition, ongoing cost-reduction initiatives, including organizational rightsizing, resulted in savings from headcount reductions. People-related expenses decreased by $3.3 million, complemented by an additional $1.9 million reduction in other discretionary spending. These reductions were partially offset by one-time charges incurred during the period, including $1.3 million related to the abandonment of office space in Carlsbad, California, $2.3 million of severance costs associated with our global reduction in force and $0.6 million related to additional director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Factory restructuring charges. </w:t>
      </w:r>
      <w:r>
        <w:rPr>
          <w:rFonts w:ascii="Times New Roman;serif" w:hAnsi="Times New Roman;serif"/>
          <w:b w:val="false"/>
          <w:color w:val="000000"/>
          <w:sz w:val="20"/>
        </w:rPr>
        <w:t>During the nine months ended September 30, 2025, we recorded $0.8 million in expense, including severance and moving costs associated with the closure of our factory in Mexico. During the nine months ended September 30, 2024, we recorded $2.7 million in expense, which included severance and moving costs associated with the closure of our southern China factory and the streamlining of our factory in Mexico.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decreased to $1.0 million for the nine months ended September 30, 2025 from $2.7 million for the nine months ended September 30, 2024,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was $2.7 million for the nine months ended September 30, 2025 compared to other income, net of $0.1 million for the nine months ended September 30, 2024. This increase was attributable to foreign currency losses arising from the persistent weakness of the U.S. Dollar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$6.6 million for the nine months ended September 30, 2025, relative to a pre-tax loss of $10.9 million, compared to income tax expense of $6.0 million for the nine months ended September 30, 2024, relative to a pre-tax loss of $13.5 million. Consistent with 2024, we expect the U.S. to be in a pre-tax loss position without benefit for the full year 2025, resulting in an elevated effective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liquidity is subject to various risks including the risks discussed under "Item 3. Quantitative and Qualitative Disclosures about Market Risk." </w:t>
      </w:r>
    </w:p>
    <w:p>
      <w:pPr>
        <w:pStyle w:val="TextBody"/>
        <w:bidi w:val="0"/>
        <w:spacing w:before="0" w:after="0"/>
        <w:jc w:val="both"/>
        <w:rPr/>
      </w:pPr>
      <w:r>
        <w:rPr/>
      </w:r>
    </w:p>
    <w:tbl>
      <w:tblPr>
        <w:tblW w:w="6010" w:type="dxa"/>
        <w:jc w:val="left"/>
        <w:tblInd w:w="0" w:type="dxa"/>
        <w:tblLayout w:type="fixed"/>
        <w:tblCellMar>
          <w:top w:w="28" w:type="dxa"/>
          <w:left w:w="28" w:type="dxa"/>
          <w:bottom w:w="28" w:type="dxa"/>
          <w:right w:w="28" w:type="dxa"/>
        </w:tblCellMar>
      </w:tblPr>
      <w:tblGrid>
        <w:gridCol w:w="937"/>
        <w:gridCol w:w="827"/>
        <w:gridCol w:w="830"/>
        <w:gridCol w:w="313"/>
        <w:gridCol w:w="1070"/>
        <w:gridCol w:w="161"/>
        <w:gridCol w:w="109"/>
        <w:gridCol w:w="109"/>
        <w:gridCol w:w="109"/>
        <w:gridCol w:w="300"/>
        <w:gridCol w:w="1026"/>
        <w:gridCol w:w="219"/>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resources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On September 30, 2025, we had $2.7 million, $11.6 million, $4.4 million, $7.5 million and $5.3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Available Borrowing Resources</w:t>
      </w:r>
      <w:r>
        <w:rPr>
          <w:color w:val="000000"/>
        </w:rPr>
        <w:t xml:space="preserve"> – </w:t>
      </w:r>
      <w:r>
        <w:rPr>
          <w:rFonts w:ascii="Times New Roman;serif" w:hAnsi="Times New Roman;serif"/>
          <w:b w:val="false"/>
          <w:color w:val="000000"/>
          <w:sz w:val="20"/>
        </w:rPr>
        <w:t xml:space="preserve">Our Second Amended and Restated Credit Agreement ("Second Amended Credit Agreement") with U.S. Bank National Association provides for a revolving line of credit ("U.S. Credit Line") that expires on April 30, 2026. We expect to renew the U.S. Credit Line prior to its expiration; however, no assurance can be given that future financing will be available or, if available, that we will be offered terms satisfactory to us.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of up to $75.0 million, subject to meeting certain financial conditions, including an accounts receivable coverage ratio ("AR Ratio"). This AR Ratio is calculated monthly and adjusts the current U.S. Credit Line total availability. At September 30, 2025, the U.S. Credit Line total availability was $54.1 million based upon the AR Ratio. At October 23, 2025, the U.S. Credit Line total availability was $50.4 million based upon the AR Ratio.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$0.5 million at September 30, 2025. At September 30, 2025, we had no outstanding balance on our U.S. Credit Line and $53.6 million of availability.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subsidiary, Gemstar Technology (Yangzhou) Co. Ltd. ("GTY"), has a Line of Credit Agreement ("Line of Credit Agreement") with the Bank of China, which provides for a revolving line of credit ("China Credit Line" and, together with the U.S. Credit Line, "Credit Lines"). As a continuation of the agreement, on July 30, 2025, we executed an amendment to the Line of Credit Agreement, which extends the term of the China Credit Line to July 16, 2026. We expect to renew our China Credit Line prior to its expiration; however, no assurance can be given that future financing will be available or, if available, that we will be offered terms satisfactory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China Credit Line had a maximum availability of up to RMB 130.0 million (approximately $18.3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China Credit Line may be used for working capital purposes. Amounts available for borrowing under the China Credit Line are reduced by the balance of any outstanding letters of credit, of which there were none at September 30, 2025. At September 30, 2025, we had an outstanding balance of RMB 130.0 million (approximately $18.3 million) on our China Credit Line and no remaining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contained in the "Notes to Consolidated Financial Statements" for further information regarding our Credit Lines.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495"/>
        <w:gridCol w:w="1241"/>
        <w:gridCol w:w="1245"/>
        <w:gridCol w:w="453"/>
        <w:gridCol w:w="1550"/>
        <w:gridCol w:w="234"/>
        <w:gridCol w:w="109"/>
        <w:gridCol w:w="109"/>
        <w:gridCol w:w="109"/>
        <w:gridCol w:w="211"/>
        <w:gridCol w:w="721"/>
        <w:gridCol w:w="109"/>
        <w:gridCol w:w="109"/>
        <w:gridCol w:w="109"/>
        <w:gridCol w:w="109"/>
        <w:gridCol w:w="420"/>
        <w:gridCol w:w="1562"/>
        <w:gridCol w:w="310"/>
      </w:tblGrid>
      <w:tr>
        <w:trPr/>
        <w:tc>
          <w:tcPr>
            <w:tcW w:w="149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(17,102)</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 and cash equivalents</w:t>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6943" w:type="dxa"/>
        <w:jc w:val="left"/>
        <w:tblInd w:w="0" w:type="dxa"/>
        <w:tblLayout w:type="fixed"/>
        <w:tblCellMar>
          <w:top w:w="28" w:type="dxa"/>
          <w:left w:w="28" w:type="dxa"/>
          <w:bottom w:w="28" w:type="dxa"/>
          <w:right w:w="28" w:type="dxa"/>
        </w:tblCellMar>
      </w:tblPr>
      <w:tblGrid>
        <w:gridCol w:w="820"/>
        <w:gridCol w:w="720"/>
        <w:gridCol w:w="724"/>
        <w:gridCol w:w="313"/>
        <w:gridCol w:w="1070"/>
        <w:gridCol w:w="161"/>
        <w:gridCol w:w="109"/>
        <w:gridCol w:w="109"/>
        <w:gridCol w:w="109"/>
        <w:gridCol w:w="211"/>
        <w:gridCol w:w="616"/>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was $27.8 million during the nine months ended September 30, 2025 compared to $8.3 million during the nine months ended September 30, 2024. The improvement in operating cash flows primarily reflects changes in working capital, particularly in accounts receivable and contract assets, as well as improved inventory management. Net loss was $17.5 million for the nine months ended September 30, 2025, compared to net loss of $19.5 million in the prior-year period. Depreciation and amortization expense was $11.1 million during the nine months ended September 30, 2025 compared to $13.5 million during the nine months ended September 30, 2024, primarily due to lower capital expenditures in recent years, consistent with the decline in production volumes. Inventories decreased by $1.4 million during the nine months ended September 30, 2025, compared to an increase of $0.5 million during the same period in 2024, reflecting improved inventory management practices. A decrease in accounts receivable and contract assets, mainly due to lower sales outstanding, resulted in cash inflows of $38.9 million in 2025 compared to $5.4 million in 2024. Days sales outstanding improved to 72 days at September 30, 2025, from 91 days at September 30, 2024. A decrease in accounts payable and accrued liabilities, primarily driven by lower inventory purchases and timing of payments, resulted in cash outflows of $22.2 million during the nine months ended September 30, 2025, compared to $0.1 million in the prior-year period. Additionally, a decrease in prepaid expenses and other assets, primarily related to the release of a deposit associated with our litigation with Tongshun Company, generated cash inflows of $5.7 million in 2025 compared to $0.8 million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investing activities</w:t>
      </w:r>
      <w:r>
        <w:rPr>
          <w:color w:val="000000"/>
        </w:rPr>
        <w:t xml:space="preserve"> </w:t>
      </w:r>
      <w:r>
        <w:rPr>
          <w:rFonts w:ascii="Times New Roman;serif" w:hAnsi="Times New Roman;serif"/>
          <w:b w:val="false"/>
          <w:color w:val="000000"/>
          <w:sz w:val="20"/>
        </w:rPr>
        <w:t xml:space="preserve">during the nine months ended September 30, 2025 was $5.7 million, of which $2.5 million, $3.1 million and $2.4 million was used for the purchase of Blue Chip Swap securities, capital expenditures and the development of patents, respectively. Offsetting these amounts was $2.3 million received upon the sale of Blue Chip Swap securities. Net cash used for investing activities during the nine months ended September 30, 2024 was $6.7 million, of which $3.5 million and $3.2 million was used for capital expenditures and the development of patents,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investing activities are largely dependent on the timing and amount of capital expenditures and the development of patents, respectively. We estimate that we will incur between $2.0 million and $3.0 million during the remainder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financing activities</w:t>
      </w:r>
      <w:r>
        <w:rPr>
          <w:color w:val="000000"/>
        </w:rPr>
        <w:t xml:space="preserve"> </w:t>
      </w:r>
      <w:r>
        <w:rPr>
          <w:rFonts w:ascii="Times New Roman;serif" w:hAnsi="Times New Roman;serif"/>
          <w:b w:val="false"/>
          <w:color w:val="000000"/>
          <w:sz w:val="20"/>
        </w:rPr>
        <w:t>was $19.8 million during the nine months ended September 30, 2025 compared to $17.1 million during the nine months ended September 30, 2024. The primary financing activities during the nine months ended September 30, 2025 and 2024 were borrowings and repayments on our Credit Lines and repurchases of shares of our common stock. Net repayments on our Credit Lines were $19.0 million during the nine months ended September 30, 2025 compared to $15.2 million during the nine months ended September 30, 2024. During the nine months ended September 30, 2025, we repurchased 107,000 shares of our common stock at a cost of $0.8 million compared to our repurchase of 200,552 shares at a cost of $1.9 million during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Material Cash Commitments</w:t>
      </w:r>
      <w:r>
        <w:rPr>
          <w:color w:val="000000"/>
        </w:rPr>
        <w:t xml:space="preserve"> – </w:t>
      </w:r>
      <w:r>
        <w:rPr>
          <w:rFonts w:ascii="Times New Roman;serif" w:hAnsi="Times New Roman;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708"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material cash commitments with our cash generated from operations and available borrowing on our Credit Lines.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related to our debt. From time to time, we borrow amounts on our Credit Lines for working capital and other liquidity needs. Under the Second Amended Credit Agreement, we pay interest on outstanding borrowings on our U.S. Credit Line based on the Secured Overnight Financing Rate ("SOFR") plus an applicable margin as defined in the Second Amended Credit Agreement. Under our Line of Credit Agreement, we pay interest on outstanding borrowings on our China Credit Line based on the one-year rate from the National Interbank Funding Center, less a 0.1% margin. Accordingly, changes in interest rates would impact our results of operations in future periods. A 100 basis point increase in interest rates would have an approximately $0.2 million annual impact on net income based on our outstanding Credit Lines balance at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make any assurances that we will not need to borrow additional amounts in the future or that funds from the existing Credit Lines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PRC-based factory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2025,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September 30, 2025, net income in the fourth quarter of 2025 would fluctuate by approximately $2.7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arising out of the conduct of our business. The discussion of our litigation matters contained in Note 12 to the "Notes to Consolidated Financial Statements"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reader should carefully consider, in connection with the other information in this report, the risk factors discussed in "Part I, Item 1A: Risk Factors" of the 2024 Form 10-K and in the periodic reports we have filed since then. These factors may cause our actual results to differ materially from those stated in forward-looking statements contained in this Quarterly Report on Form 10-Q and elsewhere.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recently experienced the departures of our CEO and CFO and changes to our board and executive management. These changes may create uncertainty and, more generally, if we are unable to attract and retain qualified management and key personnel, our business will be harmed.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recent changes to our senior management and board, including the retirement of our Chief Executive Officer, Paul D. Arling, in May 2025, the retirement of our Chief Financial Officer, Bryan M. Hackworth, in September 2025, and the retirement of a member of the board and Audit Committee Chair, Edward K. Zinser, in August 2025. In addition, our director William C. Mulligan announced his intention to not stand for re-election at our 2026 Annual Meeting. Richard K. Carnifax, who served as our Chief Operating Officer, is currently serving as our Interim Chief Executive Officer and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and Sui Man Ho (a.k.a. Raymond Ho), who served as our Senior Vice President, Finance, is currently serving as our Interim Chief Financial Officer, principal financial officer and principal accounting officer.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endeavored to implement these management transitions in a non-disruptive manner, such transitions can be inherently difficult to manage and may hamper our ability to meet our financial and operational goals. Such changes may also give rise to uncertainty among our customers, investors, vendors, suppliers, employees and others concerning our future direction and performance. Replacing executive officers and key employees may be difficult and may take an extended period of time because of the limited number of individuals with the skills and experience required. If we are unable to attract and retain high-quality personnel, our ability to pursue our strategy will be limited. Changes in our board and senior management and uncertainty regarding pending changes may disrupt our business, financial condition, results of operations, cash flows and ability to execute on our business plans and impair our ability to recruit and retain other key personnel. Any such disruption or impairment could have an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performance will also depend, in part, on our ability to successfully integrate newly hired executive officers into our management team, and our ability to develop effective working relationships amongst senior management. Our failure to integrate these individuals and create effective working relationships amongst them and other members of management could result in inefficiencies, harming sales of our products and our results of operations. Additionally, we do not currently maintain "key person" life insurance on the lives of our executives or any of our employees.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three months ended September 30, 2025,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745"/>
        <w:gridCol w:w="407"/>
        <w:gridCol w:w="412"/>
        <w:gridCol w:w="109"/>
        <w:gridCol w:w="109"/>
        <w:gridCol w:w="109"/>
        <w:gridCol w:w="513"/>
        <w:gridCol w:w="513"/>
        <w:gridCol w:w="514"/>
        <w:gridCol w:w="109"/>
        <w:gridCol w:w="109"/>
        <w:gridCol w:w="109"/>
        <w:gridCol w:w="213"/>
        <w:gridCol w:w="519"/>
        <w:gridCol w:w="111"/>
        <w:gridCol w:w="109"/>
        <w:gridCol w:w="109"/>
        <w:gridCol w:w="109"/>
        <w:gridCol w:w="801"/>
        <w:gridCol w:w="801"/>
        <w:gridCol w:w="803"/>
        <w:gridCol w:w="109"/>
        <w:gridCol w:w="109"/>
        <w:gridCol w:w="109"/>
        <w:gridCol w:w="902"/>
        <w:gridCol w:w="678"/>
        <w:gridCol w:w="965"/>
      </w:tblGrid>
      <w:tr>
        <w:trPr/>
        <w:tc>
          <w:tcPr>
            <w:tcW w:w="7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(2)</w:t>
            </w:r>
          </w:p>
        </w:tc>
      </w:tr>
      <w:tr>
        <w:trPr/>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778,362 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778,362 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778,362 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10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Of the repurchases in July and August, 256 and 5,195 shares, respectively, represent shares of common stock of the Company that were owned and tendered by employees to satisfy tax withholding obligations in connection with the vesting of restricted shares.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On October 26, 2023, our Board of Directors approved a share repurchase program with an effective date of November 7, 2023 (the "Share Repurchase Program"). Pursuant to this Share Repurchase Program, we are authorized to repurchase up to 1,000,000 shares of our common stock and to date, we have repurchased 221,638 shares of our common stock. On November 4, 2025, our Board of Directors authorized management to continue to execute under the Share Repurchase Program. As a result, pursuant to this authorization, we may, from time to time, repurchase up to the lesser of $3.5 million worth of our common stock or 778,362 shares (the total remaining number of shares available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 director or officer (as defined in Rule 16a-1(f) promulgated under the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191"/>
        <w:gridCol w:w="193"/>
        <w:gridCol w:w="109"/>
        <w:gridCol w:w="109"/>
        <w:gridCol w:w="109"/>
        <w:gridCol w:w="2936"/>
        <w:gridCol w:w="2617"/>
        <w:gridCol w:w="3703"/>
      </w:tblGrid>
      <w:tr>
        <w:trPr/>
        <w:tc>
          <w:tcPr>
            <w:tcW w:w="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Cooperation Agreement, dated May 2, 2025, by and among Universal Electronics Inc., Kent Lake Partners LP, Kent Lake PR LLC, and Benjamin Natter (incorporated by reference to Exhibit 10.1 to the Company's Current Report on Form 8-K filed on May 5, 2025 (File No.0-21044))</w:t>
              </w:r>
            </w:hyperlink>
          </w:p>
          <w:p>
            <w:pPr>
              <w:pStyle w:val="TableContents"/>
              <w:bidi w:val="0"/>
              <w:spacing w:before="0" w:after="0"/>
              <w:jc w:val="both"/>
              <w:rPr/>
            </w:pPr>
            <w:r>
              <w:rPr/>
            </w:r>
          </w:p>
          <w:p>
            <w:pPr>
              <w:pStyle w:val="TableContents"/>
              <w:bidi w:val="0"/>
              <w:spacing w:before="0" w:after="0"/>
              <w:jc w:val="both"/>
              <w:rPr/>
            </w:pPr>
            <w:r>
              <w:rPr/>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Tenth Amendment to Second Amended and Restated Credit Agreement signed July 25, 2025 (incorporated by reference to Exhibit 10.1 to the Company's Current Report on Form 8-K filed on July 31, 2025 (File No. 0-21044))</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Line of Credit Agreement signed July 30, 2025 (incorporated by reference to Exhibit 10.2 to the Company's Current Report on Form 8-K filed on July 31, 2025 (File No. 0-21044))</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Form of Working Capital Loan Contract (incorporated by reference to Exhibit 10.3 to the Company's Current Report on Form 8-K filed on July 31, 2025 (File No. 0-21044))</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105.htm">
              <w:r>
                <w:rPr>
                  <w:rStyle w:val="InternetLink"/>
                  <w:rFonts w:ascii="Times New Roman;serif" w:hAnsi="Times New Roman;serif"/>
                  <w:b w:val="false"/>
                  <w:color w:val="0000FF"/>
                  <w:sz w:val="20"/>
                  <w:u w:val="single"/>
                </w:rPr>
                <w:t>Maximum Mortgage Contract signed September 1, 2025 (filed herewith)</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106.htm">
              <w:r>
                <w:rPr>
                  <w:rStyle w:val="InternetLink"/>
                  <w:rFonts w:ascii="Times New Roman;serif" w:hAnsi="Times New Roman;serif"/>
                  <w:b w:val="false"/>
                  <w:color w:val="0000FF"/>
                  <w:sz w:val="20"/>
                  <w:u w:val="single"/>
                </w:rPr>
                <w:t>Form of UEI Restricted Stock Unit Award Agreement (filed herewith)</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107.htm">
              <w:r>
                <w:rPr>
                  <w:rStyle w:val="InternetLink"/>
                  <w:rFonts w:ascii="Times New Roman;serif" w:hAnsi="Times New Roman;serif"/>
                  <w:b w:val="false"/>
                  <w:color w:val="0000FF"/>
                  <w:sz w:val="20"/>
                  <w:u w:val="single"/>
                </w:rPr>
                <w:t>Form of UEI Performance-Based Stock Unit Award Agreement (filed herewith)</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311.htm">
              <w:r>
                <w:rPr>
                  <w:rStyle w:val="InternetLink"/>
                  <w:rFonts w:ascii="Times New Roman;serif" w:hAnsi="Times New Roman;serif"/>
                  <w:b w:val="false"/>
                  <w:color w:val="0000FF"/>
                  <w:sz w:val="20"/>
                  <w:u w:val="single"/>
                </w:rPr>
                <w:t>Rule 13a-14(a) Certification of Richard K. Carnifax, Interim Chief Executive Officer (principal executive officer) of Universal Electronics Inc.</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312.htm">
              <w:r>
                <w:rPr>
                  <w:rStyle w:val="InternetLink"/>
                  <w:rFonts w:ascii="Times New Roman;serif" w:hAnsi="Times New Roman;serif"/>
                  <w:b w:val="false"/>
                  <w:color w:val="0000FF"/>
                  <w:sz w:val="20"/>
                  <w:u w:val="single"/>
                </w:rPr>
                <w:t>Rule 13a-14(a) Certification of Sui Man Ho, Interim Chief Financial Officer (principal financial officer and principal accounting officer) of Universal Electronics Inc.</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5x10qxex32.htm">
              <w:r>
                <w:rPr>
                  <w:rStyle w:val="InternetLink"/>
                  <w:rFonts w:ascii="Times New Roman;serif" w:hAnsi="Times New Roman;serif"/>
                  <w:b w:val="false"/>
                  <w:color w:val="0000FF"/>
                  <w:sz w:val="20"/>
                  <w:u w:val="single"/>
                </w:rPr>
                <w:t>Section 1350 Certifications of Richard K. Carnifax, Interim Chief Executive Officer (principal executive officer) of Universal Electronics Inc., and Sui Man Ho, Interim Chief Financial Officer (principal financial officer and principal accounting officer) of Universal Electronics Inc., pursuant to 18 U.S.C. Section 1350.</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 hereto are deemed to accompany this Quarterly Report on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faab0f677ef453589a3de2eae364200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232"/>
        <w:gridCol w:w="205"/>
        <w:gridCol w:w="207"/>
        <w:gridCol w:w="497"/>
        <w:gridCol w:w="497"/>
        <w:gridCol w:w="498"/>
        <w:gridCol w:w="109"/>
        <w:gridCol w:w="109"/>
        <w:gridCol w:w="109"/>
        <w:gridCol w:w="293"/>
        <w:gridCol w:w="293"/>
        <w:gridCol w:w="293"/>
        <w:gridCol w:w="293"/>
        <w:gridCol w:w="293"/>
        <w:gridCol w:w="293"/>
        <w:gridCol w:w="1747"/>
        <w:gridCol w:w="1747"/>
        <w:gridCol w:w="2490"/>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UNIVERSAL ELECTRONICS INC.</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Sui Man Ho</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Ho</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(principal financial officer and principal accounting officer)</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417"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10.5</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English Convenience Translation</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Original agreement has been executed in Chinese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Maximum Mortgage Contract</w:t>
      </w:r>
    </w:p>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No.: 150176529M250827001</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0"/>
        </w:rPr>
        <w:t xml:space="preserve">Mortgagor: </w:t>
      </w:r>
      <w:r>
        <w:rPr>
          <w:rFonts w:ascii="Times New Roman;serif" w:hAnsi="Times New Roman;serif"/>
          <w:b/>
          <w:color w:val="000000"/>
          <w:sz w:val="20"/>
          <w:u w:val="single"/>
        </w:rPr>
        <w:t>Gemstar Technology (Yangzhou) Co. Ltd.</w:t>
      </w:r>
    </w:p>
    <w:p>
      <w:pPr>
        <w:pStyle w:val="TextBody"/>
        <w:bidi w:val="0"/>
        <w:spacing w:lineRule="auto" w:line="417" w:before="0" w:after="0"/>
        <w:jc w:val="both"/>
        <w:rPr/>
      </w:pPr>
      <w:r>
        <w:rPr>
          <w:rFonts w:ascii="Times New Roman;serif" w:hAnsi="Times New Roman;serif"/>
          <w:b/>
          <w:color w:val="000000"/>
          <w:sz w:val="20"/>
        </w:rPr>
        <w:t xml:space="preserve">Unified Social Credit Code: </w:t>
      </w:r>
      <w:r>
        <w:rPr>
          <w:rFonts w:ascii="Times New Roman;serif" w:hAnsi="Times New Roman;serif"/>
          <w:b/>
          <w:color w:val="000000"/>
          <w:sz w:val="20"/>
          <w:u w:val="single"/>
        </w:rPr>
        <w:t>91321023769142817E</w:t>
      </w:r>
    </w:p>
    <w:p>
      <w:pPr>
        <w:pStyle w:val="TextBody"/>
        <w:bidi w:val="0"/>
        <w:spacing w:lineRule="auto" w:line="417" w:before="0" w:after="0"/>
        <w:jc w:val="both"/>
        <w:rPr/>
      </w:pPr>
      <w:r>
        <w:rPr>
          <w:rFonts w:ascii="Times New Roman;serif" w:hAnsi="Times New Roman;serif"/>
          <w:b/>
          <w:color w:val="000000"/>
          <w:sz w:val="20"/>
        </w:rPr>
        <w:t xml:space="preserve">Legal Representative/Person in Charge: </w:t>
      </w:r>
      <w:r>
        <w:rPr>
          <w:rFonts w:ascii="Times New Roman;serif" w:hAnsi="Times New Roman;serif"/>
          <w:b/>
          <w:color w:val="000000"/>
          <w:sz w:val="20"/>
          <w:u w:val="single"/>
        </w:rPr>
        <w:t>SZETO , CHI KONG</w:t>
      </w:r>
    </w:p>
    <w:p>
      <w:pPr>
        <w:pStyle w:val="TextBody"/>
        <w:bidi w:val="0"/>
        <w:spacing w:lineRule="auto" w:line="417" w:before="0" w:after="0"/>
        <w:jc w:val="both"/>
        <w:rPr/>
      </w:pPr>
      <w:r>
        <w:rPr>
          <w:rFonts w:ascii="Times New Roman;serif" w:hAnsi="Times New Roman;serif"/>
          <w:b/>
          <w:color w:val="000000"/>
          <w:sz w:val="20"/>
        </w:rPr>
        <w:t xml:space="preserve">Domicile: </w:t>
      </w:r>
      <w:r>
        <w:rPr>
          <w:rFonts w:ascii="Times New Roman;serif" w:hAnsi="Times New Roman;serif"/>
          <w:b/>
          <w:color w:val="000000"/>
          <w:sz w:val="20"/>
          <w:u w:val="single"/>
        </w:rPr>
        <w:t xml:space="preserve">No. 9, Junsheng Road, Concentrated Industrial Zone, Fanshui Town, Baoying County, </w:t>
      </w:r>
      <w:r>
        <w:rPr>
          <w:rFonts w:ascii="Times New Roman;serif" w:hAnsi="Times New Roman;serif"/>
          <w:b/>
          <w:color w:val="000000"/>
          <w:sz w:val="20"/>
        </w:rPr>
        <w:t>Zip Code:</w:t>
      </w:r>
      <w:r>
        <w:rPr>
          <w:rFonts w:ascii="Times New Roman;serif" w:hAnsi="Times New Roman;serif"/>
          <w:b/>
          <w:color w:val="000000"/>
          <w:sz w:val="20"/>
          <w:u w:val="single"/>
        </w:rPr>
        <w:t>225800</w:t>
      </w:r>
    </w:p>
    <w:p>
      <w:pPr>
        <w:pStyle w:val="TextBody"/>
        <w:bidi w:val="0"/>
        <w:spacing w:lineRule="auto" w:line="417" w:before="0" w:after="0"/>
        <w:jc w:val="both"/>
        <w:rPr/>
      </w:pPr>
      <w:r>
        <w:rPr>
          <w:rFonts w:ascii="Times New Roman;serif" w:hAnsi="Times New Roman;serif"/>
          <w:b/>
          <w:color w:val="000000"/>
          <w:sz w:val="20"/>
        </w:rPr>
        <w:t xml:space="preserve">Account-opening financial institution and account number: </w:t>
      </w:r>
      <w:r>
        <w:rPr>
          <w:rFonts w:ascii="Times New Roman;serif" w:hAnsi="Times New Roman;serif"/>
          <w:b/>
          <w:color w:val="000000"/>
          <w:sz w:val="20"/>
          <w:u w:val="single"/>
        </w:rPr>
        <w:t>Bank of China, Fanshui Sub-branch 530058204942</w:t>
      </w:r>
    </w:p>
    <w:p>
      <w:pPr>
        <w:pStyle w:val="TextBody"/>
        <w:bidi w:val="0"/>
        <w:spacing w:lineRule="auto" w:line="417" w:before="0" w:after="0"/>
        <w:jc w:val="both"/>
        <w:rPr/>
      </w:pPr>
      <w:r>
        <w:rPr>
          <w:rFonts w:ascii="Times New Roman;serif" w:hAnsi="Times New Roman;serif"/>
          <w:b/>
          <w:color w:val="000000"/>
          <w:sz w:val="20"/>
        </w:rPr>
        <w:t>Tel.:</w:t>
      </w:r>
      <w:r>
        <w:rPr>
          <w:color w:val="000000"/>
          <w:u w:val="single"/>
        </w:rPr>
        <w:t xml:space="preserve"> </w:t>
      </w:r>
      <w:r>
        <w:rPr>
          <w:rFonts w:ascii="Times New Roman;serif" w:hAnsi="Times New Roman;serif"/>
          <w:b/>
          <w:color w:val="000000"/>
          <w:sz w:val="20"/>
          <w:u w:val="single"/>
        </w:rPr>
        <w:t xml:space="preserve">0514-88423333 </w:t>
      </w:r>
      <w:r>
        <w:rPr>
          <w:rFonts w:ascii="Times New Roman;serif" w:hAnsi="Times New Roman;serif"/>
          <w:b/>
          <w:color w:val="000000"/>
          <w:sz w:val="20"/>
        </w:rPr>
        <w:t>Fax:</w:t>
      </w:r>
      <w:r>
        <w:rPr>
          <w:color w:val="000000"/>
          <w:u w:val="single"/>
        </w:rPr>
        <w:t xml:space="preserve"> </w:t>
      </w:r>
      <w:r>
        <w:rPr>
          <w:rFonts w:ascii="Times New Roman;serif" w:hAnsi="Times New Roman;serif"/>
          <w:b/>
          <w:color w:val="000000"/>
          <w:sz w:val="20"/>
          <w:u w:val="single"/>
        </w:rPr>
        <w:t>0514-88423333</w:t>
      </w:r>
    </w:p>
    <w:p>
      <w:pPr>
        <w:pStyle w:val="TextBody"/>
        <w:bidi w:val="0"/>
        <w:spacing w:lineRule="auto" w:line="417" w:before="0" w:after="0"/>
        <w:jc w:val="both"/>
        <w:rPr/>
      </w:pPr>
      <w:r>
        <w:rPr>
          <w:rFonts w:ascii="Times New Roman;serif" w:hAnsi="Times New Roman;serif"/>
          <w:b/>
          <w:color w:val="000000"/>
          <w:sz w:val="20"/>
        </w:rPr>
        <w:t xml:space="preserve">E-mail: </w:t>
      </w:r>
      <w:r>
        <w:rPr>
          <w:rFonts w:ascii="Times New Roman;serif" w:hAnsi="Times New Roman;serif"/>
          <w:b/>
          <w:color w:val="000000"/>
          <w:sz w:val="20"/>
          <w:u w:val="single"/>
        </w:rPr>
        <w:t xml:space="preserve">ylzhang@uei.com, gchan@uei.com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color w:val="000000"/>
          <w:sz w:val="20"/>
        </w:rPr>
        <w:t xml:space="preserve">Mortgagee: Bank of China Limited, </w:t>
      </w:r>
      <w:r>
        <w:rPr>
          <w:rFonts w:ascii="Times New Roman;serif" w:hAnsi="Times New Roman;serif"/>
          <w:b/>
          <w:color w:val="000000"/>
          <w:sz w:val="20"/>
          <w:u w:val="single"/>
        </w:rPr>
        <w:t>Baoying Sub-branch</w:t>
      </w:r>
    </w:p>
    <w:p>
      <w:pPr>
        <w:pStyle w:val="TextBody"/>
        <w:bidi w:val="0"/>
        <w:spacing w:lineRule="auto" w:line="417" w:before="0" w:after="0"/>
        <w:jc w:val="both"/>
        <w:rPr/>
      </w:pPr>
      <w:r>
        <w:rPr>
          <w:rFonts w:ascii="Times New Roman;serif" w:hAnsi="Times New Roman;serif"/>
          <w:b/>
          <w:color w:val="000000"/>
          <w:sz w:val="20"/>
        </w:rPr>
        <w:t xml:space="preserve">Legal Representative/Person in Charge: </w:t>
      </w:r>
      <w:r>
        <w:rPr>
          <w:rFonts w:ascii="Times New Roman;serif" w:hAnsi="Times New Roman;serif"/>
          <w:b/>
          <w:color w:val="000000"/>
          <w:sz w:val="20"/>
          <w:u w:val="single"/>
        </w:rPr>
        <w:t>Chen Minjie</w:t>
      </w:r>
    </w:p>
    <w:p>
      <w:pPr>
        <w:pStyle w:val="TextBody"/>
        <w:bidi w:val="0"/>
        <w:spacing w:lineRule="auto" w:line="417" w:before="0" w:after="0"/>
        <w:jc w:val="both"/>
        <w:rPr/>
      </w:pPr>
      <w:r>
        <w:rPr>
          <w:rFonts w:ascii="Times New Roman;serif" w:hAnsi="Times New Roman;serif"/>
          <w:b/>
          <w:color w:val="000000"/>
          <w:sz w:val="20"/>
        </w:rPr>
        <w:t>Domicile:</w:t>
      </w:r>
      <w:r>
        <w:rPr>
          <w:color w:val="000000"/>
          <w:u w:val="single"/>
        </w:rPr>
        <w:t xml:space="preserve"> </w:t>
      </w:r>
      <w:r>
        <w:rPr>
          <w:rFonts w:ascii="Times New Roman;serif" w:hAnsi="Times New Roman;serif"/>
          <w:b/>
          <w:color w:val="000000"/>
          <w:sz w:val="20"/>
          <w:u w:val="single"/>
        </w:rPr>
        <w:t xml:space="preserve">No. 915, Ye Ting Road, Baoying County </w:t>
      </w:r>
      <w:r>
        <w:rPr>
          <w:rFonts w:ascii="Times New Roman;serif" w:hAnsi="Times New Roman;serif"/>
          <w:b/>
          <w:color w:val="000000"/>
          <w:sz w:val="20"/>
        </w:rPr>
        <w:t>Zip Code</w:t>
      </w:r>
      <w:r>
        <w:rPr>
          <w:rFonts w:ascii="Times New Roman;serif" w:hAnsi="Times New Roman;serif"/>
          <w:b/>
          <w:color w:val="000000"/>
          <w:sz w:val="20"/>
          <w:u w:val="single"/>
        </w:rPr>
        <w:t>: 225800</w:t>
      </w:r>
    </w:p>
    <w:p>
      <w:pPr>
        <w:pStyle w:val="TextBody"/>
        <w:bidi w:val="0"/>
        <w:spacing w:lineRule="auto" w:line="417" w:before="0" w:after="0"/>
        <w:jc w:val="both"/>
        <w:rPr/>
      </w:pPr>
      <w:r>
        <w:rPr>
          <w:rFonts w:ascii="Times New Roman;serif" w:hAnsi="Times New Roman;serif"/>
          <w:b/>
          <w:color w:val="000000"/>
          <w:sz w:val="20"/>
        </w:rPr>
        <w:t xml:space="preserve">Tel.: </w:t>
      </w:r>
      <w:r>
        <w:rPr>
          <w:rFonts w:ascii="Times New Roman;serif" w:hAnsi="Times New Roman;serif"/>
          <w:b/>
          <w:color w:val="000000"/>
          <w:sz w:val="20"/>
          <w:u w:val="single"/>
        </w:rPr>
        <w:t xml:space="preserve">0514-88121417 </w:t>
      </w:r>
      <w:r>
        <w:rPr>
          <w:rFonts w:ascii="Times New Roman;serif" w:hAnsi="Times New Roman;serif"/>
          <w:b/>
          <w:color w:val="000000"/>
          <w:sz w:val="20"/>
        </w:rPr>
        <w:t xml:space="preserve">Fax: </w:t>
      </w:r>
      <w:r>
        <w:rPr>
          <w:rFonts w:ascii="Times New Roman;serif" w:hAnsi="Times New Roman;serif"/>
          <w:b/>
          <w:color w:val="000000"/>
          <w:sz w:val="20"/>
          <w:u w:val="single"/>
        </w:rPr>
        <w:t>0514-88121417</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Mortgagor voluntarily mortgages the properties listed in the attached “Collateral List”, of which it is entitled to the legal right to dispose, for the Mortgagee’s rights as a creditor, in order to guarantee fulfillment of the obligations under the Master Contract referred to in Article 1 hereof. This Contract is entered into and concluded by and between both parties through equal negotiation. Unless otherwise agreed herein, interpretation of the words herein shall be determined according to the Master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 Master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Master Contract hereof refers to:</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The loan, trade financing, guarantee, funding business and other credit business contracts (collectively referred to as “Individual Contract”) signed by and between the Mortgagee and the Debtor Gemstar Technology (Yangzhou) Co. Ltd. during the period from </w:t>
      </w:r>
      <w:r>
        <w:rPr>
          <w:rFonts w:ascii="Times New Roman;serif" w:hAnsi="Times New Roman;serif"/>
          <w:b w:val="false"/>
          <w:color w:val="000000"/>
          <w:sz w:val="20"/>
          <w:u w:val="single"/>
        </w:rPr>
        <w:t>September 1, 2025 to August 26, 2028</w:t>
      </w:r>
      <w:r>
        <w:rPr>
          <w:rFonts w:ascii="Times New Roman;serif" w:hAnsi="Times New Roman;serif"/>
          <w:b w:val="false"/>
          <w:color w:val="000000"/>
          <w:sz w:val="20"/>
        </w:rPr>
        <w:t>, and the amendments or supplements thereto, which specify that they belong to the Master Contract hereunder.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Article 2 Principal Creditor's Rights and Their Occurrence Period</w:t>
      </w:r>
    </w:p>
    <w:p>
      <w:pPr>
        <w:pStyle w:val="TextBody"/>
        <w:bidi w:val="0"/>
        <w:spacing w:before="0" w:after="0"/>
        <w:jc w:val="left"/>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creditor's rights actually occurred under the Master Contract during the following period (unless occurrence period is determined or agreed upon in accordance with laws) and the creditor's rights already occurred between the Debtor and the Mortgagee before effectiveness hereof shall constitute the principal creditor’s rights hereof:</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The period from </w:t>
      </w:r>
      <w:r>
        <w:rPr>
          <w:rFonts w:ascii="Times New Roman;serif" w:hAnsi="Times New Roman;serif"/>
          <w:b w:val="false"/>
          <w:color w:val="000000"/>
          <w:sz w:val="20"/>
          <w:u w:val="single"/>
        </w:rPr>
        <w:t>September 1, 2025 to August 26, 2028</w:t>
      </w:r>
      <w:r>
        <w:rPr>
          <w:color w:val="000000"/>
        </w:rPr>
        <w:t xml:space="preserve"> </w:t>
      </w:r>
      <w:r>
        <w:rPr>
          <w:rFonts w:ascii="Times New Roman;serif" w:hAnsi="Times New Roman;serif"/>
          <w:b w:val="false"/>
          <w:color w:val="000000"/>
          <w:sz w:val="20"/>
        </w:rPr>
        <w:t>as specified in Article 1 hereof.</w:t>
      </w:r>
    </w:p>
    <w:p>
      <w:pPr>
        <w:pStyle w:val="TextBody"/>
        <w:bidi w:val="0"/>
        <w:spacing w:before="0" w:after="0"/>
        <w:ind w:left="0" w:right="0" w:firstLine="4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Article 3 Maximum Amount Related to Guaranteed Creditor's Rights</w:t>
      </w:r>
    </w:p>
    <w:p>
      <w:pPr>
        <w:pStyle w:val="TextBody"/>
        <w:bidi w:val="0"/>
        <w:spacing w:before="0" w:after="0"/>
        <w:jc w:val="left"/>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Balance of the maximum principal related to the creditor’s rights guaranteed hereunder is:</w:t>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Currency: </w:t>
      </w:r>
      <w:r>
        <w:rPr>
          <w:rFonts w:ascii="Times New Roman;serif" w:hAnsi="Times New Roman;serif"/>
          <w:b w:val="false"/>
          <w:color w:val="000000"/>
          <w:sz w:val="20"/>
          <w:u w:val="single"/>
        </w:rPr>
        <w:t>RMB</w:t>
      </w:r>
      <w:r>
        <w:rPr>
          <w:rFonts w:ascii="Times New Roman;serif" w:hAnsi="Times New Roman;serif"/>
          <w:b w:val="false"/>
          <w:color w:val="000000"/>
          <w:sz w:val="20"/>
        </w:rPr>
        <w:t>.</w:t>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(in words) </w:t>
      </w:r>
      <w:r>
        <w:rPr>
          <w:rFonts w:ascii="Times New Roman;serif" w:hAnsi="Times New Roman;serif"/>
          <w:b w:val="false"/>
          <w:color w:val="000000"/>
          <w:sz w:val="20"/>
          <w:u w:val="single"/>
        </w:rPr>
        <w:t>Two Hundred and Four Million Two Hundred and Ten Thousand Yuan Only.</w:t>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(in figures) </w:t>
      </w:r>
      <w:r>
        <w:rPr>
          <w:rFonts w:eastAsia="Times New Roman;serif"/>
          <w:b w:val="false"/>
          <w:color w:val="000000"/>
          <w:sz w:val="20"/>
          <w:u w:val="single"/>
        </w:rPr>
        <w:t xml:space="preserve">￥ </w:t>
      </w:r>
      <w:r>
        <w:rPr>
          <w:rFonts w:ascii="Times New Roman;serif" w:hAnsi="Times New Roman;serif"/>
          <w:b w:val="false"/>
          <w:color w:val="000000"/>
          <w:sz w:val="20"/>
          <w:u w:val="single"/>
        </w:rPr>
        <w:t>204,210,000.00.</w:t>
      </w:r>
    </w:p>
    <w:p>
      <w:pPr>
        <w:pStyle w:val="TextBody"/>
        <w:bidi w:val="0"/>
        <w:spacing w:before="0" w:after="0"/>
        <w:jc w:val="both"/>
        <w:rPr/>
      </w:pPr>
      <w:r>
        <w:rPr/>
      </w:r>
    </w:p>
    <w:p>
      <w:pPr>
        <w:pStyle w:val="TextBody"/>
        <w:bidi w:val="0"/>
        <w:spacing w:lineRule="auto" w:line="288"/>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 xml:space="preserve">2. If the principal creditor’s rights are determined to belong to that guaranteed hereunder on the expiration date of the occurrence period of such rights as specified in Article 2 hereof, such interest (including interest, compound interest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1</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penalty interest), liquidated damages, damages, expenses for custody of guaranteed properties and for realizing the creditor's rights (including but not limited to litigation, lawyer’s, notary and execution costs and fees, etc.), losses caused to the Mortgagee due to the Debtor's breach of Contract, and all other payable expenses as occurred based on the principal of the debts related to the principal creditor’s rights shall also belong to the guaranteed creditor's rights, and their specific amount shall be determined upon their payment.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sum of the debts determined based on the above two provisions shall be the maximum amount of debts guaranteed hereunder.</w:t>
      </w:r>
    </w:p>
    <w:p>
      <w:pPr>
        <w:pStyle w:val="TextBody"/>
        <w:bidi w:val="0"/>
        <w:spacing w:before="0" w:after="0"/>
        <w:ind w:left="0" w:right="0" w:firstLine="4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4: Collateral</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Please refer to the attached "Collateral List" for the information on collateral.</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During the mortgage period, if any collateral is damaged, lost or expropriated, the Mortgagee may be compensated, with priority, from the insurance proceeds, indemnity or compensation received. If the performance period for the guaranteed creditor's rights is not expired, the insurance proceeds, indemnity or compensation may also be deposited.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 collateral is a property, the Mortgagor shall timely fulfill the obligation to inform the Mortgagee of the fact that the property will be demolished when it becomes aware of the same. During the mortgage period, if the collateral is demolished and compensation for the demolished property is obtained through exchange of another property, the Mortgagor shall make negotiation with the Debtor and the Mortgagee on repayment of the main debt as required by the Mortgagee, or re-mortgage the exchanged property or other collateral and sign a new mortgage agreement as required by the Mortgagee. After the original mortgaged real estate is lost and before new collateral is registered, the Mortgagor shall have a guarantor who meets the guarantee conditions to provide guarantee as required by the Mortgagee. Where compensation is obtained for the demolished property in the form of compensation, the Mortgagee shall have the right to be compensated with priority from such compensation, or require the Mortgagor to continue using the demolition compensation as collateral property by opening a special deposit account or deposit certificate and sign corresponding deposit or deposit certificate pledge agreement.</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If the collateral is the right to use rural collective operating construction land, the Mortgagor shall timely fulfill the obligation to inform the Mortgagee during the mortgage period when it becomes or shall become aware of that such land will be expropriated; If the State expropriates such land legally or if there is any other situation which may result in disappearance of the right to use the land, the Mortgagor shall repay debts to the Mortgagee with priority by using the compensation obtained, or provide other effective guarantee with sufficient value. </w:t>
      </w:r>
      <w:r>
        <w:rPr>
          <w:rFonts w:ascii="Times New Roman;serif" w:hAnsi="Times New Roman;serif"/>
          <w:b/>
          <w:color w:val="000000"/>
          <w:sz w:val="20"/>
        </w:rPr>
        <w:t xml:space="preserve">(Remarks: This provision shall apply to the loan by mortgaging the use right to the rural collective operating construction land carried out in the pilot areas stipulated by the State in accordance with the </w:t>
      </w:r>
      <w:r>
        <w:rPr>
          <w:rFonts w:ascii="Times New Roman;serif" w:hAnsi="Times New Roman;serif"/>
          <w:b/>
          <w:i/>
          <w:color w:val="000000"/>
          <w:sz w:val="20"/>
        </w:rPr>
        <w:t xml:space="preserve">Notice of </w:t>
      </w:r>
      <w:r>
        <w:rPr>
          <w:rFonts w:ascii="Times New Roman;serif" w:hAnsi="Times New Roman;serif"/>
          <w:b/>
          <w:color w:val="000000"/>
          <w:sz w:val="20"/>
        </w:rPr>
        <w:t xml:space="preserve">General Office of the Central Committee of the Communist Party of China and the General Office of the State Council of the People's Republic of China on Issuance of the Opinions on Deepening the </w:t>
      </w:r>
      <w:r>
        <w:rPr>
          <w:rFonts w:ascii="Times New Roman;serif" w:hAnsi="Times New Roman;serif"/>
          <w:b/>
          <w:i/>
          <w:color w:val="000000"/>
          <w:sz w:val="20"/>
        </w:rPr>
        <w:t>Pilot Work of Marketing The Use Right to R</w:t>
      </w:r>
      <w:r>
        <w:rPr>
          <w:rFonts w:ascii="Times New Roman;serif" w:hAnsi="Times New Roman;serif"/>
          <w:b/>
          <w:color w:val="000000"/>
          <w:sz w:val="20"/>
        </w:rPr>
        <w:t xml:space="preserve">ural Collective Operating Construction Land (Ting Zi [2022] No. 34) and the </w:t>
      </w:r>
      <w:r>
        <w:rPr>
          <w:rFonts w:ascii="Times New Roman;serif" w:hAnsi="Times New Roman;serif"/>
          <w:b/>
          <w:i/>
          <w:color w:val="000000"/>
          <w:sz w:val="20"/>
        </w:rPr>
        <w:t xml:space="preserve">Notice of </w:t>
      </w:r>
      <w:r>
        <w:rPr>
          <w:rFonts w:ascii="Times New Roman;serif" w:hAnsi="Times New Roman;serif"/>
          <w:b/>
          <w:color w:val="000000"/>
          <w:sz w:val="20"/>
        </w:rPr>
        <w:t xml:space="preserve">the General Office under the Ministry of Natural Resources of the People’s Republic of China </w:t>
      </w:r>
      <w:r>
        <w:rPr>
          <w:rFonts w:ascii="Times New Roman;serif" w:hAnsi="Times New Roman;serif"/>
          <w:b/>
          <w:i/>
          <w:color w:val="000000"/>
          <w:sz w:val="20"/>
        </w:rPr>
        <w:t xml:space="preserve">on Issuance of the Pilot Work Plan for Deepening the Pilot Work of Marketing The Use Right to </w:t>
      </w:r>
      <w:r>
        <w:rPr>
          <w:rFonts w:ascii="Times New Roman;serif" w:hAnsi="Times New Roman;serif"/>
          <w:b/>
          <w:color w:val="000000"/>
          <w:sz w:val="20"/>
        </w:rPr>
        <w:t>Rural Collective Operating Construction Land [2023] No. 364).)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5 Registration of Mortgage</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The Mortgagor and the Mortgagee shall go through the formalities for registration of mortgage in and with relevant registration department within </w:t>
      </w:r>
      <w:r>
        <w:rPr>
          <w:rFonts w:ascii="Times New Roman;serif" w:hAnsi="Times New Roman;serif"/>
          <w:b w:val="false"/>
          <w:color w:val="000000"/>
          <w:sz w:val="20"/>
          <w:u w:val="single"/>
        </w:rPr>
        <w:t>30</w:t>
      </w:r>
      <w:r>
        <w:rPr>
          <w:color w:val="000000"/>
        </w:rPr>
        <w:t xml:space="preserve"> </w:t>
      </w:r>
      <w:r>
        <w:rPr>
          <w:rFonts w:ascii="Times New Roman;serif" w:hAnsi="Times New Roman;serif"/>
          <w:b w:val="false"/>
          <w:color w:val="000000"/>
          <w:sz w:val="20"/>
        </w:rPr>
        <w:t>days after signature hereof.</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If the collateral is movable property and the main debt guaranteed is the financing funds for purchasing the collateral, within ten(10) days after the delivery of the collateral, the Mortgagor and the Mortgagee shall go to the relevant registration department to handle the mortgage registration procedures. </w:t>
      </w:r>
      <w:r>
        <w:rPr>
          <w:rFonts w:ascii="Times New Roman;serif" w:hAnsi="Times New Roman;serif"/>
          <w:b/>
          <w:color w:val="000000"/>
          <w:sz w:val="20"/>
        </w:rPr>
        <w:t>(Note: This paragraph shall not apply if the collateral is not a movable asset and the principal creditor’s rights guaranteed is the financing amount for the purchase of the collateral)</w:t>
      </w:r>
    </w:p>
    <w:p>
      <w:pPr>
        <w:pStyle w:val="TextBody"/>
        <w:bidi w:val="0"/>
        <w:spacing w:before="0" w:after="0"/>
        <w:ind w:left="0" w:right="0" w:firstLine="42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If there is a change in the registered items of the mortgage and it is necessary to make a change registration according to law, the Mortgagor and the Mortgagee shall go to the relevant registration department to handle the change registration within </w:t>
      </w:r>
      <w:r>
        <w:rPr>
          <w:rFonts w:ascii="Times New Roman;serif" w:hAnsi="Times New Roman;serif"/>
          <w:b w:val="false"/>
          <w:color w:val="000000"/>
          <w:sz w:val="20"/>
          <w:u w:val="single"/>
        </w:rPr>
        <w:t>15</w:t>
      </w:r>
      <w:r>
        <w:rPr>
          <w:color w:val="000000"/>
        </w:rPr>
        <w:t xml:space="preserve"> </w:t>
      </w:r>
      <w:r>
        <w:rPr>
          <w:rFonts w:ascii="Times New Roman;serif" w:hAnsi="Times New Roman;serif"/>
          <w:b w:val="false"/>
          <w:color w:val="000000"/>
          <w:sz w:val="20"/>
        </w:rPr>
        <w:t>days from the date of the change in the registered items.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mortgage registration fee shall be borne by the Mortgagee.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6 Possession and Custody of Collateral</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2</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2</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collateral under this contract shall be possessed and kept by the Mortgagor, but all certificates of ownership of the collateral shall be entrusted to the custody of the Mortgagee. The Mortgagor agrees to accept and effectively cooperate with the Mortgagee and its appointed institutions and individuals to inspect the collateral at any time.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Mortgagor shall properly keep, maintain and upkeep the collateral, and take effective measures to ensure the safety and integrity of the collateral; If the collateral needs maintenance, the Mortgagor shall promptly carry it out and bear the corresponding expenses.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Without the written consent of the Mortgagee, the Mortgagor shall not transfer, gift, re-mortgage, pledge, entrust, rent, lend, contribute in kind, renovate, rebuild, establish residential rights, or dispose of the collateral in whole or in part in any other way; With the written consent of the Mortgagee, the proceeds from the disposal of the collateral shall be deposited into the designated account of the Mortgagee. The Mortgagee has the right to choose the following methods for disposal: (1) Require early repayment of the debt; (2) Convert the price into a deposit pledge; (3) Require the Mortgagor to provide new collateral; If the Mortgagor transfers the collateral without the written consent of the Mortgagee, resulting in the transfer price being significantly lower than the reasonable market value, the Mortgagor shall assume the responsibility within the scope of its fault.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7 Determination of the Value of the Collateral and Treatment of Its Reduction</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color w:val="000000"/>
          <w:sz w:val="20"/>
        </w:rPr>
        <w:t xml:space="preserve">The value of the collateral can be determined through negotiation between the Mortgagee and the Mortgagor. If a third-party appraisal company is commissioned to evaluate the value of the collateral, the Borrower is a small and micro enterprise, and the Mortgagee acts as the principal and bears the appraisal fee; The Borrower is a non-small and micro enterprise, and the </w:t>
      </w:r>
      <w:r>
        <w:rPr>
          <w:rFonts w:ascii="Times New Roman;serif" w:hAnsi="Times New Roman;serif"/>
          <w:b/>
          <w:color w:val="000000"/>
          <w:sz w:val="20"/>
          <w:u w:val="single"/>
        </w:rPr>
        <w:t>Mortgagor</w:t>
      </w:r>
      <w:r>
        <w:rPr>
          <w:color w:val="000000"/>
        </w:rPr>
        <w:t xml:space="preserve"> </w:t>
      </w:r>
      <w:r>
        <w:rPr>
          <w:rFonts w:ascii="Times New Roman;serif" w:hAnsi="Times New Roman;serif"/>
          <w:b/>
          <w:color w:val="000000"/>
          <w:sz w:val="20"/>
        </w:rPr>
        <w:t>serves as the principal and bears the evaluation fee.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value of the collateral determined through negotiation or the value conclusion of the evaluation report of the evaluation company reviewed by the Mortgagee shall be recorded in the corresponding column of the "Collateral List" in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 actions of the Mortgagor are sufficient to reduce the value of the collateral before the principal creditor’s rights under this Contract are fully repaid, the Mortgagee has the right to demand that the Mortgagor cease their actions. If the value of the collateral decreases, the Mortgagee has the right to demand that the Mortgagor restore the value of the collateral or provide other guarantees equivalent to the reduced value and recognized by the Mortgagee. If the Mortgagor fails to restore the value of the collateral or provide guarantee, the Mortgagee has the right to demand that the Debtor repay the debt in advance. If the Debtor fails to fulfill the debt as required, the Mortgagee has the right to exercise the hypothec.</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 collateral is lost or its value is reduced due to natural disasters, accidents, infringement, or other reasons, the Mortgagor shall immediately take measures to prevent the loss from further expanding and notify the Mortgagee in writing immediately.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8 Yield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 xml:space="preserve">If the Debtor fails to perform the debts due or other circumstances for the realization of the mortgage as agreed in this contract, resulting in the Mortgage being seized by the People's court in accordance with law, the Mortgagee shall have the right to receive the natural or legal yield arising from the collateral from the date of seizure, unless the Mortgagee fails to notify the obligor who shall pay off the legal yield. </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yield provided for in the preceding paragraph shall first be used to offset the costs of collecting the yield.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Article 9 Insurance for Collateral (Note: This is an optional clause, choose the following </w:t>
      </w:r>
      <w:r>
        <w:rPr>
          <w:rFonts w:ascii="Times New Roman;serif" w:hAnsi="Times New Roman;serif"/>
          <w:b/>
          <w:color w:val="000000"/>
          <w:sz w:val="20"/>
          <w:u w:val="single"/>
        </w:rPr>
        <w:t>2</w:t>
      </w:r>
      <w:r>
        <w:rPr>
          <w:color w:val="000000"/>
        </w:rPr>
        <w:t xml:space="preserve"> </w:t>
      </w:r>
      <w:r>
        <w:rPr>
          <w:rFonts w:ascii="Times New Roman;serif" w:hAnsi="Times New Roman;serif"/>
          <w:b/>
          <w:color w:val="000000"/>
          <w:sz w:val="20"/>
        </w:rPr>
        <w:t>items: 1. Applicable; 2. Not applicable)</w:t>
      </w:r>
    </w:p>
    <w:p>
      <w:pPr>
        <w:pStyle w:val="TextBody"/>
        <w:bidi w:val="0"/>
        <w:spacing w:before="0" w:after="0"/>
        <w:jc w:val="both"/>
        <w:rPr/>
      </w:pPr>
      <w:r>
        <w:rPr/>
      </w:r>
    </w:p>
    <w:p>
      <w:pPr>
        <w:pStyle w:val="TextBody"/>
        <w:bidi w:val="0"/>
        <w:spacing w:lineRule="auto" w:line="288"/>
        <w:ind w:left="0" w:right="0" w:firstLine="420"/>
        <w:jc w:val="both"/>
        <w:rPr/>
      </w:pPr>
      <w:r>
        <w:rPr>
          <w:rFonts w:ascii="Times New Roman;serif" w:hAnsi="Times New Roman;serif"/>
          <w:b w:val="false"/>
          <w:color w:val="000000"/>
          <w:sz w:val="20"/>
        </w:rPr>
        <w:t xml:space="preserve">The Mortgagor shall insure the collateral with an insurance company determined through negotiation with the Mortgagee in accordance with the insurance type, insurance period, and insured amount agreed upon by both parties. If the assessed value of the collateral is not less than the corresponding amount of the principal creditor’s rights guaranteed by this Contract, the insurance shall be purchased at a rate not less than the corresponding amount of the principal creditor’s rights guaranteed by this contract. If the assessed value of the collateral is lower than the corresponding amount of the principal creditor’s rights guaranteed by this contract, the insurance shall be purchased at the assessed value of the collateral. The content of the insurance policy shall meet the requirements of the Mortgagee and shall not be accompanied by restrictive conditions that harm the rights and interests of the Mortgagee. </w:t>
      </w:r>
      <w:r>
        <w:rPr>
          <w:rFonts w:ascii="Times New Roman;serif" w:hAnsi="Times New Roman;serif"/>
          <w:b/>
          <w:color w:val="000000"/>
          <w:sz w:val="20"/>
        </w:rPr>
        <w:t>The insurance premium shall be borne by the Mortgagee</w:t>
      </w:r>
      <w:r>
        <w:rPr>
          <w:color w:val="000000"/>
          <w:u w:val="single"/>
        </w:rPr>
        <w:t xml:space="preserve"> </w:t>
      </w:r>
      <w:r>
        <w:rPr>
          <w:rFonts w:ascii="Times New Roman;serif" w:hAnsi="Times New Roman;serif"/>
          <w:b/>
          <w:color w:val="000000"/>
          <w:sz w:val="20"/>
          <w:u w:val="single"/>
        </w:rPr>
        <w:t>/</w:t>
      </w:r>
      <w:r>
        <w:rPr>
          <w:rFonts w:ascii="Times New Roman;serif" w:hAnsi="Times New Roman;serif"/>
          <w:b/>
          <w:color w:val="000000"/>
          <w:sz w:val="20"/>
        </w:rPr>
        <w:t>or by the Mortgagor</w:t>
      </w:r>
      <w:r>
        <w:rPr>
          <w:rFonts w:ascii="Times New Roman;serif" w:hAnsi="Times New Roman;serif"/>
          <w:b/>
          <w:color w:val="000000"/>
          <w:sz w:val="20"/>
          <w:u w:val="single"/>
        </w:rPr>
        <w:t>/</w:t>
      </w:r>
      <w:r>
        <w:rPr>
          <w:color w:val="000000"/>
        </w:rPr>
        <w:t xml:space="preserve"> </w:t>
      </w:r>
      <w:r>
        <w:rPr>
          <w:rFonts w:ascii="Times New Roman;serif" w:hAnsi="Times New Roman;serif"/>
          <w:b/>
          <w:color w:val="000000"/>
          <w:sz w:val="20"/>
        </w:rPr>
        <w:t>.If the Borrower is a small and micro enterprise, the insurance premium shall be borne by the Mortgagee.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3</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3</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Before the principal creditor’s rights under this Contract are fully repaid, the Mortgagor shall not interrupt, terminate, modify or change the insurance policy for any reason, and shall take all reasonable and necessary measures to ensure that the insurance specified in this Article remains valid. </w:t>
      </w:r>
      <w:r>
        <w:rPr>
          <w:rFonts w:ascii="Times New Roman;serif" w:hAnsi="Times New Roman;serif"/>
          <w:b/>
          <w:color w:val="000000"/>
          <w:sz w:val="20"/>
        </w:rPr>
        <w:t>If the Mortgagor fails to purchase insurance or violates the aforementioned agreement, the Mortgagee has the right to decide whether to purchase insurance or continue to purchase insurance for the collateral.The insurance premium shall be borne by the Mortgagee</w:t>
      </w:r>
      <w:r>
        <w:rPr>
          <w:color w:val="000000"/>
          <w:u w:val="single"/>
        </w:rPr>
        <w:t xml:space="preserve"> </w:t>
      </w:r>
      <w:r>
        <w:rPr>
          <w:rFonts w:ascii="Times New Roman;serif" w:hAnsi="Times New Roman;serif"/>
          <w:b/>
          <w:color w:val="000000"/>
          <w:sz w:val="20"/>
          <w:u w:val="single"/>
        </w:rPr>
        <w:t xml:space="preserve">/ </w:t>
      </w:r>
      <w:r>
        <w:rPr>
          <w:rFonts w:ascii="Times New Roman;serif" w:hAnsi="Times New Roman;serif"/>
          <w:b/>
          <w:color w:val="000000"/>
          <w:sz w:val="20"/>
        </w:rPr>
        <w:t>and the Mortgagor</w:t>
      </w:r>
      <w:r>
        <w:rPr>
          <w:rFonts w:ascii="Times New Roman;serif" w:hAnsi="Times New Roman;serif"/>
          <w:b/>
          <w:color w:val="000000"/>
          <w:sz w:val="20"/>
          <w:u w:val="single"/>
        </w:rPr>
        <w:t>/ .</w:t>
      </w:r>
      <w:r>
        <w:rPr>
          <w:rFonts w:ascii="Times New Roman;serif" w:hAnsi="Times New Roman;serif"/>
          <w:b/>
          <w:color w:val="000000"/>
          <w:sz w:val="20"/>
        </w:rPr>
        <w:t>Any losses caused to the Mortgagee due to the Mortgagor's failure to bear the corresponding insurance premium as agreed shall be recorded in the balance of the creditor's rights. If the Borrower is a small and micro enterprise, the insurance premium shall be borne by the Mortgagee.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Within </w:t>
      </w:r>
      <w:r>
        <w:rPr>
          <w:rFonts w:ascii="Times New Roman;serif" w:hAnsi="Times New Roman;serif"/>
          <w:b w:val="false"/>
          <w:color w:val="000000"/>
          <w:sz w:val="20"/>
          <w:u w:val="single"/>
        </w:rPr>
        <w:t xml:space="preserve">/ </w:t>
      </w:r>
      <w:r>
        <w:rPr>
          <w:rFonts w:ascii="Times New Roman;serif" w:hAnsi="Times New Roman;serif"/>
          <w:b w:val="false"/>
          <w:color w:val="000000"/>
          <w:sz w:val="20"/>
        </w:rPr>
        <w:t>days after the signing of this Contract, the Mortgagor shall submit the original insurance policy for the collateral to the Mortgagee, and transfer the right to claim insurance benefits due to the occurrence of the insurance event to the Mortgagee. The original insurance policy shall be held by the Mortgagee until the principal creditor’s rights under this Contract are fully repaid.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10 Guarantee Liability</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 Debtor fails to make payment to the Mortgagee as agreed on any normal repayment date or early repayment date under the Master Contract, the Mortgagee shall have the right to exercise the hypothec in accordance with the law and the provisions of this Contract, and shall be given priority for repayment of the collateral within the maximum amount specified in Article 3 of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normal repayment date referred to in the preceding paragraph is the principal repayment date, interest payment date, or the date on which the Debtor is required to pay any amount to the Mortgagee as specified in the Master Contract. The early repayment date referred to in the preceding paragraph refers to the early repayment date proposed by the Debtor with the consent of the Mortgagee, as well as the date on which the Mortgagee requests the Debtor to recover the principal and interest of the debt and/or any other payments in advance according to the contract and other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Article 11: Method and Period of Exercising Hypothec </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After the occurrence of the guarantee liability, the Mortgagee has the right to exercise the hypothec on the collateral in accordance with the provisions of laws and regulations on ordinary hypothec for all or part, multiple or single principal debts that have reached the repayment period.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For each principal claim, the Mortgagee shall exercise the hypothec within its statute of limitations period; If the debt is settled in installments, the Mortgagee shall exercise the mortgage right before the expiration of the statute of limitations based on the last installment of the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12 Realization of Hypothec</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After the occurrence of the guarantee liability, the Mortgagee has the right to negotiate with the Mortgagor to discount the collateral or use the proceeds from auctioning or selling the collateral to pay off the principal creditor’s rights first. If the agreement cannot be reached, the Mortgagee has the right to request the people's court to auction or sell the collateral in accordance with the law.</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proceeds from the disposal of the collateral shall be used to settle the principal creditor’s rights after priority payment of the disposal expenses of the collateral and the expenses that the Mortgagor shall pay or repay to the Mortgagee under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simultaneous existence of other security under guarantee or warranty for the principal debt outside this Contract shall not affect any right of the Mortgagee hereunder and its exercise, and the Mortgagee shall have the right to decide the order of exercise of each security right, and the Mortgagor shall assume the security responsibility in accordance with this Contract and shall not use the existence of other security and the order of its exercise as a defense against the Creditor.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13 Relationship between the Contract and the Master Contract</w:t>
      </w:r>
    </w:p>
    <w:p>
      <w:pPr>
        <w:pStyle w:val="TextBody"/>
        <w:bidi w:val="0"/>
        <w:spacing w:before="0" w:after="0"/>
        <w:jc w:val="both"/>
        <w:rPr/>
      </w:pPr>
      <w:r>
        <w:rPr/>
      </w:r>
    </w:p>
    <w:p>
      <w:pPr>
        <w:pStyle w:val="TextBody"/>
        <w:bidi w:val="0"/>
        <w:spacing w:lineRule="auto" w:line="288"/>
        <w:ind w:left="0" w:right="0" w:firstLine="420"/>
        <w:jc w:val="both"/>
        <w:rPr/>
      </w:pPr>
      <w:r>
        <w:rPr>
          <w:rFonts w:ascii="Times New Roman;serif" w:hAnsi="Times New Roman;serif"/>
          <w:b w:val="false"/>
          <w:color w:val="000000"/>
          <w:sz w:val="20"/>
        </w:rPr>
        <w:t xml:space="preserve">If the Master Contract includes the </w:t>
      </w:r>
      <w:r>
        <w:rPr>
          <w:rFonts w:ascii="Times New Roman;serif" w:hAnsi="Times New Roman;serif"/>
          <w:b w:val="false"/>
          <w:i/>
          <w:color w:val="000000"/>
          <w:sz w:val="20"/>
        </w:rPr>
        <w:t>Line of Credit Agreement</w:t>
      </w:r>
      <w:r>
        <w:rPr>
          <w:rFonts w:ascii="Times New Roman;serif" w:hAnsi="Times New Roman;serif"/>
          <w:b w:val="false"/>
          <w:color w:val="000000"/>
          <w:sz w:val="20"/>
        </w:rPr>
        <w:t>/</w:t>
      </w:r>
      <w:r>
        <w:rPr>
          <w:rFonts w:ascii="Times New Roman;serif" w:hAnsi="Times New Roman;serif"/>
          <w:b w:val="false"/>
          <w:i/>
          <w:color w:val="000000"/>
          <w:sz w:val="20"/>
        </w:rPr>
        <w:t>Master Line of Credit Agreement</w:t>
      </w:r>
      <w:r>
        <w:rPr>
          <w:rFonts w:ascii="Times New Roman;serif" w:hAnsi="Times New Roman;serif"/>
          <w:b w:val="false"/>
          <w:color w:val="000000"/>
          <w:sz w:val="20"/>
        </w:rPr>
        <w:t>, any extension of the credit limit usage period/business cooperation period shall require the written consent of the Mortgagor. Without the consent or refusal of the Mortgagor, the Mortgagor shall only assume the guarantee liability for the principal creditor’s rights arising during the original credit limit usage period/business cooperation period with the collateral under this Contract, within the maximum amount of guaranteed creditor's rights specified in Article 3 of this Contract.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4</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4</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Any changes to other contents or matters of the </w:t>
      </w:r>
      <w:r>
        <w:rPr>
          <w:rFonts w:ascii="Times New Roman;serif" w:hAnsi="Times New Roman;serif"/>
          <w:b w:val="false"/>
          <w:i/>
          <w:color w:val="000000"/>
          <w:sz w:val="20"/>
        </w:rPr>
        <w:t>Line of Credit Agreement/Master Line of Credit Agreement</w:t>
      </w:r>
      <w:r>
        <w:rPr>
          <w:rFonts w:ascii="Times New Roman;serif" w:hAnsi="Times New Roman;serif"/>
          <w:b w:val="false"/>
          <w:color w:val="000000"/>
          <w:sz w:val="20"/>
        </w:rPr>
        <w:t>, as well as any changes to individual agreements under it, or any changes to a single Master Contract, do not require the consent of the Mortgagor. The Mortgagor shall still assume the guarantee liability for the changed Master Contract within the maximum guaranteed debt amount specified in Article 3 of this contract, using the collateral under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Upon mutual agreement between the Mortgagee and the Mortgagor, the maximum amount of guaranteed debt as specified in Article 3 of this Contract may be changed in writing.</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there are other mortgagees on the collateral under this Contract, without the written consent of the other mortgagees, the above changes shall not have an adverse effect on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14 Presentation and Undertakings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The Mortgagor presents and undertakes as follows: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The Mortgagor is legally registered and existing lawfully, has the full capacity for civil rights and civil conduct necessary for signature and performance hereof, and is entitled to the legal ownership of or disposal rights over the collateral;</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2. The Mortgagor guarantees that there is no other co-owner on the collateral, or the Mortgagor has obtained written permission from all co-owners although there are co-owners. The Mortgagor undertakes to hand over the written permission to the Mortgagee for safekeeping before signing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3. The Mortgagor fully understands the contents of the Master Contract, and the signing and performance of this Contract are based on the Mortgagor's true intention. The Mortgagor has obtained legal and valid authorization in accordance with its articles of association or other internal management documents;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If the Mortgagor is a third party and a company, the Mortgagor shall provide the guarantee, which has been approved by the board of directors, shareholders' meeting, or shareholders' general meeting in accordance with the provisions of the company's articles of association; If the company's articles of association have limits on the total amount of guarantees and the amount of individual guarantees, the guarantees under this Contract shall not exceed the prescribed limits;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signing and performance of this Contract will not violate any contract, agreement or other legal document that is binding on the Mortgagor. The Mortgagor has obtained or will obtain all relevant approvals, licenses, filings or registrations required for the establishment of this mortgage;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4. All documents and information provided by the Mortgagor to the Mortgagee are accurate, true, complete, and valid;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5. The Mortgagor has not concealed from the Mortgagee any security interests existing on the collateral as of the signature date hereof;</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6. If a new security interest is established on the collateral, the collateral is sealed or involved in a major lawsuit or arbitration case, the Mortgagor shall promptly notify the Mortgagee;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7. If the collateral is a construction in progress, the Mortgagor promises that there is no third party which is entitled to any right to be compensated from the collateral with priority; If there is any such third party with such priority, the Mortgagor shall undertake to require the third party to issue a written statement to waive such priority and shall submit it to the Mortgagee for custody;</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8. If the collateral is a property, the Mortgagor shall undertake before signature hereof that there is no third party which is entitled to the right to reside in the collateral, unless the Mortgagor has disclosed it to the Mortgagee; During the mortgage period, no occupation rights may be established over any part or all of the collateral without the written consent of the Mortgagee;</w:t>
      </w:r>
    </w:p>
    <w:p>
      <w:pPr>
        <w:pStyle w:val="TextBody"/>
        <w:bidi w:val="0"/>
        <w:spacing w:before="0" w:after="0"/>
        <w:ind w:left="0" w:right="0" w:firstLine="495"/>
        <w:jc w:val="both"/>
        <w:rPr/>
      </w:pPr>
      <w:r>
        <w:rPr/>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9. If the collateral is movable property, the Mortgagor promises that there are no outstanding payments or financing funds for purchasing the collateral that have not been notified to the Mortgagee, and there are no established security interests with the mortgage price as the main creditor's right on the collateral;</w:t>
      </w:r>
    </w:p>
    <w:p>
      <w:pPr>
        <w:pStyle w:val="TextBody"/>
        <w:bidi w:val="0"/>
        <w:spacing w:before="0" w:after="0"/>
        <w:ind w:left="0" w:right="0" w:firstLine="495"/>
        <w:jc w:val="both"/>
        <w:rPr/>
      </w:pPr>
      <w:r>
        <w:rPr/>
      </w:r>
    </w:p>
    <w:p>
      <w:pPr>
        <w:pStyle w:val="TextBody"/>
        <w:bidi w:val="0"/>
        <w:spacing w:lineRule="auto" w:line="288"/>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10. The Mortgagor undertakes that the source of the collateral is legal and the transaction does not violate the United Nations, China and other sanctions that need to be applied; the Mortgagor shall cooperate with the Mortgagee in carrying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5</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5</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 the due diligence work, and cooperate in providing and updating the information of the organization and its beneficial owners, and provide background information about the transaction.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15 Event of Default and Handling</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Any of the following circumstances shall constitute or be deemed as a breach hereunder by the Mortgagor:</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The Mortgagor violates the provisions of this Contract by transferring, renting, lending, investing in physical form, renovating, rebuilding or disposing of the collateral in whole or in part in any other way;</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2. The Mortgagor fails to timely handle the mortgage registration as specified in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3. The Mortgagor obstructs the Mortgagee in any way from disposing of the collateral in accordance with the law and/or relevant provisions of this Contract;</w:t>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4. In the event of a decrease in the value of the collateral as described in Article 7 of this Contract, the Mortgagor shall not restore the value of the collateral as requested by the Mortgagee, nor provide any guarantee;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5. The statements made by the Mortgagor under this Contract are untrue or Borrower is in breach of its undertakings made under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6. The Mortgagor has breached any other provisions under this Contract concerning the rights and obligations of the Parties;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7. The Mortgagor ceases to operate or an event of dissolution, revocation or bankruptcy occurs;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8.The Mortgagor has an event of default under other contracts with the Mortgagee or other institutions of Bank of China Limited.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9. The Mortgagor refuses to cooperate with the Mortgagee in conducting due diligence, and the Mortgagor or its transaction/counterparty is suspected of money laundering, terrorist financing, nuclear weapon proliferation, violation of applicable sanctions regulations, other illegal and irregular behaviors, or the Mortgagor is included in the United Nations, China and other applicable sanctions lists or scope of sanctions.</w:t>
      </w:r>
    </w:p>
    <w:p>
      <w:pPr>
        <w:pStyle w:val="TextBody"/>
        <w:bidi w:val="0"/>
        <w:spacing w:before="0" w:after="0"/>
        <w:ind w:left="0" w:right="0" w:firstLine="42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In case of an event of default as provided for in the preceding paragraph, Mortgagee shall be entitled to take the following measures separately or simultaneously, as the case may be: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Requesting the Mortgagor to correct their default within a time limit;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2. Requesting the Mortgagor to use the proceeds from the disposal of the collateral for early repayment of debts or to deposit with a third party designated by the Mortgagee;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3. Reducing, suspending or terminating the credit line to the Mortgagor in whole or in part;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4. Suspending or terminating the acceptance of the Mortgagor's business applications under other contracts in whole or in part; Suspending or terminating the issuance and processing of loans and trade financing that have not yet been disbursed or processed, in whole or in part;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5. Announcing that all or part of the principal, interest, and other payable amounts of the loan/trade financing that the Mortgagor has not yet repaid under other contracts shall immediately become due;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6. Terminating or rescinding this Contract, and terminating or rescinding other contracts between the Mortgagor and the Mortgagee in whole or in part;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7. Claiming compensation from the Mortgagor for the losses caused to Mortgagee as a result of its default;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8. Exercising the hypothec;</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9. Other measures deemed necessary by the Mortgagee.</w:t>
      </w:r>
    </w:p>
    <w:p>
      <w:pPr>
        <w:pStyle w:val="TextBody"/>
        <w:bidi w:val="0"/>
        <w:spacing w:before="0" w:after="0"/>
        <w:ind w:left="0" w:right="0" w:firstLine="4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16 Reservation of Rights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6</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6</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The failure of either party to exercise some or all of its rights under this Contract, or to request the other party to perform or assume some or all of its obligations or liabilities, shall not constitute a waiver of such rights or a waiver of such obligations or liabilities.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Any tolerance, rollover or postponement of the exercise of rights under this Contract by one party to the other party shall not affect any rights it enjoys under this Contract and laws and regulations, nor shall it be deemed as a waiver of such rights.</w:t>
      </w:r>
    </w:p>
    <w:p>
      <w:pPr>
        <w:pStyle w:val="TextBody"/>
        <w:bidi w:val="0"/>
        <w:spacing w:before="0" w:after="0"/>
        <w:ind w:left="0" w:right="0" w:firstLine="4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17 Revision, Amendment and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Contract may be revised or amended in writing upon the consensus reached by both parties through negotiation, and any revision or amendment shall constitute an integral part hereof.</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Unless otherwise provided for by laws or regulations or agreed by the Parties, this Contract shall not be terminated, until the rights and obligations hereunder are fully exercised and fulfilled.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Unless otherwise provided for by laws and regulations or agreed by the Parties, the invalidity of any Article hereof shall not affect the legal effect of other Articles.</w:t>
      </w:r>
    </w:p>
    <w:p>
      <w:pPr>
        <w:pStyle w:val="TextBody"/>
        <w:bidi w:val="0"/>
        <w:spacing w:before="0" w:after="0"/>
        <w:ind w:left="0" w:right="0" w:firstLine="4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18 Governing law and Settlement of Dispute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This Contract shall be governed by the laws of the People's Republic of China (excluding the laws of Hong Kong Special Administrative Region, Macao Special Administrative Region, and Taiwan for the purpose of this Contract).</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All disputes or controversies arising from performance hereof may be settled by both parties through negotiation. </w:t>
      </w:r>
      <w:r>
        <w:rPr>
          <w:rFonts w:ascii="Times New Roman;serif" w:hAnsi="Times New Roman;serif"/>
          <w:b/>
          <w:color w:val="000000"/>
          <w:sz w:val="20"/>
        </w:rPr>
        <w:t>In case of unsuccessful negotiation, both parties shall agree to adopt the same dispute settlement method as specified in the Master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During dispute settlement period, other terms hereof shall continue to be performed, if performance thereof is not affected by such dispute.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19 Annex</w:t>
      </w:r>
    </w:p>
    <w:p>
      <w:pPr>
        <w:pStyle w:val="TextBody"/>
        <w:bidi w:val="0"/>
        <w:spacing w:before="0" w:after="0"/>
        <w:jc w:val="both"/>
        <w:rPr/>
      </w:pPr>
      <w:r>
        <w:rPr/>
      </w:r>
    </w:p>
    <w:p>
      <w:pPr>
        <w:pStyle w:val="TextBody"/>
        <w:bidi w:val="0"/>
        <w:spacing w:lineRule="auto" w:line="288" w:before="0" w:after="0"/>
        <w:ind w:left="0" w:right="0" w:firstLine="435"/>
        <w:jc w:val="both"/>
        <w:rPr>
          <w:rFonts w:ascii="Times New Roman;serif" w:hAnsi="Times New Roman;serif"/>
          <w:b w:val="false"/>
          <w:color w:val="000000"/>
          <w:sz w:val="20"/>
        </w:rPr>
      </w:pPr>
      <w:r>
        <w:rPr>
          <w:rFonts w:ascii="Times New Roman;serif" w:hAnsi="Times New Roman;serif"/>
          <w:b w:val="false"/>
          <w:color w:val="000000"/>
          <w:sz w:val="20"/>
        </w:rPr>
        <w:t>The following annexes and other annexes mutually confirmed by both parties shall constitute integral parts hereof, and have the same legal effect as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Collateral List;</w:t>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20 Miscellaneous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1. The Mortgagor shall not assign any of its rights or obligations hereunder to any third party without the written consent of Mortgagee.</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2. If the Mortgagee needs to entrust other institutions of Bank of China Limited to exercise and fulfill its rights and obligations hereunder due to business needs, the Mortgagor shall acknowledge the same. The other institution of Bank of China Limited authorized by the Mortgagee shall have the right to exercise all the rights under this Contract, and file a lawsuit with the court for any dispute hereunder or submit it to arbitration institution for arbitration</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3. Without prejudice to other terms hereof, this Contract shall be legally binding on both parties and their respective legally-generated successors and assignees.</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4. Unless otherwise agreed, both parties shall designate the domicile specified in this Contract as the communication and contact address, and the effective delivery address confirmed by both parties. The scope of application of the delivery address includes the delivery of various notices, agreements, and other documents during the performance of the contract by both parties, as well as the delivery of relevant documents and legal documents in case of disputes arising from this Contract (including but not limited to all litigation stages such as arbitration, first instance, jurisdiction objection and reconsideration, second instance, retrial, remand for retrial, and enforcement after civil litigation procedures, and legal documents including but not limited to various notices, arbitration awards, judgments, rulings, mediation agreements, etc.).</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7</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7</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The Mortgagor agrees that the Mortgagee, arbitration institution, or court may serve relevant documents and legal documents to the Mortgagor by electronic delivery through the Mortgagor's fax or email address listed in this Contract.</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If both the delivery address and electronic delivery method are agreed upon at the same time, either method can be chosen, and delivery to the address designated by the Mortgagor shall have the same legal effect as electronic delivery. If multiple methods are used to deliver the same matter or legal document, they all have the effect of delivery, and the first delivery date shall be deemed as the date of delivery.</w:t>
      </w:r>
    </w:p>
    <w:p>
      <w:pPr>
        <w:pStyle w:val="TextBody"/>
        <w:bidi w:val="0"/>
        <w:spacing w:before="0" w:after="0"/>
        <w:jc w:val="both"/>
        <w:rPr/>
      </w:pPr>
      <w:r>
        <w:rPr/>
      </w:r>
    </w:p>
    <w:p>
      <w:pPr>
        <w:pStyle w:val="TextBody"/>
        <w:bidi w:val="0"/>
        <w:spacing w:lineRule="auto" w:line="288" w:before="0" w:after="0"/>
        <w:ind w:left="0" w:right="0" w:firstLine="420"/>
        <w:jc w:val="both"/>
        <w:rPr/>
      </w:pPr>
      <w:r>
        <w:rPr>
          <w:rFonts w:ascii="Times New Roman;serif" w:hAnsi="Times New Roman;serif"/>
          <w:b/>
          <w:color w:val="000000"/>
          <w:sz w:val="20"/>
        </w:rPr>
        <w:t xml:space="preserve">If there is any change to the above address or method, the changing party shall notify the other party in writing of the changed address or method </w:t>
      </w:r>
      <w:r>
        <w:rPr>
          <w:rFonts w:ascii="Times New Roman;serif" w:hAnsi="Times New Roman;serif"/>
          <w:b/>
          <w:color w:val="000000"/>
          <w:sz w:val="20"/>
          <w:u w:val="single"/>
        </w:rPr>
        <w:t>10</w:t>
      </w:r>
      <w:r>
        <w:rPr>
          <w:color w:val="000000"/>
        </w:rPr>
        <w:t xml:space="preserve"> </w:t>
      </w:r>
      <w:r>
        <w:rPr>
          <w:rFonts w:ascii="Times New Roman;serif" w:hAnsi="Times New Roman;serif"/>
          <w:b/>
          <w:color w:val="000000"/>
          <w:sz w:val="20"/>
        </w:rPr>
        <w:t>working days in advance. In arbitration and civil litigation proceedings, if either party changes their address or method, it shall fulfill the obligation to serve notice of the change of address or method to the arbitration institution or court. If one party fails to fulfill the notification obligation in the aforementioned manner, the delivery address or method confirmed in this Contract shall still be deemed as a valid delivery address or method.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If a legal document cannot be actually received by one party due to inaccurate service address or method provided or confirmed by one party, failure to inform the other party and the court in a timely manner in accordance with procedures after the change of address or method of service, or refusal of the designated recipient to sign for receipt, etc., the date of service shall be deemed to be the date on which the document is returned; Where service is made directly, the date on which the person delivering the service indicates the circumstances on the receipt of service on the spot shall be deemed to be the date of service; If it is delivered electronically, it shall be deemed to be the date of delivery from the date of entering the system designated by the Mortgagor.</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color w:val="000000"/>
          <w:sz w:val="20"/>
        </w:rPr>
      </w:pPr>
      <w:r>
        <w:rPr>
          <w:rFonts w:ascii="Times New Roman;serif" w:hAnsi="Times New Roman;serif"/>
          <w:b/>
          <w:color w:val="000000"/>
          <w:sz w:val="20"/>
        </w:rPr>
        <w:t>The provisions regarding the delivery address of relevant documents and legal documents in this clause are independent provisions of this Contract regarding the confirmation of valid delivery addresses; If this Contract is confirmed to be invalid or revoked in whole or in part, this clause shall remain valid.</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5. The headings and business names under this Contract are used for convenience of reference only and shall not be used to interpret the content of the terms and the rights and obligations of the Parties.</w:t>
      </w:r>
    </w:p>
    <w:p>
      <w:pPr>
        <w:pStyle w:val="TextBody"/>
        <w:bidi w:val="0"/>
        <w:spacing w:before="0" w:after="0"/>
        <w:jc w:val="both"/>
        <w:rPr/>
      </w:pPr>
      <w:r>
        <w:rPr/>
      </w:r>
    </w:p>
    <w:p>
      <w:pPr>
        <w:pStyle w:val="TextBody"/>
        <w:bidi w:val="0"/>
        <w:spacing w:lineRule="auto" w:line="288" w:before="0" w:after="0"/>
        <w:ind w:left="0" w:right="0" w:firstLine="432"/>
        <w:jc w:val="left"/>
        <w:rPr>
          <w:rFonts w:ascii="Times New Roman;serif" w:hAnsi="Times New Roman;serif"/>
          <w:b/>
          <w:color w:val="000000"/>
          <w:sz w:val="20"/>
        </w:rPr>
      </w:pPr>
      <w:r>
        <w:rPr>
          <w:rFonts w:ascii="Times New Roman;serif" w:hAnsi="Times New Roman;serif"/>
          <w:b/>
          <w:color w:val="000000"/>
          <w:sz w:val="20"/>
        </w:rPr>
        <w:t>6. The Mortgagor may consult and complain about this Contract and the business and fees under this Contract through the contact phone number of Mortgagee listed in this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Article 21 Effectiveness of Contract and Establishment of Hypothec</w:t>
      </w:r>
    </w:p>
    <w:p>
      <w:pPr>
        <w:pStyle w:val="TextBody"/>
        <w:bidi w:val="0"/>
        <w:spacing w:before="0" w:after="0"/>
        <w:jc w:val="both"/>
        <w:rPr/>
      </w:pPr>
      <w:r>
        <w:rPr/>
      </w:r>
    </w:p>
    <w:p>
      <w:pPr>
        <w:pStyle w:val="TextBody"/>
        <w:bidi w:val="0"/>
        <w:spacing w:lineRule="auto" w:line="288" w:before="0" w:after="0"/>
        <w:ind w:left="0" w:right="0" w:firstLine="420"/>
        <w:jc w:val="both"/>
        <w:rPr>
          <w:rFonts w:ascii="Times New Roman;serif" w:hAnsi="Times New Roman;serif"/>
          <w:b w:val="false"/>
          <w:color w:val="000000"/>
          <w:sz w:val="20"/>
        </w:rPr>
      </w:pPr>
      <w:r>
        <w:rPr>
          <w:rFonts w:ascii="Times New Roman;serif" w:hAnsi="Times New Roman;serif"/>
          <w:b w:val="false"/>
          <w:color w:val="000000"/>
          <w:sz w:val="20"/>
        </w:rPr>
        <w:t>This Contract shall come into effect from the date when it is signed and affixed with official seals by the legal representatives or persons in charge of both parties or their authorized signatories. The hypothec shall be established upon effectiveness hereof; If registration of mortgage is required by laws, the hypothec shall be established upon registration.</w:t>
      </w:r>
    </w:p>
    <w:p>
      <w:pPr>
        <w:pStyle w:val="TextBody"/>
        <w:bidi w:val="0"/>
        <w:spacing w:before="0" w:after="0"/>
        <w:ind w:left="0" w:right="0" w:firstLine="420"/>
        <w:jc w:val="both"/>
        <w:rPr/>
      </w:pPr>
      <w:r>
        <w:rPr/>
      </w:r>
    </w:p>
    <w:p>
      <w:pPr>
        <w:pStyle w:val="TextBody"/>
        <w:bidi w:val="0"/>
        <w:spacing w:lineRule="auto" w:line="288" w:before="0" w:after="0"/>
        <w:ind w:left="0" w:right="0" w:firstLine="420"/>
        <w:jc w:val="both"/>
        <w:rPr/>
      </w:pPr>
      <w:r>
        <w:rPr>
          <w:rFonts w:ascii="Times New Roman;serif" w:hAnsi="Times New Roman;serif"/>
          <w:b w:val="false"/>
          <w:color w:val="000000"/>
          <w:sz w:val="20"/>
        </w:rPr>
        <w:t xml:space="preserve">This original Contract is made in </w:t>
      </w:r>
      <w:r>
        <w:rPr>
          <w:rFonts w:ascii="Times New Roman;serif" w:hAnsi="Times New Roman;serif"/>
          <w:b w:val="false"/>
          <w:color w:val="000000"/>
          <w:sz w:val="20"/>
          <w:u w:val="single"/>
        </w:rPr>
        <w:t>triplicate</w:t>
      </w:r>
      <w:r>
        <w:rPr>
          <w:rFonts w:ascii="Times New Roman;serif" w:hAnsi="Times New Roman;serif"/>
          <w:b w:val="false"/>
          <w:color w:val="000000"/>
          <w:sz w:val="20"/>
        </w:rPr>
        <w:t xml:space="preserve">, with both parties and the Debtor respectively holding </w:t>
      </w:r>
      <w:r>
        <w:rPr>
          <w:rFonts w:ascii="Times New Roman;serif" w:hAnsi="Times New Roman;serif"/>
          <w:b w:val="false"/>
          <w:color w:val="000000"/>
          <w:sz w:val="20"/>
          <w:u w:val="single"/>
        </w:rPr>
        <w:t>one</w:t>
      </w:r>
      <w:r>
        <w:rPr>
          <w:color w:val="000000"/>
        </w:rPr>
        <w:t xml:space="preserve"> </w:t>
      </w:r>
      <w:r>
        <w:rPr>
          <w:rFonts w:ascii="Times New Roman;serif" w:hAnsi="Times New Roman;serif"/>
          <w:b w:val="false"/>
          <w:color w:val="000000"/>
          <w:sz w:val="20"/>
        </w:rPr>
        <w:t>, which shall have equal legal force.</w:t>
      </w:r>
    </w:p>
    <w:p>
      <w:pPr>
        <w:pStyle w:val="TextBody"/>
        <w:bidi w:val="0"/>
        <w:spacing w:before="0" w:after="0"/>
        <w:ind w:left="0" w:right="0" w:firstLine="420"/>
        <w:jc w:val="both"/>
        <w:rPr/>
      </w:pPr>
      <w:r>
        <w:rPr/>
      </w:r>
    </w:p>
    <w:p>
      <w:pPr>
        <w:pStyle w:val="TextBody"/>
        <w:bidi w:val="0"/>
        <w:spacing w:lineRule="auto" w:line="288" w:before="0" w:after="0"/>
        <w:jc w:val="both"/>
        <w:rPr/>
      </w:pPr>
      <w:r>
        <w:rPr>
          <w:rFonts w:ascii="Times New Roman;serif" w:hAnsi="Times New Roman;serif"/>
          <w:b/>
          <w:color w:val="000000"/>
          <w:sz w:val="20"/>
        </w:rPr>
        <w:t>Mortgagor:</w:t>
      </w:r>
      <w:r>
        <w:rPr>
          <w:color w:val="000000"/>
        </w:rPr>
        <w:t xml:space="preserve"> </w:t>
      </w:r>
      <w:r>
        <w:rPr>
          <w:rFonts w:ascii="Times New Roman;serif" w:hAnsi="Times New Roman;serif"/>
          <w:b/>
          <w:color w:val="000000"/>
          <w:sz w:val="20"/>
        </w:rPr>
        <w:t>Gemstar Technology (Yangzhou) Co. Ltd.</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Authorized Signatory:</w:t>
      </w:r>
      <w:r>
        <w:rPr>
          <w:color w:val="000000"/>
          <w:u w:val="single"/>
        </w:rPr>
        <w:t xml:space="preserve"> </w:t>
      </w:r>
      <w:r>
        <w:rPr>
          <w:rFonts w:ascii="Times New Roman;serif" w:hAnsi="Times New Roman;serif"/>
          <w:b w:val="false"/>
          <w:color w:val="000000"/>
          <w:sz w:val="20"/>
          <w:u w:val="single"/>
        </w:rPr>
        <w:t>/s/ Chi Kong Szeto</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Dated:</w:t>
      </w:r>
      <w:r>
        <w:rPr>
          <w:color w:val="000000"/>
          <w:u w:val="single"/>
        </w:rPr>
        <w:t xml:space="preserve"> </w:t>
      </w:r>
      <w:r>
        <w:rPr>
          <w:rFonts w:ascii="Times New Roman;serif" w:hAnsi="Times New Roman;serif"/>
          <w:b w:val="false"/>
          <w:color w:val="000000"/>
          <w:sz w:val="20"/>
          <w:u w:val="single"/>
        </w:rPr>
        <w:t xml:space="preserve">September 1,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color w:val="000000"/>
          <w:sz w:val="20"/>
        </w:rPr>
        <w:t>Mortgagee:</w:t>
      </w:r>
      <w:r>
        <w:rPr>
          <w:color w:val="000000"/>
        </w:rPr>
        <w:t xml:space="preserve"> </w:t>
      </w:r>
      <w:r>
        <w:rPr>
          <w:rFonts w:ascii="Times New Roman;serif" w:hAnsi="Times New Roman;serif"/>
          <w:b/>
          <w:color w:val="000000"/>
          <w:sz w:val="20"/>
        </w:rPr>
        <w:t>Bank of China Limited, Baoying Sub-branch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Authorized Signatory</w:t>
      </w:r>
      <w:r>
        <w:rPr>
          <w:rFonts w:ascii="Times New Roman;serif" w:hAnsi="Times New Roman;serif"/>
          <w:b w:val="false"/>
          <w:color w:val="000000"/>
          <w:sz w:val="20"/>
        </w:rPr>
        <w:t>:</w:t>
      </w:r>
      <w:r>
        <w:rPr>
          <w:color w:val="000000"/>
          <w:u w:val="single"/>
        </w:rPr>
        <w:t xml:space="preserve"> </w:t>
      </w:r>
      <w:r>
        <w:rPr>
          <w:rFonts w:ascii="Times New Roman;serif" w:hAnsi="Times New Roman;serif"/>
          <w:b w:val="false"/>
          <w:color w:val="000000"/>
          <w:sz w:val="20"/>
          <w:u w:val="single"/>
        </w:rPr>
        <w:t xml:space="preserve">/s/ Chen Minjie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Dated:</w:t>
      </w:r>
      <w:r>
        <w:rPr>
          <w:color w:val="000000"/>
          <w:u w:val="single"/>
        </w:rPr>
        <w:t xml:space="preserve"> </w:t>
      </w:r>
      <w:r>
        <w:rPr>
          <w:rFonts w:ascii="Times New Roman;serif" w:hAnsi="Times New Roman;serif"/>
          <w:b w:val="false"/>
          <w:color w:val="000000"/>
          <w:sz w:val="20"/>
          <w:u w:val="single"/>
        </w:rPr>
        <w:t xml:space="preserve">September 1, 2025 </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8</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8</w:t>
                      </w:r>
                      <w:r>
                        <w:rPr>
                          <w:color w:val="000000"/>
                        </w:rPr>
                        <w:t xml:space="preserve"> </w:t>
                      </w:r>
                    </w:p>
                  </w:txbxContent>
                </v:textbox>
                <w10:wrap type="none"/>
              </v:rect>
            </w:pict>
          </mc:Fallback>
        </mc:AlternateContent>
      </w:r>
    </w:p>
    <w:tbl>
      <w:tblPr>
        <w:tblW w:w="7875" w:type="dxa"/>
        <w:jc w:val="left"/>
        <w:tblInd w:w="0" w:type="dxa"/>
        <w:tblLayout w:type="fixed"/>
        <w:tblCellMar>
          <w:top w:w="28" w:type="dxa"/>
          <w:left w:w="28" w:type="dxa"/>
          <w:bottom w:w="28" w:type="dxa"/>
          <w:right w:w="28" w:type="dxa"/>
        </w:tblCellMar>
      </w:tblPr>
      <w:tblGrid>
        <w:gridCol w:w="2523"/>
        <w:gridCol w:w="2216"/>
        <w:gridCol w:w="313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G1-02: Maximum Mortgage Contract - Corresponding to Class A, Class B and Their Individual Agreements</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Annexes: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Collateral List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 150176529M250827001</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62"/>
        <w:gridCol w:w="318"/>
        <w:gridCol w:w="320"/>
        <w:gridCol w:w="446"/>
        <w:gridCol w:w="446"/>
        <w:gridCol w:w="452"/>
        <w:gridCol w:w="330"/>
        <w:gridCol w:w="330"/>
        <w:gridCol w:w="331"/>
        <w:gridCol w:w="1658"/>
        <w:gridCol w:w="1046"/>
        <w:gridCol w:w="1049"/>
        <w:gridCol w:w="543"/>
        <w:gridCol w:w="459"/>
        <w:gridCol w:w="464"/>
        <w:gridCol w:w="479"/>
        <w:gridCol w:w="479"/>
        <w:gridCol w:w="693"/>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477"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Name of Collateral </w:t>
            </w:r>
          </w:p>
        </w:tc>
        <w:tc>
          <w:tcPr>
            <w:tcW w:w="1344" w:type="dxa"/>
            <w:gridSpan w:val="3"/>
            <w:tcBorders>
              <w:top w:val="doub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Quantity</w:t>
            </w:r>
          </w:p>
        </w:tc>
        <w:tc>
          <w:tcPr>
            <w:tcW w:w="991" w:type="dxa"/>
            <w:gridSpan w:val="3"/>
            <w:tcBorders>
              <w:top w:val="doub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rFonts w:ascii="Times New Roman;serif" w:hAnsi="Times New Roman;serif"/>
                <w:b w:val="false"/>
                <w:color w:val="000000"/>
                <w:sz w:val="20"/>
              </w:rPr>
            </w:pPr>
            <w:r>
              <w:rPr>
                <w:rFonts w:ascii="Times New Roman;serif" w:hAnsi="Times New Roman;serif"/>
                <w:b w:val="false"/>
                <w:color w:val="000000"/>
                <w:sz w:val="20"/>
              </w:rPr>
              <w:t>Appraised Value</w:t>
            </w:r>
          </w:p>
        </w:tc>
        <w:tc>
          <w:tcPr>
            <w:tcW w:w="3753" w:type="dxa"/>
            <w:gridSpan w:val="3"/>
            <w:tcBorders>
              <w:top w:val="doub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rFonts w:ascii="Times New Roman;serif" w:hAnsi="Times New Roman;serif"/>
                <w:b w:val="false"/>
                <w:color w:val="000000"/>
                <w:sz w:val="20"/>
              </w:rPr>
            </w:pPr>
            <w:r>
              <w:rPr>
                <w:rFonts w:ascii="Times New Roman;serif" w:hAnsi="Times New Roman;serif"/>
                <w:b w:val="false"/>
                <w:color w:val="000000"/>
                <w:sz w:val="20"/>
              </w:rPr>
              <w:t>Ownership/Use Right Ownership (Number of the Certificate of Rights)</w:t>
            </w:r>
          </w:p>
        </w:tc>
        <w:tc>
          <w:tcPr>
            <w:tcW w:w="1466" w:type="dxa"/>
            <w:gridSpan w:val="3"/>
            <w:tcBorders>
              <w:top w:val="doub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w:t>
            </w:r>
          </w:p>
        </w:tc>
        <w:tc>
          <w:tcPr>
            <w:tcW w:w="1651" w:type="dxa"/>
            <w:gridSpan w:val="3"/>
            <w:tcBorders>
              <w:top w:val="double" w:sz="6" w:space="0" w:color="000000"/>
              <w:left w:val="single" w:sz="6" w:space="0" w:color="000000"/>
              <w:right w:val="doub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Registration Authority</w:t>
            </w:r>
          </w:p>
        </w:tc>
      </w:tr>
      <w:tr>
        <w:trPr/>
        <w:tc>
          <w:tcPr>
            <w:tcW w:w="1000" w:type="dxa"/>
            <w:gridSpan w:val="3"/>
            <w:tcBorders>
              <w:top w:val="sing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real estate 1</w:t>
            </w:r>
          </w:p>
        </w:tc>
        <w:tc>
          <w:tcPr>
            <w:tcW w:w="13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both"/>
              <w:rPr>
                <w:color w:val="000000"/>
                <w:u w:val="single"/>
              </w:rPr>
            </w:pPr>
            <w:r>
              <w:rPr>
                <w:rFonts w:ascii="Times New Roman;serif" w:hAnsi="Times New Roman;serif"/>
                <w:b w:val="false"/>
                <w:color w:val="000000"/>
                <w:sz w:val="20"/>
                <w:u w:val="single"/>
              </w:rPr>
              <w:t xml:space="preserve">Area of the land with use right is 70,820 </w:t>
            </w:r>
            <w:r>
              <w:rPr>
                <w:rFonts w:eastAsia="Times New Roman;serif"/>
                <w:b w:val="false"/>
                <w:color w:val="000000"/>
                <w:sz w:val="20"/>
                <w:u w:val="single"/>
              </w:rPr>
              <w:t>㎡</w:t>
            </w:r>
            <w:r>
              <w:rPr>
                <w:rFonts w:ascii="Times New Roman;serif" w:hAnsi="Times New Roman;serif"/>
                <w:b w:val="false"/>
                <w:color w:val="000000"/>
                <w:sz w:val="20"/>
                <w:u w:val="single"/>
              </w:rPr>
              <w:t xml:space="preserve">, and building area is 95,126.64 </w:t>
            </w:r>
            <w:r>
              <w:rPr>
                <w:rFonts w:eastAsia="Times New Roman;serif"/>
                <w:b w:val="false"/>
                <w:color w:val="000000"/>
                <w:sz w:val="20"/>
                <w:u w:val="single"/>
              </w:rPr>
              <w:t>㎡</w:t>
            </w:r>
          </w:p>
        </w:tc>
        <w:tc>
          <w:tcPr>
            <w:tcW w:w="9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137.16 million Yuan</w:t>
            </w:r>
          </w:p>
        </w:tc>
        <w:tc>
          <w:tcPr>
            <w:tcW w:w="37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u w:val="single"/>
              </w:rPr>
              <w:t xml:space="preserve">Gemstar Technology (Yangzhou) Co. Ltd./Baofangquanzheng Fanshui Zi No. 9070892, Baofangquanzheng Fanshui Zi No. 9070905, Baofangquanzheng Fanshui Zi No. 9070913, Baofangzheng Fanshui Zi No. 9070920, Baofangquanzheng Fanshui Zi No. 9120662, Baoguoyong (2009) No. 119008, Baoguoyong (2010) No. 1190024, Baoguoyong (2010) No. </w:t>
            </w:r>
            <w:r>
              <w:rPr>
                <w:rFonts w:ascii="Times New Roman;serif" w:hAnsi="Times New Roman;serif"/>
                <w:b w:val="false"/>
                <w:color w:val="000000"/>
                <w:sz w:val="20"/>
              </w:rPr>
              <w:t>119000196</w:t>
            </w:r>
          </w:p>
        </w:tc>
        <w:tc>
          <w:tcPr>
            <w:tcW w:w="14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Concentrated Industrial Zone, Fanshui Town</w:t>
            </w:r>
          </w:p>
        </w:tc>
        <w:tc>
          <w:tcPr>
            <w:tcW w:w="1651" w:type="dxa"/>
            <w:gridSpan w:val="3"/>
            <w:tcBorders>
              <w:top w:val="single" w:sz="6" w:space="0" w:color="000000"/>
              <w:left w:val="single" w:sz="6" w:space="0" w:color="000000"/>
              <w:right w:val="double" w:sz="6" w:space="0" w:color="000000"/>
            </w:tcBorders>
            <w:tcMar>
              <w:top w:w="30" w:type="dxa"/>
              <w:bottom w:w="0" w:type="dxa"/>
            </w:tcMar>
            <w:vAlign w:val="center"/>
          </w:tcPr>
          <w:p>
            <w:pPr>
              <w:pStyle w:val="TableContents"/>
              <w:bidi w:val="0"/>
              <w:spacing w:lineRule="auto" w:line="47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Real Estate Registration Center under Baoying County Natural Resources and Planning Bureau</w:t>
            </w:r>
          </w:p>
        </w:tc>
      </w:tr>
      <w:tr>
        <w:trPr/>
        <w:tc>
          <w:tcPr>
            <w:tcW w:w="1000" w:type="dxa"/>
            <w:gridSpan w:val="3"/>
            <w:tcBorders>
              <w:top w:val="single" w:sz="6" w:space="0" w:color="000000"/>
              <w:left w:val="double" w:sz="6"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real estate 2</w:t>
            </w:r>
          </w:p>
        </w:tc>
        <w:tc>
          <w:tcPr>
            <w:tcW w:w="13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both"/>
              <w:rPr>
                <w:color w:val="000000"/>
                <w:u w:val="single"/>
              </w:rPr>
            </w:pPr>
            <w:r>
              <w:rPr>
                <w:rFonts w:ascii="Times New Roman;serif" w:hAnsi="Times New Roman;serif"/>
                <w:b w:val="false"/>
                <w:color w:val="000000"/>
                <w:sz w:val="20"/>
                <w:u w:val="single"/>
              </w:rPr>
              <w:t xml:space="preserve">Area of the land with use right is 45,094 </w:t>
            </w:r>
            <w:r>
              <w:rPr>
                <w:rFonts w:eastAsia="Times New Roman;serif"/>
                <w:b w:val="false"/>
                <w:color w:val="000000"/>
                <w:sz w:val="20"/>
                <w:u w:val="single"/>
              </w:rPr>
              <w:t>㎡</w:t>
            </w:r>
            <w:r>
              <w:rPr>
                <w:rFonts w:ascii="Times New Roman;serif" w:hAnsi="Times New Roman;serif"/>
                <w:b w:val="false"/>
                <w:color w:val="000000"/>
                <w:sz w:val="20"/>
                <w:u w:val="single"/>
              </w:rPr>
              <w:t xml:space="preserve">, and the building area is 40,550.12 </w:t>
            </w:r>
            <w:r>
              <w:rPr>
                <w:rFonts w:eastAsia="Times New Roman;serif"/>
                <w:b w:val="false"/>
                <w:color w:val="000000"/>
                <w:sz w:val="20"/>
                <w:u w:val="single"/>
              </w:rPr>
              <w:t>㎡</w:t>
            </w:r>
          </w:p>
        </w:tc>
        <w:tc>
          <w:tcPr>
            <w:tcW w:w="99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67.05 million Yuan</w:t>
            </w:r>
          </w:p>
        </w:tc>
        <w:tc>
          <w:tcPr>
            <w:tcW w:w="375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Gemstar Technology (Yangzhou) Co. Ltd./Su (2021)</w:t>
            </w:r>
          </w:p>
          <w:p>
            <w:pPr>
              <w:pStyle w:val="TableContents"/>
              <w:bidi w:val="0"/>
              <w:spacing w:lineRule="auto" w:line="477" w:before="0" w:after="0"/>
              <w:jc w:val="both"/>
              <w:rPr/>
            </w:pPr>
            <w:r>
              <w:rPr>
                <w:rFonts w:ascii="Times New Roman;serif" w:hAnsi="Times New Roman;serif"/>
                <w:b w:val="false"/>
                <w:color w:val="000000"/>
                <w:sz w:val="20"/>
              </w:rPr>
              <w:br/>
            </w:r>
            <w:r>
              <w:rPr>
                <w:rFonts w:ascii="Times New Roman;serif" w:hAnsi="Times New Roman;serif"/>
                <w:b w:val="false"/>
                <w:color w:val="000000"/>
                <w:sz w:val="20"/>
                <w:u w:val="single"/>
              </w:rPr>
              <w:t>Baoying County Real Estate Right No. 0036359</w:t>
            </w:r>
          </w:p>
        </w:tc>
        <w:tc>
          <w:tcPr>
            <w:tcW w:w="146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pPr>
            <w:r>
              <w:rPr>
                <w:rFonts w:ascii="Times New Roman;serif" w:hAnsi="Times New Roman;serif"/>
                <w:b w:val="false"/>
                <w:color w:val="000000"/>
                <w:sz w:val="20"/>
                <w:u w:val="single"/>
              </w:rPr>
              <w:t>Fanshui Town</w:t>
            </w:r>
            <w:r>
              <w:rPr>
                <w:rFonts w:ascii="Times New Roman;serif" w:hAnsi="Times New Roman;serif"/>
                <w:b w:val="false"/>
                <w:color w:val="000000"/>
                <w:sz w:val="20"/>
              </w:rPr>
              <w:br/>
            </w:r>
            <w:r>
              <w:rPr>
                <w:rFonts w:ascii="Times New Roman;serif" w:hAnsi="Times New Roman;serif"/>
                <w:b w:val="false"/>
                <w:color w:val="000000"/>
                <w:sz w:val="20"/>
                <w:u w:val="single"/>
              </w:rPr>
              <w:t>Hongqi Neighborhood Committee</w:t>
            </w:r>
          </w:p>
          <w:p>
            <w:pPr>
              <w:pStyle w:val="TableContents"/>
              <w:bidi w:val="0"/>
              <w:spacing w:lineRule="auto" w:line="240" w:before="0" w:after="0"/>
              <w:jc w:val="both"/>
              <w:rPr/>
            </w:pPr>
            <w:r>
              <w:rPr>
                <w:rFonts w:ascii="Times New Roman;serif" w:hAnsi="Times New Roman;serif"/>
                <w:b w:val="false"/>
                <w:color w:val="000000"/>
                <w:sz w:val="20"/>
              </w:rPr>
              <w:br/>
            </w:r>
            <w:r>
              <w:rPr>
                <w:rFonts w:ascii="Times New Roman;serif" w:hAnsi="Times New Roman;serif"/>
                <w:b w:val="false"/>
                <w:color w:val="000000"/>
                <w:sz w:val="20"/>
                <w:u w:val="single"/>
              </w:rPr>
              <w:t>Fansheng Group</w:t>
            </w:r>
          </w:p>
        </w:tc>
        <w:tc>
          <w:tcPr>
            <w:tcW w:w="1651" w:type="dxa"/>
            <w:gridSpan w:val="3"/>
            <w:tcBorders>
              <w:top w:val="single" w:sz="6" w:space="0" w:color="000000"/>
              <w:left w:val="single" w:sz="6" w:space="0" w:color="000000"/>
              <w:right w:val="double" w:sz="6" w:space="0" w:color="000000"/>
            </w:tcBorders>
            <w:tcMar>
              <w:top w:w="30" w:type="dxa"/>
              <w:bottom w:w="0" w:type="dxa"/>
            </w:tcMar>
            <w:vAlign w:val="center"/>
          </w:tcPr>
          <w:p>
            <w:pPr>
              <w:pStyle w:val="TableContents"/>
              <w:bidi w:val="0"/>
              <w:spacing w:lineRule="auto" w:line="477"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Real Estate Registration Center under Baoying County Natural Resources and Planning Bureau</w:t>
            </w:r>
          </w:p>
        </w:tc>
      </w:tr>
      <w:tr>
        <w:trPr/>
        <w:tc>
          <w:tcPr>
            <w:tcW w:w="1000" w:type="dxa"/>
            <w:gridSpan w:val="3"/>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Total</w:t>
            </w:r>
          </w:p>
        </w:tc>
        <w:tc>
          <w:tcPr>
            <w:tcW w:w="1344" w:type="dxa"/>
            <w:gridSpan w:val="3"/>
            <w:tcBorders>
              <w:top w:val="single" w:sz="6" w:space="0" w:color="000000"/>
              <w:left w:val="single" w:sz="6" w:space="0" w:color="000000"/>
              <w:bottom w:val="doub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204.21 million Yuan</w:t>
            </w:r>
          </w:p>
        </w:tc>
        <w:tc>
          <w:tcPr>
            <w:tcW w:w="3753" w:type="dxa"/>
            <w:gridSpan w:val="3"/>
            <w:tcBorders>
              <w:top w:val="single" w:sz="6" w:space="0" w:color="000000"/>
              <w:left w:val="single" w:sz="6" w:space="0" w:color="000000"/>
              <w:bottom w:val="doub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6" w:space="0" w:color="000000"/>
              <w:left w:val="single" w:sz="6" w:space="0" w:color="000000"/>
              <w:bottom w:val="doub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6" w:space="0" w:color="000000"/>
              <w:left w:val="single" w:sz="6" w:space="0" w:color="000000"/>
              <w:bottom w:val="double" w:sz="6" w:space="0" w:color="000000"/>
              <w:right w:val="doub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10.6</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9</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Page</w:t>
                      </w:r>
                      <w:r>
                        <w:rPr>
                          <w:color w:val="000000"/>
                        </w:rPr>
                        <w:t xml:space="preserve"> </w:t>
                      </w:r>
                      <w:r>
                        <w:rPr>
                          <w:rFonts w:ascii="Times New Roman;serif" w:hAnsi="Times New Roman;serif"/>
                          <w:b w:val="false"/>
                          <w:color w:val="000000"/>
                          <w:sz w:val="18"/>
                        </w:rPr>
                        <w:t>9</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Universal Electronics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Award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This Restricted Stock Unit Award Agreement</w:t>
      </w:r>
      <w:r>
        <w:rPr>
          <w:color w:val="000000"/>
        </w:rPr>
        <w:t xml:space="preserve"> </w:t>
      </w:r>
      <w:r>
        <w:rPr>
          <w:rFonts w:ascii="Times New Roman;serif" w:hAnsi="Times New Roman;serif"/>
          <w:b w:val="false"/>
          <w:color w:val="000000"/>
          <w:sz w:val="22"/>
        </w:rPr>
        <w:t>(the “Agreement”) is made as of [[GRANTDATE]] (the “Grant Date”) by and between Universal Electronics Inc., a Delaware corporation (the “Company”), and the undersigned employee (the “Employee”). As used in this Agreement, the term “Company”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Company’s Chief Financial Officer.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of Directors of the Company (the “Board”) has approved the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Restricted Stock Units (the “RSUs”) to Eligible Persons, payable in shares of the Company’s Common Stock, par value $0.01 per share (each, a “Share”), pursuant to the terms and conditions set forth in the Plan and in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intending to be legally bound, hereto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w:t>
      </w:r>
      <w:r>
        <w:rPr>
          <w:color w:val="000000"/>
        </w:rPr>
        <w:t>    </w:t>
      </w:r>
      <w:r>
        <w:rPr>
          <w:rFonts w:ascii="Times New Roman;serif" w:hAnsi="Times New Roman;serif"/>
          <w:b/>
          <w:color w:val="000000"/>
          <w:sz w:val="22"/>
        </w:rPr>
        <w:t>Grant of the RSUs</w:t>
      </w:r>
      <w:r>
        <w:rPr>
          <w:rFonts w:ascii="Times New Roman;serif" w:hAnsi="Times New Roman;serif"/>
          <w:b w:val="false"/>
          <w:color w:val="000000"/>
          <w:sz w:val="22"/>
        </w:rPr>
        <w:t xml:space="preserve">. Subject to the terms and conditions set forth herein, the Employee is hereby granted </w:t>
      </w:r>
      <w:r>
        <w:rPr>
          <w:rFonts w:ascii="Times New Roman;serif" w:hAnsi="Times New Roman;serif"/>
          <w:b/>
          <w:color w:val="000000"/>
          <w:sz w:val="22"/>
        </w:rPr>
        <w:t>[[SHARESGRANTEDWORDS]] ([[SHARESGRANTED]]) RSUs</w:t>
      </w:r>
      <w:r>
        <w:rPr>
          <w:color w:val="000000"/>
        </w:rPr>
        <w:t xml:space="preserve"> </w:t>
      </w:r>
      <w:r>
        <w:rPr>
          <w:rFonts w:ascii="Times New Roman;serif" w:hAnsi="Times New Roman;serif"/>
          <w:b w:val="false"/>
          <w:color w:val="000000"/>
          <w:sz w:val="22"/>
        </w:rPr>
        <w:t>on the Grant Date.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2.    Vesting of the RSUs and Issuance and Delivery of Shares</w:t>
      </w:r>
      <w:r>
        <w:rPr>
          <w:rFonts w:ascii="Times New Roman;serif" w:hAnsi="Times New Roman;serif"/>
          <w:b w:val="false"/>
          <w:color w:val="000000"/>
          <w:sz w:val="22"/>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Vesting</w:t>
      </w:r>
      <w:r>
        <w:rPr>
          <w:rFonts w:ascii="Times New Roman;serif" w:hAnsi="Times New Roman;serif"/>
          <w:b w:val="false"/>
          <w:color w:val="000000"/>
          <w:sz w:val="22"/>
        </w:rPr>
        <w:t>. Subject to earlier termination, acceleration or cancellation of the RSUs as provided herein, the RSUs shall vest in three (3) increments (rounded to the nearest whole unit) as indicated in the following vesting table (each a “Vesting Date”), commencing and continuing in accordance with the vesting table; provided that the Employee continues to be employed by the Company on the applicable Vesting Date. The following table indicates the number of RSUs that shall vest on each Vesting Date:</w:t>
      </w:r>
    </w:p>
    <w:p>
      <w:pPr>
        <w:pStyle w:val="TextBody"/>
        <w:bidi w:val="0"/>
        <w:spacing w:before="0" w:after="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[[ALLVESTSEGS]]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Delivery of Shares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Subject to Sections 6 and 7 of this Agreement, as administratively practicable following the date that the RSUs vest, the Company shall issue and deliver to the Employee (or the Employee’s estate or legal representative, in the event of Employee’s death or total disability) one (1) Share for each vested RSU; provided, however, that if the Committee requires that the Employee pay withholding taxes through a sale of Shares, settlement of each RSU shall be deferred to the next permissible trading day, but in no event later than March 15 following the calendar year in which the RSUs vest. For purposes of this Agreement, “permissible trading day” means a day that satisfies all of the following requirements: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(i)the exchange on which the Shares are traded is open for trading on that day;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(ii)the Employee is permitted to sell Shares on that day without incurring liability under Section 16(b) of the Exchange Act; </w:t>
      </w:r>
    </w:p>
    <w:p>
      <w:pPr>
        <w:pStyle w:val="TextBody"/>
        <w:bidi w:val="0"/>
        <w:spacing w:lineRule="auto" w:line="288"/>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(iii)either (x) the Employee is not in possession of material non-public information that would make it illegal for the Employee to sell Shares on that day under Rule 10b-5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Exchange Act or (y) Rule 10b5-1 under the Exchange Act would apply to the sale;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(iv)the Employee is permitted to sell Shares on that day under such written insider trading policy as may have been adopted by the Company; and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(v)the Employee is not prohibited from selling Shares on that day by a written agreement between the Employee and the Company or a third party.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there is no permissible trading day by March 15 following the calendar year in which the RSUs vest, the Employee must make alternative arrangements to pay withholding taxes satisfactory to the Company to avoid forfeiture.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 Shares are issued to the Employee subject to the condition that the issuance of the Shares does not violate any law or regulation and the Shares are subject to such approvals by any governmental agencies or national securities exchanges as may be required. Such issued and delivered Shares shall be in book-entry form maintained by the Company’s Transfer Agent and shall otherwise be transferable utilizing the Company’s Direct Registration System and Profile Modification System.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3.    Effect of Termination of Employment</w:t>
      </w:r>
      <w:r>
        <w:rPr>
          <w:rFonts w:ascii="Times New Roman;serif" w:hAnsi="Times New Roman;serif"/>
          <w:b w:val="false"/>
          <w:color w:val="000000"/>
          <w:sz w:val="22"/>
        </w:rPr>
        <w:t>. In the event that the Employee’s employment with the Company or a Subsidiary of the Company is terminated for any reason, any RSUs that are unvested as of such date shall be immediately forfeited and cancelled without further action by the parties hereto, and the Employee shall no longer have any rights with respect to the forfeited and cancelled RSUs (or any Dividend Equivalents (as defined in Section 5 hereof) with respect thereto).</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4.    Effect of Change In Control</w:t>
      </w:r>
      <w:r>
        <w:rPr>
          <w:rFonts w:ascii="Times New Roman;serif" w:hAnsi="Times New Roman;serif"/>
          <w:b w:val="false"/>
          <w:color w:val="000000"/>
          <w:sz w:val="22"/>
        </w:rPr>
        <w:t xml:space="preserve">. In the event that a “Change in Control” occurs, the Employee shall be fully vested in the RSUs as of the effective date of the Change in Control, without further action by the parties hereto. </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5.    Employee’s Rights as Stockholder</w:t>
      </w:r>
      <w:r>
        <w:rPr>
          <w:rFonts w:ascii="Times New Roman;serif" w:hAnsi="Times New Roman;serif"/>
          <w:b w:val="false"/>
          <w:color w:val="000000"/>
          <w:sz w:val="22"/>
        </w:rPr>
        <w:t>. Prior to the vesting of the RSUs and delivery of Shares pursuant thereto, the Employee shall have no rights as a stockholder with respect to the Shares to be issued upon the vesting of the RSUs. However, the Employee shall be credited with an amount equal to all cash dividends (“Dividend Equivalents”) that would have been paid to the Employee if one Share had been issued to the Employee on the Grant Date for each RSU granted to the Employee as set forth in this Agreement. In the event of, and contingent upon, the vesting of the applicable RSU, in addition to the issuance and delivery of Shares in accordance with Section 2 (or Section 4) of this Agreement, the Employee shall be entitled to payment of the Dividend Equivalents in cash.</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6.    Taxes.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Responsibility for Taxes</w:t>
      </w:r>
      <w:r>
        <w:rPr>
          <w:rFonts w:ascii="Times New Roman;serif" w:hAnsi="Times New Roman;serif"/>
          <w:b w:val="false"/>
          <w:color w:val="000000"/>
          <w:sz w:val="22"/>
        </w:rPr>
        <w:t xml:space="preserve">. The Employee shall be liable for any and all applicable federal, state and local income tax, social insurance, payroll tax, payment on account or other tax-related withholding requirements arising out of this grant or the vesting of the RSUs hereunder (“Tax-Related Items”). Notwithstanding any contrary provision of this Agreement or the Plan, no Shares will be issued to the Employee unless and until satisfactory arrangements (as determined by the Committee) have been made by the Employee with respect to the Tax-Related Items which the Company or the Subsidiary of the Company employing or retaining the Employee (the “Employer”) determines must be withheld with respect to the RSUs or any Shares issued upon vesting. In this regard, the Employee acknowledges and agrees that: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(i)The Employee is ultimately responsible for all Tax-Related Items and the Employee’s liability for Tax-Related Items may exceed the amount withheld by the Company and/or the Employer, if any; </w:t>
      </w:r>
    </w:p>
    <w:p>
      <w:pPr>
        <w:pStyle w:val="TextBody"/>
        <w:bidi w:val="0"/>
        <w:spacing w:lineRule="auto" w:line="288"/>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(ii)The Company and/or the Employer make no representations or undertakings regarding the treatment of any Tax-Related Items in connection with any aspect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RSUs, including, but not limited to, the grant, vesting or settlement of the RSUs, the subsequent sale of Shares acquired upon vesting of the RSUs and the receipt of any Dividend Equivalents;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(iii)The Company and/or the Employer do not commit to and are under no obligation to structure the terms of the grant or any aspect of the RSUs to reduce or eliminate the Employee’s liability for Tax-Related Items or achieve any particular tax result;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(iv)The Company and/or the Employer (or former employer, as applicable) may be required to withhold or account for Tax-Related Items in more than one jurisdiction if the Employee is subject to tax in more than one jurisdiction between the Grant Date and the date of any relevant taxable or tax withholding event, as applicable; and</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(v)If the Employee fails to make satisfactory arrangements for the payment of any Tax-Related Items at the time any applicable RSUs otherwise are scheduled to vest pursuant to Section 2 or 4 or, if later, at the time any Tax-Related Items related to RSUs otherwise are due, the Employee will permanently forfeit such RSUs and any right to receive Shares thereunder and the RSUs will be returned to the Company at no cost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Withholding of Taxes</w:t>
      </w:r>
      <w:r>
        <w:rPr>
          <w:rFonts w:ascii="Times New Roman;serif" w:hAnsi="Times New Roman;serif"/>
          <w:b w:val="false"/>
          <w:color w:val="000000"/>
          <w:sz w:val="22"/>
        </w:rPr>
        <w:t xml:space="preserve">. Prior to the settlement of the RSUs, the Employee shall pay or make adequate arrangements satisfactory to the Company and the Employer to satisfy his or her withholding tax obligations.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(i)Unless an alternative arrangement satisfactory to the Committee has been provided prior to the time that the RSUs vest, the Employee authorizes the Company and/or the Employer, or their respective agents, at their discretion, to satisfy their obligations with regard to all Tax-Related Items by Shares being sold on the Employee’s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the withholding obligations for Tax-Related Items (and any associated broker or other fees) arising with respect to the RSUs. Only whole Shares will be sold to satisfy any obligations for Tax-Related Items. For purposes of determining the number of Shares to be sold to satisfy the withholding obligations for Tax-Related Items, the Company may use rates which exceed the Employee’s actual tax rate, including maximum applicable tax rates, in which case the Employee will receive a cash refund of any over-withheld amount not remitted to applicable tax authorities on the Employee’s behalf and the Employee will have no entitlement to receive the equivalent amount in Shares.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(ii)If the Committee determines that the Employee cannot satisfy the obligations for Tax-Related Items through the procedure set forth in the immediately preceding paragraph, then the Committee may satisfy its obligations for Tax-Related Items by one of more of the following methods: (w) requiring the Employee to deliver cash or check to the Company or the Employer; (x) withholding from the Employee’s wages or other cash compensation paid to the Employee by the Company and/or the Employer; (y) withholding Shares otherwise issuable upon vesting of the RSUs with a Fair Market Value equal to the minimum amount of any Tax-Related Items required to be withheld; or (y) such other means as the Committee deems appropriate.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7.    Transferability of RSUs</w:t>
      </w:r>
      <w:r>
        <w:rPr>
          <w:rFonts w:ascii="Times New Roman;serif" w:hAnsi="Times New Roman;serif"/>
          <w:b w:val="false"/>
          <w:color w:val="000000"/>
          <w:sz w:val="22"/>
        </w:rPr>
        <w:t>. The RSUs or any of the rights granted hereunder may not be sold, pledged or otherwise transferred otherwise than by will or the laws of descent and distribution.</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2"/>
        </w:rPr>
        <w:t>8.    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9.    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10.    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11.    No Promise of Employment.</w:t>
      </w:r>
      <w:r>
        <w:rPr>
          <w:color w:val="000000"/>
        </w:rPr>
        <w:t xml:space="preserve"> </w:t>
      </w:r>
      <w:r>
        <w:rPr>
          <w:rFonts w:ascii="Times New Roman;serif" w:hAnsi="Times New Roman;serif"/>
          <w:b w:val="false"/>
          <w:color w:val="000000"/>
          <w:sz w:val="22"/>
        </w:rPr>
        <w:t>Neither the Plan nor this Agreement nor any provisions under either shall be construed so as to grant the Employee any right to remain in the employ of the Company or any of its Subsidiaries.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12.    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13.    Successors and Assigns</w:t>
      </w:r>
      <w:r>
        <w:rPr>
          <w:rFonts w:ascii="Times New Roman;serif" w:hAnsi="Times New Roman;serif"/>
          <w:b w:val="false"/>
          <w:color w:val="000000"/>
          <w:sz w:val="22"/>
        </w:rPr>
        <w:t>. This Agreement is intended to bind and inure to the benefit of and be enforceable by the Employee, the Company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14.    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15.     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16.</w:t>
      </w:r>
      <w:r>
        <w:rPr>
          <w:color w:val="000000"/>
        </w:rPr>
        <w:t>    </w:t>
      </w:r>
      <w:r>
        <w:rPr>
          <w:rFonts w:ascii="Times New Roman;serif" w:hAnsi="Times New Roman;serif"/>
          <w:b/>
          <w:color w:val="000000"/>
          <w:sz w:val="22"/>
        </w:rPr>
        <w:t>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color w:val="000000"/>
          <w:sz w:val="22"/>
        </w:rPr>
        <w:t>17.</w:t>
      </w:r>
      <w:r>
        <w:rPr>
          <w:color w:val="000000"/>
        </w:rPr>
        <w:t>    </w:t>
      </w:r>
      <w:r>
        <w:rPr>
          <w:rFonts w:ascii="Times New Roman;serif" w:hAnsi="Times New Roman;serif"/>
          <w:b/>
          <w:color w:val="000000"/>
          <w:sz w:val="22"/>
        </w:rPr>
        <w:t>Code Section 409A</w:t>
      </w:r>
      <w:r>
        <w:rPr>
          <w:rFonts w:ascii="Times New Roman;serif" w:hAnsi="Times New Roman;serif"/>
          <w:b w:val="false"/>
          <w:color w:val="000000"/>
          <w:sz w:val="22"/>
        </w:rPr>
        <w:t>.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Employee to incur any additional tax or interest under Section 409A, the Company shall be entitled to reform such provision without the Employee’s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Employee and the Company without violating the provisions of Section 409A. Neither the Company nor any employee,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rPr/>
      </w:pPr>
      <w:r>
        <w:rPr/>
      </w:r>
    </w:p>
    <w:p>
      <w:pPr>
        <w:pStyle w:val="TextBody"/>
        <w:bidi w:val="0"/>
        <w:spacing w:lineRule="auto" w:line="288" w:before="0" w:after="0"/>
        <w:ind w:left="0" w:right="0" w:hanging="5040"/>
        <w:jc w:val="both"/>
        <w:rPr/>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rPr/>
      </w:pPr>
      <w:r>
        <w:rPr/>
      </w:r>
    </w:p>
    <w:tbl>
      <w:tblPr>
        <w:tblW w:w="7256" w:type="dxa"/>
        <w:jc w:val="left"/>
        <w:tblInd w:w="0" w:type="dxa"/>
        <w:tblLayout w:type="fixed"/>
        <w:tblCellMar>
          <w:top w:w="28" w:type="dxa"/>
          <w:left w:w="28" w:type="dxa"/>
          <w:bottom w:w="28" w:type="dxa"/>
          <w:right w:w="28" w:type="dxa"/>
        </w:tblCellMar>
      </w:tblPr>
      <w:tblGrid>
        <w:gridCol w:w="1490"/>
        <w:gridCol w:w="1309"/>
        <w:gridCol w:w="1311"/>
        <w:gridCol w:w="109"/>
        <w:gridCol w:w="109"/>
        <w:gridCol w:w="109"/>
        <w:gridCol w:w="149"/>
        <w:gridCol w:w="149"/>
        <w:gridCol w:w="151"/>
        <w:gridCol w:w="693"/>
        <w:gridCol w:w="693"/>
        <w:gridCol w:w="984"/>
      </w:tblGrid>
      <w:tr>
        <w:trPr/>
        <w:tc>
          <w:tcPr>
            <w:tcW w:w="149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411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10.7</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Universal Electronics Inc.</w:t>
        <w:br/>
        <w:t>Performance-Based Stock Unit Award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Performance-Based Stock Unit Award Agreement </w:t>
      </w:r>
      <w:r>
        <w:rPr>
          <w:rFonts w:ascii="Times New Roman;serif" w:hAnsi="Times New Roman;serif"/>
          <w:b w:val="false"/>
          <w:color w:val="000000"/>
          <w:sz w:val="22"/>
        </w:rPr>
        <w:t>(the “Agreement”) is made as of [[GRANTDATE]] (the “Grant Date”) by and between Universal Electronics Inc., a Delaware Company (the “Company”), and the undersigned employee (the “Employee”). The Company has granted, pursuant to the Universal Electronics Inc. Amended and Restated 2018 Equity and Incentive Compensation Plan (the “Plan”), the Employee an award of performance-based stock units, which are “Restricted Stock Units” under the Plan (the “PSUs”), subject to the terms and conditions set forth in this Agreement, including the Statement of Performance Goals attached hereto, and the Plan. As used in this Agreement, the term “Company” shall include, where applicable, any and all of its subsidiaries or related entities. Any capitalized term used in this Agreement that is not defined herein shall have the meaning thereof set forth in the Plan, a copy of which can be obtained by written request to the Company’s Chief Financial Officer.</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Board of Directors of the Company (the “Board”) has approved the Plan;</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PSUs to Eligible Persons, payable in shares of the Company’s Common Stock, par value $0.01 per share (each, a “Share”), pursuant to the terms and conditions set forth in the Plan and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the parties, intending to be legally bound, hereto agree as follows:</w:t>
      </w:r>
    </w:p>
    <w:p>
      <w:pPr>
        <w:pStyle w:val="TextBody"/>
        <w:bidi w:val="0"/>
        <w:spacing w:lineRule="auto" w:line="240" w:before="0" w:after="240"/>
        <w:ind w:left="0" w:right="0" w:hanging="720"/>
        <w:jc w:val="both"/>
        <w:rPr/>
      </w:pPr>
      <w:r>
        <w:rPr>
          <w:rFonts w:ascii="Times New Roman;serif" w:hAnsi="Times New Roman;serif"/>
          <w:b/>
          <w:color w:val="000000"/>
          <w:sz w:val="22"/>
        </w:rPr>
        <w:t>1.Grant of the PSUs</w:t>
      </w:r>
      <w:r>
        <w:rPr>
          <w:rFonts w:ascii="Times New Roman;serif" w:hAnsi="Times New Roman;serif"/>
          <w:b w:val="false"/>
          <w:color w:val="000000"/>
          <w:sz w:val="22"/>
        </w:rPr>
        <w:t xml:space="preserve">. Subject to the terms and conditions set forth herein, the Employee is hereby granted </w:t>
      </w:r>
      <w:r>
        <w:rPr>
          <w:rFonts w:ascii="Times New Roman;serif" w:hAnsi="Times New Roman;serif"/>
          <w:b/>
          <w:color w:val="000000"/>
          <w:sz w:val="22"/>
        </w:rPr>
        <w:t xml:space="preserve">[[SHARESGRANTEDWORDS]] ([[SHARESGRANTED]]) </w:t>
      </w:r>
      <w:r>
        <w:rPr>
          <w:rFonts w:ascii="Times New Roman;serif" w:hAnsi="Times New Roman;serif"/>
          <w:b w:val="false"/>
          <w:color w:val="000000"/>
          <w:sz w:val="22"/>
        </w:rPr>
        <w:t xml:space="preserve">PSUs on the Grant Date. The number of PSUs set forth in the preceding sentence is the </w:t>
      </w:r>
      <w:r>
        <w:rPr>
          <w:rFonts w:ascii="Times New Roman;serif" w:hAnsi="Times New Roman;serif"/>
          <w:b w:val="false"/>
          <w:i/>
          <w:color w:val="000000"/>
          <w:sz w:val="22"/>
        </w:rPr>
        <w:t xml:space="preserve">target </w:t>
      </w:r>
      <w:r>
        <w:rPr>
          <w:rFonts w:ascii="Times New Roman;serif" w:hAnsi="Times New Roman;serif"/>
          <w:b w:val="false"/>
          <w:color w:val="000000"/>
          <w:sz w:val="22"/>
        </w:rPr>
        <w:t xml:space="preserve">number of PSUs that may vest subject to and upon the terms and conditions of this Agreement, the Plan, the Employee’s satisfaction of the continued service requirement, and the achievement of the performance goals approved by the Committee, as set forth or contemplated in the Statement of Performance Goals attached hereto (the “Statement of Performance Goals”). </w:t>
      </w:r>
    </w:p>
    <w:p>
      <w:pPr>
        <w:pStyle w:val="TextBody"/>
        <w:bidi w:val="0"/>
        <w:spacing w:lineRule="auto" w:line="240" w:before="0" w:after="240"/>
        <w:ind w:left="0" w:right="0" w:hanging="720"/>
        <w:jc w:val="both"/>
        <w:rPr/>
      </w:pPr>
      <w:r>
        <w:rPr>
          <w:rFonts w:ascii="Times New Roman;serif" w:hAnsi="Times New Roman;serif"/>
          <w:b/>
          <w:color w:val="000000"/>
          <w:sz w:val="22"/>
        </w:rPr>
        <w:t>2.Performance Condition and Vesting of the PSUs; Issuance and Delivery of Shares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Performance Condition and Vesting</w:t>
      </w:r>
      <w:r>
        <w:rPr>
          <w:rFonts w:ascii="Times New Roman;serif" w:hAnsi="Times New Roman;serif"/>
          <w:b w:val="false"/>
          <w:color w:val="000000"/>
          <w:sz w:val="22"/>
        </w:rPr>
        <w:t>. Subject to the terms and conditions set forth in this Agreement and in the Statement of Performance Goals, each Tranche (as defined in the Statement of Performance Goals) of PSUs shall vest upon the later of (i) the Committee’s certification of the achievement of the relevant performance goals for such Tranche (the “Certification Date”) and (ii) the relevant Retention Date (as defined in the Statement of Performance Goals) for such Tranche as set forth in the Statement of Performance, provided that the Employee remains continuously employed by the Company or a Subsidiary through the later of the applicable Performance Date (as defined in the Statement of Performance Goals) for such Tranche and the applicable Retention Date for such Tranche. In the event that the performance goals are not achieved during the Performance Period an unvested PSUs will be forfeited. For purposes of this Agreement, “continuously employed” (or substantially similar terms) means the absence of any interruption or termination of the Employee’s employment with the Company or a Subsidiary. Continuous employment shall not be considered interrupted or terminated in the case of transfers between locations of the Company and its Subsidiaries.</w:t>
      </w:r>
    </w:p>
    <w:p>
      <w:pPr>
        <w:pStyle w:val="TextBody"/>
        <w:bidi w:val="0"/>
        <w:spacing w:lineRule="auto" w:line="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Delivery of Shares</w:t>
      </w:r>
      <w:r>
        <w:rPr>
          <w:rFonts w:ascii="Times New Roman;serif" w:hAnsi="Times New Roman;serif"/>
          <w:b w:val="false"/>
          <w:color w:val="000000"/>
          <w:sz w:val="22"/>
        </w:rPr>
        <w:t xml:space="preserve">. Subject to Sections 6 and 7 of this Agreement, as soon as administratively practicable following the date that the PSUs vest, the Company shall issue and deliver to the Employee (or the Employee’s estate or legal representative, in the event of Employee’s death or disability) one (1) Share for each vested PSU; provided, however, that if the Committee requires that the Employee pay withholding taxes through a sale of Shares, settlement of each PSU shall be deferred to the next permissible trading day, but in no event later than March 15 following the calendar year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PSUs vest. For purposes of this Agreement, “permissible trading day” means a day that satisfies all of the following requirements: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(i)the exchange on which the Shares are traded is open for trading on that day;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(ii)the Employee is permitted to sell Shares on that day without incurring liability under Section 16(b) of the Exchange Act;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(iii)either (x) the Employee is not in possession of material non-public information that would make it illegal for the Employee to sell Shares on that day under Rule 10b-5 under the Exchange Act or (y) Rule 10b5-1 under the Exchange Act would apply to the sale;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(iv)the Employee is permitted to sell Shares on that day under such written insider trading policy as may have been adopted by the Company; and </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(v)the Employee is not prohibited from selling Shares on that day by a written agreement between the Employee and the Company or a third party.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there is no permissible trading day by March 15 following the calendar year in which the PSUs vest, the Employee must make alternative arrangements to pay withholding taxes satisfactory to the Company to avoid forfeiture.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 Shares are issued to the Employee subject to the condition that the issuance of the Shares does not violate any law or regulation and the Shares are subject to such approvals by any governmental agencies or national securities exchanges as may be required. Such issued and delivered Shares shall be in book-entry form maintained by the Company’s Transfer Agent and shall otherwise be transferable utilizing the Company’s Direct Registration System and Profile Modification System. </w:t>
      </w:r>
    </w:p>
    <w:p>
      <w:pPr>
        <w:pStyle w:val="TextBody"/>
        <w:bidi w:val="0"/>
        <w:spacing w:before="0" w:after="0"/>
        <w:jc w:val="both"/>
        <w:rPr/>
      </w:pPr>
      <w:r>
        <w:rPr/>
      </w:r>
    </w:p>
    <w:p>
      <w:pPr>
        <w:pStyle w:val="TextBody"/>
        <w:bidi w:val="0"/>
        <w:spacing w:lineRule="auto" w:line="240" w:before="0" w:after="240"/>
        <w:ind w:left="0" w:right="0" w:hanging="720"/>
        <w:jc w:val="both"/>
        <w:rPr/>
      </w:pPr>
      <w:r>
        <w:rPr>
          <w:rFonts w:ascii="Times New Roman;serif" w:hAnsi="Times New Roman;serif"/>
          <w:b/>
          <w:color w:val="000000"/>
          <w:sz w:val="22"/>
        </w:rPr>
        <w:t>3.Effect of Termination of Employment</w:t>
      </w:r>
      <w:r>
        <w:rPr>
          <w:rFonts w:ascii="Times New Roman;serif" w:hAnsi="Times New Roman;serif"/>
          <w:b w:val="false"/>
          <w:color w:val="000000"/>
          <w:sz w:val="22"/>
        </w:rPr>
        <w:t>. In the event that the Employee’s employment with the Company or a Subsidiary of the Company is terminated for any reason, any PSUs that are unvested as of such date shall be immediately forfeited and cancelled without further action by the parties hereto, and the Employee shall no longer have any rights with respect to the forfeited and cancelled PSUs (or any Dividend Equivalents (as defined in Section 5 hereof) with respect thereto). Notwithstanding the foregoing, in the event that the Employee’s employment with the Company or a Subsidiary terminates between a Performance Date and the corresponding Certification Date for a particular Tranche but after the applicable Retention Date for such Tranche, the Employee will remain entitled to vest in the PSUs for such Tranche upon the Certification Date.</w:t>
      </w:r>
    </w:p>
    <w:p>
      <w:pPr>
        <w:pStyle w:val="TextBody"/>
        <w:bidi w:val="0"/>
        <w:spacing w:lineRule="auto" w:line="240" w:before="0" w:after="240"/>
        <w:ind w:left="0" w:right="0" w:hanging="720"/>
        <w:jc w:val="both"/>
        <w:rPr/>
      </w:pPr>
      <w:r>
        <w:rPr>
          <w:rFonts w:ascii="Times New Roman;serif" w:hAnsi="Times New Roman;serif"/>
          <w:b/>
          <w:color w:val="000000"/>
          <w:sz w:val="22"/>
        </w:rPr>
        <w:t>4.Effect of Change in Control</w:t>
      </w:r>
      <w:r>
        <w:rPr>
          <w:rFonts w:ascii="Times New Roman;serif" w:hAnsi="Times New Roman;serif"/>
          <w:b w:val="false"/>
          <w:color w:val="000000"/>
          <w:sz w:val="22"/>
        </w:rPr>
        <w:t>. Notwithstanding anything to the contrary in this Agreement, in the event that (i) a “Change in Control” (as defined in the Plan) occurs during the Performance Period and (ii) the Employee remains continuously employed through the effective date of such Change in Control, any then-unvested Tranche of PSUs shall vest, if at all, in accordance with Section 3(b) of the Statement of Performance Goals. Any PSUs that do not so vest in accordance with this Section 4 shall be immediately forfeited. Subject to Sections 6 and 7 of this Agreement, as soon as administratively practicable after any PSUs vest in accordance with this Section 4, the Company shall issue and deliver to the Employee (or the Employee’s estate or legal representative, as applicable) one (1) Share free and clear of any restrictions for each vested PSU.</w:t>
      </w:r>
    </w:p>
    <w:p>
      <w:pPr>
        <w:pStyle w:val="TextBody"/>
        <w:bidi w:val="0"/>
        <w:spacing w:lineRule="auto" w:line="240" w:before="0" w:after="240"/>
        <w:ind w:left="0" w:right="0" w:hanging="720"/>
        <w:jc w:val="both"/>
        <w:rPr/>
      </w:pPr>
      <w:r>
        <w:rPr>
          <w:rFonts w:ascii="Times New Roman;serif" w:hAnsi="Times New Roman;serif"/>
          <w:b/>
          <w:color w:val="000000"/>
          <w:sz w:val="22"/>
        </w:rPr>
        <w:t>5.Employee’s Rights as Stockholder</w:t>
      </w:r>
      <w:r>
        <w:rPr>
          <w:rFonts w:ascii="Times New Roman;serif" w:hAnsi="Times New Roman;serif"/>
          <w:b w:val="false"/>
          <w:color w:val="000000"/>
          <w:sz w:val="22"/>
        </w:rPr>
        <w:t>. Prior to the vesting of the PSUs and delivery of Shares pursuant thereto, the Employee shall have no rights as a stockholder with respect to the Shares to be issued upon the vesting of the PSUs. However, the Employee shall be credited with an amount equal to all cash dividends (“Dividend Equivalents”) that would have been paid to the Employee if one Share had been issued to the Employee on the Grant Date for each PSU granted to the Employee as set forth in this Agreement. In the event of, and contingent upon, the vesting of the PSUs, in addition to the issuance and delivery of Shares in accordance with Section 2 (or Section 4) of this Agreement, the Employee shall be entitled to payment of the Dividend Equivalents in cash.</w:t>
      </w:r>
    </w:p>
    <w:p>
      <w:pPr>
        <w:pStyle w:val="TextBody"/>
        <w:bidi w:val="0"/>
        <w:spacing w:lineRule="auto" w:line="240" w:before="0" w:after="240"/>
        <w:ind w:left="0" w:right="0" w:hanging="720"/>
        <w:jc w:val="both"/>
        <w:rPr/>
      </w:pPr>
      <w:r>
        <w:rPr>
          <w:rFonts w:ascii="Times New Roman;serif" w:hAnsi="Times New Roman;serif"/>
          <w:b/>
          <w:color w:val="000000"/>
          <w:sz w:val="22"/>
        </w:rPr>
        <w:t>6.Taxes</w:t>
      </w:r>
      <w:r>
        <w:rPr>
          <w:rFonts w:ascii="Times New Roman;serif" w:hAnsi="Times New Roman;serif"/>
          <w:b w:val="false"/>
          <w:color w:val="000000"/>
          <w:sz w:val="22"/>
        </w:rPr>
        <w:t xml:space="preserve">. </w:t>
      </w:r>
    </w:p>
    <w:p>
      <w:pPr>
        <w:pStyle w:val="TextBody"/>
        <w:bidi w:val="0"/>
        <w:spacing w:lineRule="auto" w:line="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Responsibility for Taxes</w:t>
      </w:r>
      <w:r>
        <w:rPr>
          <w:rFonts w:ascii="Times New Roman;serif" w:hAnsi="Times New Roman;serif"/>
          <w:b w:val="false"/>
          <w:color w:val="000000"/>
          <w:sz w:val="22"/>
        </w:rPr>
        <w:t xml:space="preserve">. The Employee shall be liable for any and all applicable federal, state and local income tax, social insurance, payroll tax, payment on account or other tax-related withholding requirements arising out of this grant or the vesting of the PSUs hereunder (“Tax-Related Items”). Notwithstanding any contrary provision of this Agreement or the Plan, no Shares will be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to the Employee unless and until satisfactory arrangements (as determined by the Committee) have been made by the Employee with respect to the Tax-Related Items which the Company or the Subsidiary of the Company employing or retaining the Employee (the “Employer”) determines must be withheld with respect to the PSUs or any Shares issued upon vesting. In this regard, the Employee acknowledges and agrees that: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(i)The Employee is ultimately responsible for all Tax-Related Items and the Employee’s liability for Tax-Related Items may exceed the amount withheld by the Company and/or the Employer, if any;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(ii)The Company and/or the Employer make no representations or undertakings regarding the treatment of any Tax-Related Items in connection with any aspect of the PSUs, including, but not limited to, the grant, vesting or settlement of the PSUs, the subsequent sale of Shares acquired upon vesting of the PSUs and the receipt of any Dividend Equivalents;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(iii)The Company and/or the Employer do not commit to and are under no obligation to structure the terms of the grant or any aspect of the PSUs to reduce or eliminate the Employee’s liability for Tax-Related Items or achieve any particular tax result;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(iv)The Company and/or the Employer (or former employer, as applicable) may be required to withhold or account for Tax-Related Items in more than one jurisdiction if the Employee is subject to tax in more than one jurisdiction between the Grant Date and the date of any relevant taxable or tax withholding event, as applicable; and</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(v)If the Employee fails to make satisfactory arrangements for the payment of any Tax-Related Items at the time any applicable PSUs otherwise are scheduled to vest pursuant to Section 2 or 4 or, if later, at the time any Tax-Related Items related to PSUs otherwise are due, the Employee will permanently forfeit such PSUs and any right to receive Shares thereunder and the PSUs will be returned to the Company at no cost to the Company.</w:t>
      </w:r>
    </w:p>
    <w:p>
      <w:pPr>
        <w:pStyle w:val="TextBody"/>
        <w:bidi w:val="0"/>
        <w:spacing w:lineRule="auto" w:line="240" w:before="0" w:after="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Withholding of Taxes</w:t>
      </w:r>
      <w:r>
        <w:rPr>
          <w:rFonts w:ascii="Times New Roman;serif" w:hAnsi="Times New Roman;serif"/>
          <w:b w:val="false"/>
          <w:color w:val="000000"/>
          <w:sz w:val="22"/>
        </w:rPr>
        <w:t xml:space="preserve">. Prior to the settlement of the PSUs, the Employee shall pay or make adequate arrangements satisfactory to the Company and the Employer to satisfy his or her withholding tax obligations.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(i)Unless an alternative arrangement satisfactory to the Committee has been provided prior to the time that the PSUs vest, the Employee authorizes the Company and/or the Employer, or their respective agents, at their discretion, to satisfy their obligations with regard to all Tax-Related Items by Shares being sold on the Employee’s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the withholding obligations for Tax-Related Items (and any associated broker or other fees) arising with respect to the PSUs. Only whole Shares will be sold to satisfy any obligations for Tax-Related Items. For purposes of determining the number of Shares to be sold to satisfy the withholding obligations for Tax-Related Items, the Company may use rates which exceed the Employee’s actual tax rate, including maximum applicable tax rates, in which case the Employee will receive a cash refund of any over-withheld amount not remitted to applicable tax authorities on the Employee’s behalf and the Employee will have no entitlement to receive the equivalent amount in Shares. </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(ii)If the Committee determines that the Employee cannot satisfy the obligations for Tax-Related Items through the procedure set forth in the immediately preceding paragraph, then the Committee may satisfy its obligations for Tax-Related Items by one of more of the following methods: (w) requiring the Employee to deliver cash or check to the Company or the Employer; (x) withholding from the Employee’s wages or other cash compensation paid to the Employee by the Company and/or the Employer; (y) withholding Shares otherwise issuable upon vesting of the PSUs with a Fair Market Value equal to the minimum amount of any Tax-Related Items required to be withheld; or (y) such other means as the Committee deems appropriate.</w:t>
      </w:r>
    </w:p>
    <w:p>
      <w:pPr>
        <w:pStyle w:val="TextBody"/>
        <w:bidi w:val="0"/>
        <w:spacing w:lineRule="auto" w:line="240" w:before="0" w:after="240"/>
        <w:ind w:left="0" w:right="0" w:hanging="720"/>
        <w:jc w:val="both"/>
        <w:rPr/>
      </w:pPr>
      <w:r>
        <w:rPr>
          <w:rFonts w:ascii="Times New Roman;serif" w:hAnsi="Times New Roman;serif"/>
          <w:b/>
          <w:color w:val="000000"/>
          <w:sz w:val="22"/>
        </w:rPr>
        <w:t>7.Transferability of PSUs</w:t>
      </w:r>
      <w:r>
        <w:rPr>
          <w:rFonts w:ascii="Times New Roman;serif" w:hAnsi="Times New Roman;serif"/>
          <w:b w:val="false"/>
          <w:color w:val="000000"/>
          <w:sz w:val="22"/>
        </w:rPr>
        <w:t>. The PSUs or any of the rights granted hereunder may not be sold, pledged or otherwise transferred otherwise than by will or the laws of descent and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8.Notices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lineRule="auto" w:line="240" w:before="0" w:after="240"/>
        <w:ind w:left="0" w:right="0" w:hanging="720"/>
        <w:jc w:val="both"/>
        <w:rPr/>
      </w:pPr>
      <w:r>
        <w:rPr>
          <w:rFonts w:ascii="Times New Roman;serif" w:hAnsi="Times New Roman;serif"/>
          <w:b/>
          <w:color w:val="000000"/>
          <w:sz w:val="22"/>
        </w:rPr>
        <w:t>9.Severability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lineRule="auto" w:line="240" w:before="0" w:after="240"/>
        <w:ind w:left="0" w:right="0" w:hanging="720"/>
        <w:jc w:val="both"/>
        <w:rPr/>
      </w:pPr>
      <w:r>
        <w:rPr>
          <w:rFonts w:ascii="Times New Roman;serif" w:hAnsi="Times New Roman;serif"/>
          <w:b/>
          <w:color w:val="000000"/>
          <w:sz w:val="22"/>
        </w:rPr>
        <w:t>10.Complete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lineRule="auto" w:line="240" w:before="0" w:after="240"/>
        <w:ind w:left="0" w:right="0" w:hanging="720"/>
        <w:jc w:val="both"/>
        <w:rPr/>
      </w:pPr>
      <w:r>
        <w:rPr>
          <w:rFonts w:ascii="Times New Roman;serif" w:hAnsi="Times New Roman;serif"/>
          <w:b/>
          <w:color w:val="000000"/>
          <w:sz w:val="22"/>
        </w:rPr>
        <w:t>11.No Promise of Employment</w:t>
      </w:r>
      <w:r>
        <w:rPr>
          <w:rFonts w:ascii="Times New Roman;serif" w:hAnsi="Times New Roman;serif"/>
          <w:b w:val="false"/>
          <w:color w:val="000000"/>
          <w:sz w:val="22"/>
        </w:rPr>
        <w:t>. Neither the Plan nor this Agreement nor any provisions under either shall be construed so as to grant the Employee any right to remain in the employ of the Company or any of its Subsidiaries.</w:t>
      </w:r>
    </w:p>
    <w:p>
      <w:pPr>
        <w:pStyle w:val="TextBody"/>
        <w:bidi w:val="0"/>
        <w:spacing w:lineRule="auto" w:line="240" w:before="0" w:after="240"/>
        <w:ind w:left="0" w:right="0" w:hanging="720"/>
        <w:jc w:val="both"/>
        <w:rPr/>
      </w:pPr>
      <w:r>
        <w:rPr>
          <w:rFonts w:ascii="Times New Roman;serif" w:hAnsi="Times New Roman;serif"/>
          <w:b/>
          <w:color w:val="000000"/>
          <w:sz w:val="22"/>
        </w:rPr>
        <w:t>12.Counterparts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lineRule="auto" w:line="240" w:before="0" w:after="240"/>
        <w:ind w:left="0" w:right="0" w:hanging="720"/>
        <w:jc w:val="both"/>
        <w:rPr/>
      </w:pPr>
      <w:r>
        <w:rPr>
          <w:rFonts w:ascii="Times New Roman;serif" w:hAnsi="Times New Roman;serif"/>
          <w:b/>
          <w:color w:val="000000"/>
          <w:sz w:val="22"/>
        </w:rPr>
        <w:t>13.Successors and Assigns</w:t>
      </w:r>
      <w:r>
        <w:rPr>
          <w:rFonts w:ascii="Times New Roman;serif" w:hAnsi="Times New Roman;serif"/>
          <w:b w:val="false"/>
          <w:color w:val="000000"/>
          <w:sz w:val="22"/>
        </w:rPr>
        <w:t>. This Agreement is intended to bind and inure to the benefit of and be enforceable by the Employee, the Company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lineRule="auto" w:line="240" w:before="0" w:after="240"/>
        <w:ind w:left="0" w:right="0" w:hanging="720"/>
        <w:jc w:val="both"/>
        <w:rPr/>
      </w:pPr>
      <w:r>
        <w:rPr>
          <w:rFonts w:ascii="Times New Roman;serif" w:hAnsi="Times New Roman;serif"/>
          <w:b/>
          <w:color w:val="000000"/>
          <w:sz w:val="22"/>
        </w:rPr>
        <w:t>14.Remedies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lineRule="auto" w:line="240" w:before="0" w:after="240"/>
        <w:ind w:left="0" w:right="0" w:hanging="720"/>
        <w:jc w:val="both"/>
        <w:rPr/>
      </w:pPr>
      <w:r>
        <w:rPr>
          <w:rFonts w:ascii="Times New Roman;serif" w:hAnsi="Times New Roman;serif"/>
          <w:b/>
          <w:color w:val="000000"/>
          <w:sz w:val="22"/>
        </w:rPr>
        <w:t>15.Waiver or Modification</w:t>
      </w:r>
      <w:r>
        <w:rPr>
          <w:rFonts w:ascii="Times New Roman;serif" w:hAnsi="Times New Roman;serif"/>
          <w:b w:val="false"/>
          <w:color w:val="000000"/>
          <w:sz w:val="22"/>
        </w:rPr>
        <w:t>. Any waiver or modification of any of the provisions of this Agreement shall not be valid unless made in writing and signed by the parties hereto. A waiver by either party of any breach of this Agreement shall not operate as a waiver of any subsequent breach.</w:t>
      </w:r>
    </w:p>
    <w:p>
      <w:pPr>
        <w:pStyle w:val="TextBody"/>
        <w:bidi w:val="0"/>
        <w:spacing w:lineRule="auto" w:line="240" w:before="0" w:after="240"/>
        <w:ind w:left="0" w:right="0" w:hanging="720"/>
        <w:jc w:val="both"/>
        <w:rPr/>
      </w:pPr>
      <w:r>
        <w:rPr>
          <w:rFonts w:ascii="Times New Roman;serif" w:hAnsi="Times New Roman;serif"/>
          <w:b/>
          <w:color w:val="000000"/>
          <w:sz w:val="22"/>
        </w:rPr>
        <w:t>16.Governing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lineRule="auto" w:line="240" w:before="0" w:after="240"/>
        <w:ind w:left="0" w:right="0" w:hanging="720"/>
        <w:jc w:val="both"/>
        <w:rPr/>
      </w:pPr>
      <w:r>
        <w:rPr>
          <w:rFonts w:ascii="Times New Roman;serif" w:hAnsi="Times New Roman;serif"/>
          <w:b/>
          <w:color w:val="000000"/>
          <w:sz w:val="22"/>
        </w:rPr>
        <w:t>17.Code Section 409a</w:t>
      </w:r>
      <w:r>
        <w:rPr>
          <w:rFonts w:ascii="Times New Roman;serif" w:hAnsi="Times New Roman;serif"/>
          <w:b w:val="false"/>
          <w:color w:val="000000"/>
          <w:sz w:val="22"/>
        </w:rPr>
        <w:t xml:space="preserve">.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Employee to incur any additional tax or interest under Section 409A, the Company shall be entitled to reform such provision without the Employee’s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Employee and the Company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violating the provisions of Section 409A. Neither the Company nor any employee,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lineRule="auto" w:line="288" w:before="0" w:after="0"/>
        <w:ind w:left="0" w:right="0" w:hanging="5040"/>
        <w:jc w:val="both"/>
        <w:rPr/>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rPr/>
      </w:pPr>
      <w:r>
        <w:rPr/>
      </w:r>
    </w:p>
    <w:tbl>
      <w:tblPr>
        <w:tblW w:w="7256" w:type="dxa"/>
        <w:jc w:val="left"/>
        <w:tblInd w:w="0" w:type="dxa"/>
        <w:tblLayout w:type="fixed"/>
        <w:tblCellMar>
          <w:top w:w="28" w:type="dxa"/>
          <w:left w:w="28" w:type="dxa"/>
          <w:bottom w:w="28" w:type="dxa"/>
          <w:right w:w="28" w:type="dxa"/>
        </w:tblCellMar>
      </w:tblPr>
      <w:tblGrid>
        <w:gridCol w:w="1490"/>
        <w:gridCol w:w="1309"/>
        <w:gridCol w:w="1311"/>
        <w:gridCol w:w="109"/>
        <w:gridCol w:w="109"/>
        <w:gridCol w:w="109"/>
        <w:gridCol w:w="149"/>
        <w:gridCol w:w="149"/>
        <w:gridCol w:w="151"/>
        <w:gridCol w:w="693"/>
        <w:gridCol w:w="693"/>
        <w:gridCol w:w="984"/>
      </w:tblGrid>
      <w:tr>
        <w:trPr/>
        <w:tc>
          <w:tcPr>
            <w:tcW w:w="149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411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 xml:space="preserve">STATEMENT OF PERFORMANCE GOALS FOR </w:t>
        <w:br/>
        <w:t>PERFORMANCE-BASED STOCK UNITS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Statement of Performance Goals applies to the PSUs granted to the Employee on the Grant Date and is incorporated by reference as part of the Performance-Based Stock Unit Award Agreement between the Company and the Employee (the “Agreement”). The PSUs are subject to all of the terms and conditions in the Agreement and in the Plan.</w:t>
      </w:r>
    </w:p>
    <w:p>
      <w:pPr>
        <w:pStyle w:val="TextBody"/>
        <w:bidi w:val="0"/>
        <w:spacing w:lineRule="auto" w:line="240" w:before="0" w:after="240"/>
        <w:ind w:left="0" w:right="0" w:hanging="720"/>
        <w:jc w:val="both"/>
        <w:rPr/>
      </w:pPr>
      <w:r>
        <w:rPr>
          <w:rFonts w:ascii="Times New Roman;serif" w:hAnsi="Times New Roman;serif"/>
          <w:b/>
          <w:color w:val="000000"/>
          <w:sz w:val="22"/>
        </w:rPr>
        <w:t>1.Definitions</w:t>
      </w:r>
      <w:r>
        <w:rPr>
          <w:rFonts w:ascii="Times New Roman;serif" w:hAnsi="Times New Roman;serif"/>
          <w:b w:val="false"/>
          <w:color w:val="000000"/>
          <w:sz w:val="22"/>
        </w:rPr>
        <w:t>. Capitalized terms used in the Agreement that are not specifically defined in this Statement of Performance Goals have the meanings assigned to them in the Agreement or if not defined therein, in the Plan. For purposes of this Statement of Performance Goals: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rPr>
        <w:t>Performance Date” means, in the event a VWAP Goal (as defined below) is achieved for a particular Tranche, the first date as of which the VWAP Goal for such Tranche is achieved.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rPr>
        <w:t>VWAP” means the trailing forty-five (45) day volume-weighted average price of the Shares. VWAP will be calculated using the daily high/low average price and total daily volume, each as presented by Yahoo Finance.</w:t>
      </w:r>
    </w:p>
    <w:p>
      <w:pPr>
        <w:pStyle w:val="TextBody"/>
        <w:bidi w:val="0"/>
        <w:spacing w:lineRule="auto" w:line="240" w:before="0" w:after="240"/>
        <w:ind w:left="0" w:right="0" w:hanging="720"/>
        <w:jc w:val="both"/>
        <w:rPr/>
      </w:pPr>
      <w:r>
        <w:rPr>
          <w:rFonts w:ascii="Times New Roman;serif" w:hAnsi="Times New Roman;serif"/>
          <w:b/>
          <w:color w:val="000000"/>
          <w:sz w:val="22"/>
        </w:rPr>
        <w:t>2.Performance Period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(a)Performance Period: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(b)Potential Payout % (as a percentage of the target number of PSUs):    </w:t>
      </w:r>
    </w:p>
    <w:p>
      <w:pPr>
        <w:pStyle w:val="TextBody"/>
        <w:bidi w:val="0"/>
        <w:spacing w:lineRule="auto" w:line="240" w:before="0" w:after="240"/>
        <w:ind w:left="0" w:right="0" w:hanging="720"/>
        <w:jc w:val="both"/>
        <w:rPr/>
      </w:pPr>
      <w:r>
        <w:rPr>
          <w:rFonts w:ascii="Times New Roman;serif" w:hAnsi="Times New Roman;serif"/>
          <w:b/>
          <w:color w:val="000000"/>
          <w:sz w:val="22"/>
        </w:rPr>
        <w:t>3.Performance Goals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General Vesting</w:t>
      </w:r>
      <w:r>
        <w:rPr>
          <w:rFonts w:ascii="Times New Roman;serif" w:hAnsi="Times New Roman;serif"/>
          <w:b w:val="false"/>
          <w:color w:val="000000"/>
          <w:sz w:val="22"/>
        </w:rPr>
        <w:t>. The target PSUs are divided into three (3) vesting tranches (each, a “Tranche”). The PSUs in each Tranche shall vest upon the later of (i) the Committee’s certification of the achievement of the following VWAP applicable to each Tranche (the “VWAP Goal”), (which achievement must occur prior to the end of the Performance Period) and (ii) the relevant Retention Date for each Tranche as set forth below, subject to the Employee’s continued employment with the Company or its Subsidiary through the later of the applicable Performance Date and Retention Date for such Tranche.</w:t>
      </w:r>
    </w:p>
    <w:tbl>
      <w:tblPr>
        <w:tblW w:w="5742" w:type="dxa"/>
        <w:jc w:val="left"/>
        <w:tblInd w:w="0" w:type="dxa"/>
        <w:tblLayout w:type="fixed"/>
        <w:tblCellMar>
          <w:top w:w="28" w:type="dxa"/>
          <w:left w:w="28" w:type="dxa"/>
          <w:bottom w:w="28" w:type="dxa"/>
          <w:right w:w="28" w:type="dxa"/>
        </w:tblCellMar>
      </w:tblPr>
      <w:tblGrid>
        <w:gridCol w:w="385"/>
        <w:gridCol w:w="339"/>
        <w:gridCol w:w="341"/>
        <w:gridCol w:w="574"/>
        <w:gridCol w:w="574"/>
        <w:gridCol w:w="576"/>
        <w:gridCol w:w="444"/>
        <w:gridCol w:w="444"/>
        <w:gridCol w:w="446"/>
        <w:gridCol w:w="474"/>
        <w:gridCol w:w="474"/>
        <w:gridCol w:w="671"/>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Tranche</w:t>
            </w:r>
          </w:p>
        </w:tc>
        <w:tc>
          <w:tcPr>
            <w:tcW w:w="1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Number of PSUs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VWAP Goal</w:t>
            </w:r>
          </w:p>
        </w:tc>
        <w:tc>
          <w:tcPr>
            <w:tcW w:w="16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Retention Date</w:t>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1</w:t>
            </w:r>
          </w:p>
        </w:tc>
        <w:tc>
          <w:tcPr>
            <w:tcW w:w="17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2</w:t>
            </w:r>
          </w:p>
        </w:tc>
        <w:tc>
          <w:tcPr>
            <w:tcW w:w="17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3</w:t>
            </w:r>
          </w:p>
        </w:tc>
        <w:tc>
          <w:tcPr>
            <w:tcW w:w="172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Change in Control Vesting</w:t>
      </w:r>
      <w:r>
        <w:rPr>
          <w:rFonts w:ascii="Times New Roman;serif" w:hAnsi="Times New Roman;serif"/>
          <w:b w:val="false"/>
          <w:color w:val="000000"/>
          <w:sz w:val="22"/>
        </w:rPr>
        <w:t>. In the event that a Change in Control occurs during the Performance Period and Employee remains continuously employed through the effective date of such Change in Control, any then-unvested Tranche of PSUs shall vest as follows:</w:t>
      </w:r>
    </w:p>
    <w:p>
      <w:pPr>
        <w:pStyle w:val="TextBody"/>
        <w:bidi w:val="0"/>
        <w:spacing w:lineRule="auto" w:line="288" w:before="0" w:after="24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Measurement Based on Per Share Deal Price</w:t>
      </w:r>
      <w:r>
        <w:rPr>
          <w:rFonts w:ascii="Times New Roman;serif" w:hAnsi="Times New Roman;serif"/>
          <w:b w:val="false"/>
          <w:color w:val="000000"/>
          <w:sz w:val="22"/>
        </w:rPr>
        <w:t>. If a Change in Control occurs and any VWAP Goal has not yet been met, then the Per Share Deal Price (as defined below) will be measured against such VWAP Goal, as of a date determined by the Compensation Committee in its sole discretion, during the period beginning ten (10) days [calendar days / trading days] before the completion of the Change in Control and ending on the [calendar / trading] day immediately prior to the Change in Control, to determine whether any such VWAP Goal will be achieved. Any PSUs for which such VWAP Goal is deemed achieved based on the Per Share Deal Price will be considered vested PSUs as of immediately prior to the completion of the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Per Share Deal Price</w:t>
      </w:r>
      <w:r>
        <w:rPr>
          <w:rFonts w:ascii="Times New Roman;serif" w:hAnsi="Times New Roman;serif"/>
          <w:b w:val="false"/>
          <w:color w:val="000000"/>
          <w:sz w:val="22"/>
        </w:rPr>
        <w:t>. For purposes of this PSU, “Per Share Deal Price” means the total amount of cash consideration and value of any non-cash consideration received or potentially receivable for a share by holders of Common Stock in connection with a Change in Control. The value of any non-cash consideration will be determined in good faith by the Compensation Committee, except that if such non-cash consideration is in the form of publicly traded securities, then the value of such publicly traded securities will be based on the closing trading price of such publicly traded securities on the date of Closing.</w:t>
      </w:r>
    </w:p>
    <w:p>
      <w:pPr>
        <w:pStyle w:val="TextBody"/>
        <w:bidi w:val="0"/>
        <w:spacing w:lineRule="auto" w:line="288" w:before="0" w:after="240"/>
        <w:jc w:val="both"/>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Vesting at Closing</w:t>
      </w:r>
      <w:r>
        <w:rPr>
          <w:rFonts w:ascii="Times New Roman;serif" w:hAnsi="Times New Roman;serif"/>
          <w:b w:val="false"/>
          <w:color w:val="000000"/>
          <w:sz w:val="22"/>
        </w:rPr>
        <w:t>. Any PSUs that become vested PSUs prior to or in connection with the Change in Control will vest as of immediately prior to the effective date of such Change in Control irrespective of any remaining service-vesting to be completed (i.e., the service-vesting component will be fully accelerated).</w:t>
      </w:r>
    </w:p>
    <w:p>
      <w:pPr>
        <w:pStyle w:val="TextBody"/>
        <w:bidi w:val="0"/>
        <w:spacing w:lineRule="auto" w:line="288" w:before="0" w:after="240"/>
        <w:jc w:val="both"/>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Forfeiture</w:t>
      </w:r>
      <w:r>
        <w:rPr>
          <w:rFonts w:ascii="Times New Roman;serif" w:hAnsi="Times New Roman;serif"/>
          <w:b w:val="false"/>
          <w:color w:val="000000"/>
          <w:sz w:val="22"/>
        </w:rPr>
        <w:t>. Any PSUs that do not become vested PSUs will be forfeited as of immediately prior to the Change in Control.</w:t>
      </w:r>
    </w:p>
    <w:p>
      <w:pPr>
        <w:pStyle w:val="TextBody"/>
        <w:bidi w:val="0"/>
        <w:spacing w:lineRule="auto" w:line="240" w:before="0" w:after="240"/>
        <w:ind w:left="0" w:right="0" w:hanging="720"/>
        <w:jc w:val="both"/>
        <w:rPr/>
      </w:pPr>
      <w:r>
        <w:rPr>
          <w:rFonts w:ascii="Times New Roman;serif" w:hAnsi="Times New Roman;serif"/>
          <w:b/>
          <w:color w:val="000000"/>
          <w:sz w:val="22"/>
        </w:rPr>
        <w:t>4.Certification</w:t>
      </w:r>
      <w:r>
        <w:rPr>
          <w:rFonts w:ascii="Times New Roman;serif" w:hAnsi="Times New Roman;serif"/>
          <w:b w:val="false"/>
          <w:color w:val="000000"/>
          <w:sz w:val="22"/>
        </w:rPr>
        <w:t>. The Committee shall periodically assess whether the VWAP for a particular Tranche has been achieved, and, if it concludes that such VWAP Goal has been achieved, shall (a) promptly certify such achievement and (b) determine the Performance Date on which such VWAP Goal was first achieved. For the avoidance of doubt, the Committee may certify the achievement of the VWAP Goal for any Tranche following the last day of the Performance Period, provided that the applicable Performance Date occurred prior to the end of the Performance Period.</w:t>
      </w:r>
    </w:p>
    <w:p>
      <w:pPr>
        <w:pStyle w:val="TextBody"/>
        <w:bidi w:val="0"/>
        <w:spacing w:lineRule="auto" w:line="240" w:before="0" w:after="240"/>
        <w:ind w:left="0" w:right="0" w:hanging="720"/>
        <w:jc w:val="both"/>
        <w:rPr/>
      </w:pPr>
      <w:r>
        <w:rPr>
          <w:rFonts w:ascii="Times New Roman;serif" w:hAnsi="Times New Roman;serif"/>
          <w:b/>
          <w:color w:val="000000"/>
          <w:sz w:val="22"/>
        </w:rPr>
        <w:t>5.Expiration</w:t>
      </w:r>
      <w:r>
        <w:rPr>
          <w:rFonts w:ascii="Times New Roman;serif" w:hAnsi="Times New Roman;serif"/>
          <w:b w:val="false"/>
          <w:color w:val="000000"/>
          <w:sz w:val="22"/>
        </w:rPr>
        <w:t>. Any outstanding, unvested PSUs for any Tranche with respect to which the Performance Date has not occurred on or prior to the end of the Performance Period will be immediately forfeited immediately following the end of the Performance Period.</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Richard K. Carnifax,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18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18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714" w:type="dxa"/>
        <w:jc w:val="left"/>
        <w:tblInd w:w="0" w:type="dxa"/>
        <w:tblLayout w:type="fixed"/>
        <w:tblCellMar>
          <w:top w:w="28" w:type="dxa"/>
          <w:left w:w="28" w:type="dxa"/>
          <w:bottom w:w="28" w:type="dxa"/>
          <w:right w:w="28" w:type="dxa"/>
        </w:tblCellMar>
      </w:tblPr>
      <w:tblGrid>
        <w:gridCol w:w="867"/>
        <w:gridCol w:w="762"/>
        <w:gridCol w:w="1085"/>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Sui Man Ho,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spacing w:lineRule="auto" w:line="288" w:before="0" w:after="0"/>
        <w:jc w:val="left"/>
        <w:rPr>
          <w:color w:val="000000"/>
        </w:rPr>
      </w:pPr>
      <w:r>
        <w:rPr>
          <w:color w:val="000000"/>
        </w:rPr>
        <w:t> </w:t>
      </w:r>
    </w:p>
    <w:tbl>
      <w:tblPr>
        <w:tblW w:w="2834" w:type="dxa"/>
        <w:jc w:val="left"/>
        <w:tblInd w:w="0" w:type="dxa"/>
        <w:tblLayout w:type="fixed"/>
        <w:tblCellMar>
          <w:top w:w="28" w:type="dxa"/>
          <w:left w:w="28" w:type="dxa"/>
          <w:bottom w:w="28" w:type="dxa"/>
          <w:right w:w="28" w:type="dxa"/>
        </w:tblCellMar>
      </w:tblPr>
      <w:tblGrid>
        <w:gridCol w:w="906"/>
        <w:gridCol w:w="796"/>
        <w:gridCol w:w="1132"/>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Sui Man Ho</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Ho</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each of the undersigned officers of Universal Electronics Inc. (the "Company"), hereby certifies that the (i) Company's Form 10-Q for the fiscal quarter ended September 30, 2025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361" w:type="dxa"/>
        <w:jc w:val="left"/>
        <w:tblInd w:w="0" w:type="dxa"/>
        <w:tblLayout w:type="fixed"/>
        <w:tblCellMar>
          <w:top w:w="28" w:type="dxa"/>
          <w:left w:w="28" w:type="dxa"/>
          <w:bottom w:w="28" w:type="dxa"/>
          <w:right w:w="28" w:type="dxa"/>
        </w:tblCellMar>
      </w:tblPr>
      <w:tblGrid>
        <w:gridCol w:w="254"/>
        <w:gridCol w:w="224"/>
        <w:gridCol w:w="226"/>
        <w:gridCol w:w="534"/>
        <w:gridCol w:w="534"/>
        <w:gridCol w:w="536"/>
        <w:gridCol w:w="109"/>
        <w:gridCol w:w="109"/>
        <w:gridCol w:w="109"/>
        <w:gridCol w:w="134"/>
        <w:gridCol w:w="134"/>
        <w:gridCol w:w="136"/>
        <w:gridCol w:w="109"/>
        <w:gridCol w:w="109"/>
        <w:gridCol w:w="109"/>
        <w:gridCol w:w="1460"/>
        <w:gridCol w:w="1460"/>
        <w:gridCol w:w="207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Sui Man Ho</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Ho</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5000081/a8k20250505-ex101.htm" TargetMode="External"/><Relationship Id="rId3" Type="http://schemas.openxmlformats.org/officeDocument/2006/relationships/hyperlink" Target="https://www.sec.gov/Archives/edgar/data/101984/000010198425000182/ex101usbank10thamendmentto.htm" TargetMode="External"/><Relationship Id="rId4" Type="http://schemas.openxmlformats.org/officeDocument/2006/relationships/hyperlink" Target="https://www.sec.gov/Archives/edgar/data/101984/000010198425000182/ex102bankofchinalineofcred.htm" TargetMode="External"/><Relationship Id="rId5" Type="http://schemas.openxmlformats.org/officeDocument/2006/relationships/hyperlink" Target="https://www.sec.gov/Archives/edgar/data/101984/000010198425000182/ex103bankofchinaworkingcap.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32498</Words>
  <Characters>176553</Characters>
  <CharactersWithSpaces>207239</CharactersWithSpaces>
  <Paragraphs>3141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