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30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March 31, 2013</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7"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838" w:orient="portrait"/>
          <w:cols w:equalWidth="0" w:num="4">
            <w:col w:w="1660" w:space="540"/>
            <w:col w:w="5560" w:space="720"/>
            <w:col w:w="1900" w:space="720"/>
            <w:col w:w="320"/>
          </w:cols>
          <w:pgMar w:left="240" w:top="517" w:right="23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1560" w:space="640"/>
            <w:col w:w="180" w:space="80"/>
            <w:col w:w="5300" w:space="720"/>
            <w:col w:w="1980" w:space="640"/>
            <w:col w:w="320"/>
          </w:cols>
          <w:pgMar w:left="240" w:top="51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517"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14,995,308 shares of Common Stock, par value $0.01 per share, of the registrant were outstanding on May 3, 2013.</w:t>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260" w:type="dxa"/>
            <w:vAlign w:val="bottom"/>
            <w:gridSpan w:val="4"/>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50"/>
        </w:trPr>
        <w:tc>
          <w:tcPr>
            <w:tcW w:w="240" w:type="dxa"/>
            <w:vAlign w:val="bottom"/>
            <w:tcBorders>
              <w:top w:val="single" w:sz="8" w:color="0000FF"/>
            </w:tcBorders>
          </w:tcPr>
          <w:p>
            <w:pPr>
              <w:spacing w:after="0"/>
              <w:rPr>
                <w:sz w:val="21"/>
                <w:szCs w:val="21"/>
                <w:color w:val="auto"/>
              </w:rPr>
            </w:pPr>
          </w:p>
        </w:tc>
        <w:tc>
          <w:tcPr>
            <w:tcW w:w="21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1620" w:type="dxa"/>
            <w:vAlign w:val="bottom"/>
            <w:tcBorders>
              <w:top w:val="single" w:sz="8" w:color="0000FF"/>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Income Statements</w:t>
              </w:r>
            </w:hyperlink>
          </w:p>
        </w:tc>
        <w:tc>
          <w:tcPr>
            <w:tcW w:w="226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FF"/>
            </w:tcBorders>
            <w:gridSpan w:val="1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42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the Consolidated Financial Statements</w:t>
              </w:r>
            </w:hyperlink>
          </w:p>
        </w:tc>
        <w:tc>
          <w:tcPr>
            <w:tcW w:w="5180" w:type="dxa"/>
            <w:vAlign w:val="bottom"/>
            <w:gridSpan w:val="5"/>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50"/>
        </w:trPr>
        <w:tc>
          <w:tcPr>
            <w:tcW w:w="7000" w:type="dxa"/>
            <w:vAlign w:val="bottom"/>
            <w:gridSpan w:val="17"/>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3940" w:type="dxa"/>
            <w:vAlign w:val="bottom"/>
            <w:tcBorders>
              <w:left w:val="single" w:sz="8" w:color="0000FF"/>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 OTHER INFORMATION</w:t>
              </w:r>
            </w:hyperlink>
          </w:p>
        </w:tc>
        <w:tc>
          <w:tcPr>
            <w:tcW w:w="2260" w:type="dxa"/>
            <w:vAlign w:val="bottom"/>
            <w:gridSpan w:val="4"/>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760" w:type="dxa"/>
            <w:vAlign w:val="bottom"/>
            <w:gridSpan w:val="12"/>
            <w:shd w:val="clear" w:color="auto" w:fill="0000FF"/>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900" w:type="dxa"/>
            <w:vAlign w:val="bottom"/>
            <w:gridSpan w:val="16"/>
          </w:tcPr>
          <w:p>
            <w:pPr>
              <w:spacing w:after="0"/>
              <w:rPr>
                <w:sz w:val="20"/>
                <w:szCs w:val="20"/>
                <w:color w:val="auto"/>
              </w:rPr>
            </w:pPr>
            <w:r>
              <w:rPr>
                <w:rFonts w:ascii="Arial" w:cs="Arial" w:eastAsia="Arial" w:hAnsi="Arial"/>
                <w:sz w:val="18"/>
                <w:szCs w:val="18"/>
                <w:color w:val="0000FF"/>
              </w:rPr>
              <w:t>Item 6. Exhibits</w:t>
            </w: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FF"/>
                <w:w w:val="93"/>
              </w:rPr>
            </w:pPr>
            <w:hyperlink w:anchor="page28">
              <w:r>
                <w:rPr>
                  <w:rFonts w:ascii="Arial" w:cs="Arial" w:eastAsia="Arial" w:hAnsi="Arial"/>
                  <w:sz w:val="18"/>
                  <w:szCs w:val="18"/>
                  <w:color w:val="0000FF"/>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0"/>
        </w:trPr>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UNIVERSAL ELECTRONICS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88,713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91,048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84,381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216,292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229,163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77,472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77,706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28,975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29,835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6,369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50,295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59,831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Line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31,680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33,398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sales discounts, rebates and royalties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accrued expenses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9,564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10,644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115,675</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Income tax payable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113,042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128,674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380"/>
              <w:spacing w:after="0"/>
              <w:rPr>
                <w:sz w:val="20"/>
                <w:szCs w:val="20"/>
                <w:color w:val="auto"/>
              </w:rPr>
            </w:pPr>
            <w:r>
              <w:rPr>
                <w:rFonts w:ascii="Arial" w:cs="Arial" w:eastAsia="Arial" w:hAnsi="Arial"/>
                <w:sz w:val="16"/>
                <w:szCs w:val="16"/>
                <w:color w:val="auto"/>
                <w:w w:val="93"/>
              </w:rPr>
              <w:t>Common stock, $0.01 par value, 50,000,000 shares authorized; 21,573,699 and 21,491,398 shares issued on March 31,</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380"/>
              <w:spacing w:after="0"/>
              <w:rPr>
                <w:sz w:val="20"/>
                <w:szCs w:val="20"/>
                <w:color w:val="auto"/>
              </w:rPr>
            </w:pPr>
            <w:r>
              <w:rPr>
                <w:rFonts w:ascii="Arial" w:cs="Arial" w:eastAsia="Arial" w:hAnsi="Arial"/>
                <w:sz w:val="16"/>
                <w:szCs w:val="16"/>
                <w:color w:val="auto"/>
              </w:rPr>
              <w:t>2013 and December 31, 2012, respectively</w:t>
            </w:r>
          </w:p>
        </w:tc>
        <w:tc>
          <w:tcPr>
            <w:tcW w:w="26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180,607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173,515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170,569</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356,268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352,443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Less cost of common stock in treasury, 6,589,901 and 6,516,382 shares on March 31, 2013 and December 31, 2012,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(101,793)</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253,023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250,650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a related party vendor.</w:t>
      </w:r>
    </w:p>
    <w:p>
      <w:pPr>
        <w:spacing w:after="0" w:line="2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103,732</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82,173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75,405</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28,327</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4,241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22,552</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3,895</w:t>
            </w: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vMerge w:val="continue"/>
          </w:tcPr>
          <w:p>
            <w:pPr>
              <w:spacing w:after="0"/>
              <w:rPr>
                <w:sz w:val="19"/>
                <w:szCs w:val="19"/>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1240" w:type="dxa"/>
            <w:vAlign w:val="bottom"/>
          </w:tcPr>
          <w:p>
            <w:pPr>
              <w:jc w:val="right"/>
              <w:ind w:right="103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67"/>
        </w:trPr>
        <w:tc>
          <w:tcPr>
            <w:tcW w:w="716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1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Basic</w:t>
            </w:r>
          </w:p>
        </w:tc>
        <w:tc>
          <w:tcPr>
            <w:tcW w:w="1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14,965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14,871</w:t>
            </w:r>
          </w:p>
        </w:tc>
        <w:tc>
          <w:tcPr>
            <w:tcW w:w="0" w:type="dxa"/>
            <w:vAlign w:val="bottom"/>
          </w:tcPr>
          <w:p>
            <w:pPr>
              <w:spacing w:after="0"/>
              <w:rPr>
                <w:sz w:val="1"/>
                <w:szCs w:val="1"/>
                <w:color w:val="auto"/>
              </w:rPr>
            </w:pPr>
          </w:p>
        </w:tc>
      </w:tr>
      <w:tr>
        <w:trPr>
          <w:trHeight w:val="67"/>
        </w:trPr>
        <w:tc>
          <w:tcPr>
            <w:tcW w:w="716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18" w:right="29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64"/>
        </w:trPr>
        <w:tc>
          <w:tcPr>
            <w:tcW w:w="75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r>
      <w:tr>
        <w:trPr>
          <w:trHeight w:val="237"/>
        </w:trPr>
        <w:tc>
          <w:tcPr>
            <w:tcW w:w="75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2,560</w:t>
            </w:r>
          </w:p>
        </w:tc>
      </w:tr>
      <w:tr>
        <w:trPr>
          <w:trHeight w:val="27"/>
        </w:trPr>
        <w:tc>
          <w:tcPr>
            <w:tcW w:w="7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118" w:right="37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for) operating activities: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2,946</w:t>
            </w:r>
          </w:p>
        </w:tc>
        <w:tc>
          <w:tcPr>
            <w:tcW w:w="100" w:type="dxa"/>
            <w:vAlign w:val="bottom"/>
          </w:tcPr>
          <w:p>
            <w:pPr>
              <w:spacing w:after="0"/>
              <w:rPr>
                <w:sz w:val="20"/>
                <w:szCs w:val="20"/>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1,632</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4,374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4,260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doubtful accounts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Provision for inventory write-downs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894</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r>
      <w:tr>
        <w:trPr>
          <w:trHeight w:val="224"/>
        </w:trPr>
        <w:tc>
          <w:tcPr>
            <w:tcW w:w="81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Accounts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8,934</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Inventories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(6,066)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5,387</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Accounts payable and accrued expenses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(14,345)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0"/>
              </w:rPr>
              <w:t>(21,511)</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Accrued income and other taxes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Net cash provided by (used for) operating activities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(11,297)</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(2,025)</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for investing activities: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(3,058)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intangible assets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Net cash used for investing activities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(3,349)</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(1,928)</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for) financing activities: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Issuance of debt</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5,000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debt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(13,500)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Proceeds from stock options exercised</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1,151</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purchased</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for) 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221</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(15,869)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44,593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29,372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Income taxes paid</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1,682</w:t>
            </w:r>
          </w:p>
        </w:tc>
        <w:tc>
          <w:tcPr>
            <w:tcW w:w="100" w:type="dxa"/>
            <w:vAlign w:val="bottom"/>
          </w:tcPr>
          <w:p>
            <w:pPr>
              <w:spacing w:after="0"/>
              <w:rPr>
                <w:sz w:val="20"/>
                <w:szCs w:val="20"/>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1,094</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8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2013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allowances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2012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2011, the FASB issued Accounting Standards Update ("ASU") 2011-11, "Disclosures about Offsetting Assets and Liabilities". The amendments in ASU 2011-11 require an entity to disclose information about offsetting and related arrangements to enable users of its financial statements to understand the effect of those arrangements on its financial position. In January 2013, the FASB issued ASU 2013-01, "Clarifying the Scope of Disclosures about Offsetting Assets and Liabilities", which limits the scope of ASU 2011-11 to derivatives, repurchase agreements and securities lending transactions. This guidance became effective on January 1, 2013 with retrospective application required. The adoption of this guidance did not have a material impact on our consolidated financial statements.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2013, the FASB issued ASU 2013-02, "Reporting of Amounts Reclassified Out of Accumulated Other Comprehensive Income", which updates ASU 2011-05, "Comprehensive Income". This standard requires the presentation in a single location, either in a note or parenthetically on the face of the financial statements, of the effect of significant amounts reclassified from each component of accumulated other comprehensive income based on its source and the income statement line items affected by the reclassification. We adopted this guidance effective January 1, 2013. The adoption of this guidance did not have a material impact on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1,436</w:t>
            </w:r>
          </w:p>
        </w:tc>
        <w:tc>
          <w:tcPr>
            <w:tcW w:w="34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Asia</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19,973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27,317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Cayman Islands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28,724</w:t>
            </w:r>
          </w:p>
        </w:tc>
        <w:tc>
          <w:tcPr>
            <w:tcW w:w="120" w:type="dxa"/>
            <w:vAlign w:val="bottom"/>
            <w:gridSpan w:val="2"/>
          </w:tcPr>
          <w:p>
            <w:pPr>
              <w:spacing w:after="0"/>
              <w:rPr>
                <w:sz w:val="22"/>
                <w:szCs w:val="22"/>
                <w:color w:val="auto"/>
              </w:rPr>
            </w:pPr>
          </w:p>
        </w:tc>
        <w:tc>
          <w:tcPr>
            <w:tcW w:w="2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44,593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60" w:type="dxa"/>
            <w:vAlign w:val="bottom"/>
            <w:gridSpan w:val="3"/>
          </w:tcPr>
          <w:p>
            <w:pPr>
              <w:spacing w:after="0"/>
              <w:rPr>
                <w:sz w:val="20"/>
                <w:szCs w:val="20"/>
                <w:color w:val="auto"/>
              </w:rPr>
            </w:pPr>
            <w:r>
              <w:rPr>
                <w:rFonts w:ascii="Arial" w:cs="Arial" w:eastAsia="Arial" w:hAnsi="Arial"/>
                <w:sz w:val="18"/>
                <w:szCs w:val="18"/>
                <w:color w:val="auto"/>
              </w:rPr>
              <w:t>Accounts receivable, net were as follows: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Net trade receivables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86,024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88,738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88,713</w:t>
            </w:r>
          </w:p>
        </w:tc>
        <w:tc>
          <w:tcPr>
            <w:tcW w:w="2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91,048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60" w:type="dxa"/>
            <w:vAlign w:val="bottom"/>
            <w:gridSpan w:val="3"/>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24"/>
                <w:szCs w:val="24"/>
                <w:color w:val="auto"/>
              </w:rPr>
            </w:pPr>
          </w:p>
        </w:tc>
        <w:tc>
          <w:tcPr>
            <w:tcW w:w="10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(Write-offs)/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Beginning of</w:t>
            </w:r>
          </w:p>
        </w:tc>
        <w:tc>
          <w:tcPr>
            <w:tcW w:w="180" w:type="dxa"/>
            <w:vAlign w:val="bottom"/>
          </w:tcPr>
          <w:p>
            <w:pPr>
              <w:spacing w:after="0"/>
              <w:rPr>
                <w:sz w:val="12"/>
                <w:szCs w:val="12"/>
                <w:color w:val="auto"/>
              </w:rPr>
            </w:pPr>
          </w:p>
        </w:tc>
        <w:tc>
          <w:tcPr>
            <w:tcW w:w="108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1"/>
              </w:rPr>
              <w:t>to Costs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End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88"/>
              </w:rPr>
              <w:t>Expenses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FX Effects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Valuation account for trade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Three months ended March 31, 2013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Three months ended March 31, 2012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March 31, 2013 and December 31, 2012 included reserves for items returned prior to year-end that were not completely processed, and therefore had not yet been removed from the allowance for sales returns balance. If these returns had been fully processed, the allowance for sales returns balance would have been approximately $0.4 million and $0.6 million on March 31, 2013 and December 31, 2012, respectively. The value of these returned goods was included in our inventory balance at March 31, 2013 and December 31, 2012.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significant customer that totaled more than 10% of our net sales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208"/>
              <w:spacing w:after="0"/>
              <w:rPr>
                <w:sz w:val="20"/>
                <w:szCs w:val="20"/>
                <w:color w:val="auto"/>
              </w:rPr>
            </w:pPr>
            <w:r>
              <w:rPr>
                <w:rFonts w:ascii="Arial" w:cs="Arial" w:eastAsia="Arial" w:hAnsi="Arial"/>
                <w:sz w:val="14"/>
                <w:szCs w:val="14"/>
                <w:b w:val="1"/>
                <w:bCs w:val="1"/>
                <w:color w:val="auto"/>
                <w:w w:val="96"/>
              </w:rPr>
              <w:t>2012</w:t>
            </w:r>
          </w:p>
        </w:tc>
      </w:tr>
      <w:tr>
        <w:trPr>
          <w:trHeight w:val="264"/>
        </w:trPr>
        <w:tc>
          <w:tcPr>
            <w:tcW w:w="54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5"/>
              </w:rPr>
              <w:t>$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of Net Sales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5"/>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of Net Sales</w:t>
            </w:r>
          </w:p>
        </w:tc>
      </w:tr>
      <w:tr>
        <w:trPr>
          <w:trHeight w:val="243"/>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20,847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5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 significant customer activity disclosed above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902"/>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w w:val="98"/>
              </w:rPr>
              <w:t>$ (thousands)</w:t>
            </w:r>
          </w:p>
        </w:tc>
        <w:tc>
          <w:tcPr>
            <w:tcW w:w="100" w:type="dxa"/>
            <w:vAlign w:val="bottom"/>
            <w:vMerge w:val="restart"/>
          </w:tcPr>
          <w:p>
            <w:pPr>
              <w:spacing w:after="0"/>
              <w:rPr>
                <w:sz w:val="13"/>
                <w:szCs w:val="13"/>
                <w:color w:val="auto"/>
              </w:rPr>
            </w:pPr>
          </w:p>
        </w:tc>
        <w:tc>
          <w:tcPr>
            <w:tcW w:w="18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126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w w:val="98"/>
              </w:rPr>
              <w:t>$ (thousands)</w:t>
            </w:r>
          </w:p>
        </w:tc>
        <w:tc>
          <w:tcPr>
            <w:tcW w:w="100" w:type="dxa"/>
            <w:vAlign w:val="bottom"/>
            <w:vMerge w:val="restart"/>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10,236</w:t>
            </w:r>
          </w:p>
        </w:tc>
        <w:tc>
          <w:tcPr>
            <w:tcW w:w="1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  $</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loss of any of these customers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4"/>
          </w:tcPr>
          <w:p>
            <w:pPr>
              <w:ind w:left="380"/>
              <w:spacing w:after="0"/>
              <w:rPr>
                <w:sz w:val="20"/>
                <w:szCs w:val="20"/>
                <w:color w:val="auto"/>
              </w:rPr>
            </w:pPr>
            <w:r>
              <w:rPr>
                <w:rFonts w:ascii="Arial" w:cs="Arial" w:eastAsia="Arial" w:hAnsi="Arial"/>
                <w:sz w:val="14"/>
                <w:szCs w:val="14"/>
                <w:b w:val="1"/>
                <w:bCs w:val="1"/>
                <w:color w:val="auto"/>
              </w:rPr>
              <w:t>March 31, 2013</w:t>
            </w:r>
          </w:p>
        </w:tc>
        <w:tc>
          <w:tcPr>
            <w:tcW w:w="540" w:type="dxa"/>
            <w:vAlign w:val="bottom"/>
          </w:tcPr>
          <w:p>
            <w:pPr>
              <w:spacing w:after="0"/>
              <w:rPr>
                <w:sz w:val="16"/>
                <w:szCs w:val="16"/>
                <w:color w:val="auto"/>
              </w:rPr>
            </w:pPr>
          </w:p>
        </w:tc>
        <w:tc>
          <w:tcPr>
            <w:tcW w:w="126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798"/>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19,655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Components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17,882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20,978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50,934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46,939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(1,849)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top w:val="single" w:sz="8" w:color="auto"/>
            </w:tcBorders>
          </w:tcPr>
          <w:p>
            <w:pPr>
              <w:jc w:val="right"/>
              <w:ind w:right="798"/>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7"/>
              </w:rPr>
              <w:t>89,579</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84,381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0" w:type="dxa"/>
            <w:vAlign w:val="bottom"/>
            <w:gridSpan w:val="5"/>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Balance at</w:t>
            </w: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26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Sell</w:t>
            </w:r>
          </w:p>
        </w:tc>
        <w:tc>
          <w:tcPr>
            <w:tcW w:w="126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Write-offs/FX</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Costs and</w:t>
            </w: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at End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5"/>
              </w:rPr>
              <w:t>of Period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 xml:space="preserve">Expenses </w:t>
            </w:r>
            <w:r>
              <w:rPr>
                <w:rFonts w:ascii="Arial" w:cs="Arial" w:eastAsia="Arial" w:hAnsi="Arial"/>
                <w:sz w:val="12"/>
                <w:szCs w:val="12"/>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5"/>
              </w:rPr>
              <w:t>Through</w:t>
            </w:r>
            <w:r>
              <w:rPr>
                <w:rFonts w:ascii="Arial" w:cs="Arial" w:eastAsia="Arial" w:hAnsi="Arial"/>
                <w:sz w:val="12"/>
                <w:szCs w:val="12"/>
                <w:b w:val="1"/>
                <w:bCs w:val="1"/>
                <w:color w:val="auto"/>
                <w:w w:val="95"/>
              </w:rPr>
              <w:t>(2)</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Effects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Three months ended March 31,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Three months ended March 31, 2012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3,447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$0.1 million and $0.2 million for the three months ended March 31, 2013 and 2012.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This column represents the reversal of reserves associated with inventory items that were sold during the period. Sell through is the result of differences between our judgment concerning the saleability of inventory items during the excess and obsolete inventory review process and our subsequent experience.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We had purchases from the following significant suppliers that totaled more than 10% of our total inventory purchases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106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08"/>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rPr>
              <w:t>% of</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Total</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Inventory</w:t>
            </w:r>
          </w:p>
        </w:tc>
        <w:tc>
          <w:tcPr>
            <w:tcW w:w="10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Inventory</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Samsung</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Samjin</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6,150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1388"/>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12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w w:val="98"/>
              </w:rPr>
              <w:t>$ (thousands)</w:t>
            </w:r>
          </w:p>
        </w:tc>
        <w:tc>
          <w:tcPr>
            <w:tcW w:w="100" w:type="dxa"/>
            <w:vAlign w:val="bottom"/>
          </w:tcPr>
          <w:p>
            <w:pPr>
              <w:spacing w:after="0"/>
              <w:rPr>
                <w:sz w:val="13"/>
                <w:szCs w:val="13"/>
                <w:color w:val="auto"/>
              </w:rPr>
            </w:pPr>
          </w:p>
        </w:tc>
        <w:tc>
          <w:tcPr>
            <w:tcW w:w="1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  $</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this vendor were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5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  $</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and changes in the carrying amount of goodwill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64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30,890</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Foreign currency</w:t>
            </w:r>
          </w:p>
        </w:tc>
        <w:tc>
          <w:tcPr>
            <w:tcW w:w="5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64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30,807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2013</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Carrying amount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Distribution rights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Patents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Trademark and trade names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and core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w w:val="95"/>
              </w:rPr>
              <w:t>Capitalized software development costs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carrying amount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28,975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29,835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$9.1 million and $9.1 million on March 31, 2013 and December 31, 2012,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958</w:t>
            </w:r>
          </w:p>
        </w:tc>
      </w:tr>
      <w:tr>
        <w:trPr>
          <w:trHeight w:val="27"/>
        </w:trPr>
        <w:tc>
          <w:tcPr>
            <w:tcW w:w="70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at March 31, 2013,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 (remaining 9 months)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4,033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3,813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10,390</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Impairment charges are recorded in selling, general and administrative expenses as a component of amortization expense, except impairment charges related to capitalized software development costs which are recorded in cost of sales. We recorded immaterial impairment charges related to our intangible assets for the three months ended March 31, 2013 and 2012.</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disposed of one patent and one trademark with an immaterial aggregate carrying amount during the three months ended March 31, 2013. We disposed of eight patents with an immaterial aggregate carrying amount during three months ended March 31, 2012. These assets no longer held any probable future economic benefits and thus were written-off.</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 2012, we entered into an Amended and Restated Credit Agreement ("Amended Credit Agreement") with U.S. Bank National Association ("U.S. Bank") which provides for a $55.0 million line of credit ("Credit Line") that may be used for working</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and other general corporate purposes including acquisitions, share repurchases and capital expenditures. The Amended Credit Agreement expires on November 1, 2014. Amounts available for borrowing under the Credit Line are reduced by the balance of any outstanding letters of credit, of which there were $13 thousand at March 31, 2013.</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March 31, 2013, we were in compliance with the covenants and conditions of the Amended Credit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Our total interest expense on borrowings was $33 thousand and $0.1 million during the three months ended March 31, 2013 and 2012,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 We recorded income tax expense of $0.4 million and $0.3 million for the three months ended March 31, 2013 and 2012, respectively. Our effective tax rate was 12.2% and 16.4% during the three months ended March 31, 2013 and 2012, respectively. The decrease in our effective tax rate was due to the recognition of the 2012 federal R&amp;D tax credit of $0.4 million, which passed legislation during the three months ended March 31, 2013. During the three months ended March 31, 2012, we recorded the reversal of unrecognized tax benefits originally recorded in 2008 and 2009 which amounted to $0.2 million.</w:t>
      </w:r>
    </w:p>
    <w:p>
      <w:pPr>
        <w:spacing w:after="0" w:line="1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31, 2013, we had gross unrecognized tax benefits of approximately $5.1 million, including interest and penalties, of which approximately $4.7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$0.1 million within the next twelve months.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$0.1 million and $0.1 million on March 31, 2013 and December 31, 2012, respectively, are included in our unrecognized tax benefits.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March 31, 2013, the open statutes of limitations in our significant tax jurisdictions are as follows: federal are 2009 through 2012, state are 2008 through 2012, and non-U.S. are 2005 through 2012. On March 31, 2013, of our gross unrecognized tax benefits of $5.1 million, which included $0.1 million of interest, $3.2 million are classified as current and $1.9 million are classified as long term.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are listed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19,862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33,398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2013 and December 31, 2012.</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$0.2 million and $0.5 million at March 31, 2013 and December 31, 2012,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48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Duties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9,564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3740" w:hanging="5288"/>
        <w:spacing w:after="0" w:line="716" w:lineRule="auto"/>
        <w:tabs>
          <w:tab w:leader="none" w:pos="65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product warranty claim costs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Accruals</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Settlements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for</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Warranties</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Cash or</w:t>
            </w:r>
          </w:p>
        </w:tc>
        <w:tc>
          <w:tcPr>
            <w:tcW w:w="220" w:type="dxa"/>
            <w:vAlign w:val="bottom"/>
          </w:tcPr>
          <w:p>
            <w:pPr>
              <w:spacing w:after="0"/>
              <w:rPr>
                <w:sz w:val="12"/>
                <w:szCs w:val="12"/>
                <w:color w:val="auto"/>
              </w:rPr>
            </w:pPr>
          </w:p>
        </w:tc>
        <w:tc>
          <w:tcPr>
            <w:tcW w:w="102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6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Issued</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 Kind)</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Beginning</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During the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During the</w:t>
            </w:r>
          </w:p>
        </w:tc>
        <w:tc>
          <w:tcPr>
            <w:tcW w:w="220" w:type="dxa"/>
            <w:vAlign w:val="bottom"/>
          </w:tcPr>
          <w:p>
            <w:pPr>
              <w:spacing w:after="0"/>
              <w:rPr>
                <w:sz w:val="12"/>
                <w:szCs w:val="12"/>
                <w:color w:val="auto"/>
              </w:rPr>
            </w:pPr>
          </w:p>
        </w:tc>
        <w:tc>
          <w:tcPr>
            <w:tcW w:w="10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Reserve for product warranty claim costs: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Three months ended March 31,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44"/>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is infringing, directly and indirectly, four of our patents related to remote control technology. We have alleged that this complaint relates to multiple URC remote control products, including the URC model numbers UR5U-9000L, WR7 and other remote controls with different model names or numbers, but with substantially the same designs, features, and functionalities. We are seeking monetary relief for the infringement, including enhanced damages due to the willfulness of URC's actions, injunctive relief to enjoin URC from further infringing, including contributory infringement and/or inducing infringement, and attorney's fees. URC has denied infringing our patents. On January 29, 2013, the Court held its "Markman" hearing and on February 1, 2013, the Court issued its ruling that four of the 24 claims we have asserted against URC were invalid, effectively removing one of the four patents alleged by us to be infringed by URC from this litigation. We are presently determining whether or not to appeal this decision, but in our estimation this ruling does not materially affect our position in this litigation. In all other respects, this litigation is continuing as scheduled with discovery continuing.</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March 31, 2013 and December 31, 2012 based on its latest actuarial report. The India Plan has an independent external manager that advises us of the appropriate funding contribution requirements to which we comply. At March 31, 2013, approximately 39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March 31, 2013 and December 31, 2012 for the India Plan is not material. During the three months ended March 31, 2013 and 2012, the net periodic benefit costs were also not material.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2012</w:t>
            </w: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81,019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17,261</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309</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three months ended March 31, 2013 and 2012, we issued 7,500 and 7,500 shares from treasury, respectively, to outside directors for services performed (see Note 13).</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March 31, 2013, we had 788,044 shares available for repurchase under the Board's authorizations. On April 26, 2013, our Board increased these repurchase authorizations by 217,508 shares bringing the total authorization as of the approval date to 1,000,000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44,768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34,220</w:t>
            </w:r>
          </w:p>
        </w:tc>
      </w:tr>
      <w:tr>
        <w:trPr>
          <w:trHeight w:val="27"/>
        </w:trPr>
        <w:tc>
          <w:tcPr>
            <w:tcW w:w="7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Asia (excluding PRC)</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28,662</w:t>
            </w: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People's Republic of China</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16,821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15,422</w:t>
            </w:r>
          </w:p>
        </w:tc>
      </w:tr>
      <w:tr>
        <w:trPr>
          <w:trHeight w:val="27"/>
        </w:trPr>
        <w:tc>
          <w:tcPr>
            <w:tcW w:w="7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13,152</w:t>
            </w: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Latin America</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7,823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7,032</w:t>
            </w:r>
          </w:p>
        </w:tc>
      </w:tr>
      <w:tr>
        <w:trPr>
          <w:trHeight w:val="27"/>
        </w:trPr>
        <w:tc>
          <w:tcPr>
            <w:tcW w:w="7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5,244</w:t>
            </w:r>
          </w:p>
        </w:tc>
      </w:tr>
      <w:tr>
        <w:trPr>
          <w:trHeight w:val="237"/>
        </w:trPr>
        <w:tc>
          <w:tcPr>
            <w:tcW w:w="762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114,722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103,732</w:t>
            </w:r>
          </w:p>
        </w:tc>
      </w:tr>
      <w:tr>
        <w:trPr>
          <w:trHeight w:val="27"/>
        </w:trPr>
        <w:tc>
          <w:tcPr>
            <w:tcW w:w="7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People's Republic of China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73,986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73,804</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All other countries</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82,789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83,067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general and administrative: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Employees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Outside directors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Total stock-based compensation expense</w:t>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benefit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23495</wp:posOffset>
            </wp:positionV>
            <wp:extent cx="2889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2012</w:t>
            </w:r>
          </w:p>
        </w:tc>
      </w:tr>
      <w:tr>
        <w:trPr>
          <w:trHeight w:val="243"/>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70</w:t>
            </w:r>
          </w:p>
        </w:tc>
      </w:tr>
      <w:tr>
        <w:trPr>
          <w:trHeight w:val="540"/>
        </w:trPr>
        <w:tc>
          <w:tcPr>
            <w:tcW w:w="560" w:type="dxa"/>
            <w:vAlign w:val="bottom"/>
          </w:tcPr>
          <w:p>
            <w:pPr>
              <w:spacing w:after="0"/>
              <w:rPr>
                <w:sz w:val="24"/>
                <w:szCs w:val="24"/>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922</w:t>
            </w:r>
          </w:p>
        </w:tc>
      </w:tr>
      <w:tr>
        <w:trPr>
          <w:trHeight w:val="270"/>
        </w:trPr>
        <w:tc>
          <w:tcPr>
            <w:tcW w:w="560" w:type="dxa"/>
            <w:vAlign w:val="bottom"/>
          </w:tcPr>
          <w:p>
            <w:pPr>
              <w:spacing w:after="0"/>
              <w:rPr>
                <w:sz w:val="23"/>
                <w:szCs w:val="23"/>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205</w:t>
            </w:r>
          </w:p>
        </w:tc>
      </w:tr>
      <w:tr>
        <w:trPr>
          <w:trHeight w:val="27"/>
        </w:trPr>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1,197</w:t>
            </w:r>
          </w:p>
        </w:tc>
      </w:tr>
      <w:tr>
        <w:trPr>
          <w:trHeight w:val="27"/>
        </w:trPr>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48"/>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-1259840</wp:posOffset>
            </wp:positionV>
            <wp:extent cx="72294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-908685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-565150</wp:posOffset>
            </wp:positionV>
            <wp:extent cx="72294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-153670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1160" w:type="dxa"/>
            <w:vAlign w:val="bottom"/>
          </w:tcPr>
          <w:p>
            <w:pPr>
              <w:spacing w:after="0"/>
              <w:rPr>
                <w:sz w:val="17"/>
                <w:szCs w:val="17"/>
                <w:color w:val="auto"/>
              </w:rPr>
            </w:pPr>
          </w:p>
        </w:tc>
      </w:tr>
      <w:tr>
        <w:trPr>
          <w:trHeight w:val="203"/>
        </w:trPr>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Number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16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Options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3"/>
              </w:rPr>
              <w:t>Contractual Terms</w:t>
            </w:r>
          </w:p>
        </w:tc>
        <w:tc>
          <w:tcPr>
            <w:tcW w:w="1160" w:type="dxa"/>
            <w:vAlign w:val="bottom"/>
          </w:tcPr>
          <w:p>
            <w:pPr>
              <w:jc w:val="center"/>
              <w:ind w:left="39"/>
              <w:spacing w:after="0"/>
              <w:rPr>
                <w:sz w:val="20"/>
                <w:szCs w:val="20"/>
                <w:color w:val="auto"/>
              </w:rPr>
            </w:pPr>
            <w:r>
              <w:rPr>
                <w:rFonts w:ascii="Arial" w:cs="Arial" w:eastAsia="Arial" w:hAnsi="Arial"/>
                <w:sz w:val="16"/>
                <w:szCs w:val="16"/>
                <w:b w:val="1"/>
                <w:bCs w:val="1"/>
                <w:color w:val="auto"/>
                <w:w w:val="95"/>
              </w:rPr>
              <w:t>Intrinsic Value</w:t>
            </w:r>
          </w:p>
        </w:tc>
      </w:tr>
      <w:tr>
        <w:trPr>
          <w:trHeight w:val="210"/>
        </w:trPr>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(in 000's)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160" w:type="dxa"/>
            <w:vAlign w:val="bottom"/>
          </w:tcPr>
          <w:p>
            <w:pPr>
              <w:jc w:val="center"/>
              <w:ind w:left="39"/>
              <w:spacing w:after="0"/>
              <w:rPr>
                <w:sz w:val="20"/>
                <w:szCs w:val="20"/>
                <w:color w:val="auto"/>
              </w:rPr>
            </w:pPr>
            <w:r>
              <w:rPr>
                <w:rFonts w:ascii="Arial" w:cs="Arial" w:eastAsia="Arial" w:hAnsi="Arial"/>
                <w:sz w:val="16"/>
                <w:szCs w:val="16"/>
                <w:b w:val="1"/>
                <w:bCs w:val="1"/>
                <w:color w:val="auto"/>
                <w:w w:val="93"/>
              </w:rPr>
              <w:t>(in 000's)</w:t>
            </w:r>
          </w:p>
        </w:tc>
      </w:tr>
    </w:tbl>
    <w:p>
      <w:pPr>
        <w:spacing w:after="0" w:line="13" w:lineRule="exact"/>
        <w:rPr>
          <w:sz w:val="20"/>
          <w:szCs w:val="20"/>
          <w:color w:val="auto"/>
        </w:rPr>
      </w:pPr>
    </w:p>
    <w:p>
      <w:pPr>
        <w:sectPr>
          <w:pgSz w:w="11900" w:h="16838" w:orient="portrait"/>
          <w:cols w:equalWidth="0" w:num="2">
            <w:col w:w="5360" w:space="720"/>
            <w:col w:w="5320"/>
          </w:cols>
          <w:pgMar w:left="240" w:top="118"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1,412</w:t>
            </w: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20.56</w:t>
            </w: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21"/>
                <w:szCs w:val="21"/>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19.57</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13.31</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28.08</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March 31, 2013 </w:t>
            </w:r>
            <w:r>
              <w:rPr>
                <w:rFonts w:ascii="Arial" w:cs="Arial" w:eastAsia="Arial" w:hAnsi="Arial"/>
                <w:sz w:val="25"/>
                <w:szCs w:val="25"/>
                <w:color w:val="auto"/>
                <w:vertAlign w:val="superscript"/>
              </w:rPr>
              <w:t>(1)</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1,558</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20.64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6,033</w:t>
            </w:r>
          </w:p>
        </w:tc>
      </w:tr>
      <w:tr>
        <w:trPr>
          <w:trHeight w:val="20"/>
        </w:trPr>
        <w:tc>
          <w:tcPr>
            <w:tcW w:w="5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1"/>
        </w:trPr>
        <w:tc>
          <w:tcPr>
            <w:tcW w:w="58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March 31, 2013 </w:t>
            </w:r>
            <w:r>
              <w:rPr>
                <w:rFonts w:ascii="Arial" w:cs="Arial" w:eastAsia="Arial" w:hAnsi="Arial"/>
                <w:sz w:val="25"/>
                <w:szCs w:val="25"/>
                <w:color w:val="auto"/>
                <w:vertAlign w:val="superscript"/>
              </w:rPr>
              <w:t>(1)</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1,554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20.64</w:t>
            </w:r>
          </w:p>
        </w:tc>
        <w:tc>
          <w:tcPr>
            <w:tcW w:w="1000" w:type="dxa"/>
            <w:vAlign w:val="bottom"/>
          </w:tcPr>
          <w:p>
            <w:pPr>
              <w:jc w:val="right"/>
              <w:spacing w:after="0"/>
              <w:rPr>
                <w:sz w:val="20"/>
                <w:szCs w:val="20"/>
                <w:color w:val="auto"/>
              </w:rPr>
            </w:pPr>
            <w:r>
              <w:rPr>
                <w:rFonts w:ascii="Arial" w:cs="Arial" w:eastAsia="Arial" w:hAnsi="Arial"/>
                <w:sz w:val="18"/>
                <w:szCs w:val="18"/>
                <w:color w:val="auto"/>
              </w:rPr>
              <w:t>5.40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6,017</w:t>
            </w:r>
          </w:p>
        </w:tc>
      </w:tr>
      <w:tr>
        <w:trPr>
          <w:trHeight w:val="270"/>
        </w:trPr>
        <w:tc>
          <w:tcPr>
            <w:tcW w:w="5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on March 31, 2013 </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20.51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4,923</w:t>
            </w:r>
          </w:p>
        </w:tc>
      </w:tr>
    </w:tbl>
    <w:p>
      <w:pPr>
        <w:spacing w:after="0" w:line="148" w:lineRule="exact"/>
        <w:rPr>
          <w:sz w:val="20"/>
          <w:szCs w:val="20"/>
          <w:color w:val="auto"/>
        </w:rPr>
      </w:pPr>
    </w:p>
    <w:p>
      <w:pPr>
        <w:ind w:left="660" w:right="160" w:hanging="328"/>
        <w:spacing w:after="0" w:line="238"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2013 and the exercise price, multiplied by the number of in-the-money options) that would have been received by the option holders had they all exercised their options on March 31, 2013. This amount will change based on the fair market value of our stock.</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18" w:right="25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6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4"/>
              </w:rPr>
              <w:t>Three Months Ended March 31,</w:t>
            </w:r>
          </w:p>
        </w:tc>
        <w:tc>
          <w:tcPr>
            <w:tcW w:w="60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r>
      <w:tr>
        <w:trPr>
          <w:trHeight w:val="270"/>
        </w:trPr>
        <w:tc>
          <w:tcPr>
            <w:tcW w:w="8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55.25%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94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5.14</w:t>
            </w:r>
          </w:p>
        </w:tc>
      </w:tr>
    </w:tbl>
    <w:p>
      <w:pPr>
        <w:spacing w:after="0" w:line="17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2013, we expect to recognize $3.3 million of total unrecognized pre-tax stock-based compensation expense related to non-vested stock options over a remaining weighted-average life of 2.2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42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Shares Granted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25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6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(in 000’s)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Grant Date Fair Value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18.72</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19.25</w:t>
            </w:r>
          </w:p>
        </w:tc>
      </w:tr>
      <w:tr>
        <w:trPr>
          <w:trHeight w:val="27"/>
        </w:trPr>
        <w:tc>
          <w:tcPr>
            <w:tcW w:w="7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20.44</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March 31, 2013</w:t>
            </w:r>
          </w:p>
        </w:tc>
        <w:tc>
          <w:tcPr>
            <w:tcW w:w="14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316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18.66</w:t>
            </w:r>
          </w:p>
        </w:tc>
      </w:tr>
      <w:tr>
        <w:trPr>
          <w:trHeight w:val="27"/>
        </w:trPr>
        <w:tc>
          <w:tcPr>
            <w:tcW w:w="76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2013, we expect to recognize $4.9 million of total unrecognized pre-tax stock-based compensation expense related to non-vested restricted stock awards over a weighted-average life of 2.0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2012</w:t>
            </w:r>
          </w:p>
        </w:tc>
      </w:tr>
      <w:tr>
        <w:trPr>
          <w:trHeight w:val="270"/>
        </w:trPr>
        <w:tc>
          <w:tcPr>
            <w:tcW w:w="6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6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5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6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2140" w:hanging="5288"/>
        <w:spacing w:after="0" w:line="466" w:lineRule="auto"/>
        <w:tabs>
          <w:tab w:leader="none" w:pos="652"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16 for further details). 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14,965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14,871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14,965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14,871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15,225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4420" w:type="dxa"/>
            <w:vAlign w:val="bottom"/>
            <w:tcBorders>
              <w:bottom w:val="single" w:sz="8" w:color="auto"/>
            </w:tcBorders>
            <w:gridSpan w:val="3"/>
          </w:tcPr>
          <w:p>
            <w:pPr>
              <w:jc w:val="right"/>
              <w:ind w:right="111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2012</w:t>
            </w: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707</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Restricted stock shares</w:t>
            </w:r>
          </w:p>
        </w:tc>
        <w:tc>
          <w:tcPr>
            <w:tcW w:w="2180" w:type="dxa"/>
            <w:vAlign w:val="bottom"/>
          </w:tcPr>
          <w:p>
            <w:pPr>
              <w:jc w:val="right"/>
              <w:ind w:right="59"/>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157</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fair value of derivatives:</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March 31, 2013</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2012</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gridSpan w:val="2"/>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loss of approximately $0.2 million and a net pre-tax gain of approximately $40 thousand for the three months ended March 31, 2013 and 2012, respectively.</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Recorded at Balance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20" w:type="dxa"/>
            <w:vAlign w:val="bottom"/>
            <w:vMerge w:val="restart"/>
          </w:tcPr>
          <w:p>
            <w:pPr>
              <w:spacing w:after="0"/>
              <w:rPr>
                <w:sz w:val="12"/>
                <w:szCs w:val="12"/>
                <w:color w:val="auto"/>
              </w:rPr>
            </w:pPr>
          </w:p>
        </w:tc>
        <w:tc>
          <w:tcPr>
            <w:tcW w:w="17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Forward Rate</w:t>
            </w: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Date</w:t>
            </w:r>
          </w:p>
        </w:tc>
        <w:tc>
          <w:tcPr>
            <w:tcW w:w="17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31, 2013</w:t>
            </w:r>
          </w:p>
        </w:tc>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Euro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1.303</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USD/Chinese Yuan</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Chinese Yuan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31, 2013</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Renminbi</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6.2715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31,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Euro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1.3228</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18, 2013</w:t>
            </w: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520" w:hanging="328"/>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develop and manufacture a broad line of pre-programmed universal remote control products, audio-video ("AV") accessories, and software that are marketed to enhance home entertainment systems. Our customers operate in the consumer electronics market and include subscription broadcasters, OEMs, international retailers, private labels, and companies in the computing industry. We also sell integrated circuits, on which our software and infrared ("IR") code database, or library, is embedded, to OEMs that manufacture wireless control devices, cable converters or satellite receivers for resale in their products.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733,300 individual device functions and approximately 5,800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and CD players, as well as most other infrared remote controlled home entertainment devices and home automation control modules worldwide.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as one business segment. We have twenty-four subsidiaries located in Argentina, Cayman Islands, France, Germany, Hong Kong (6), India, Italy, the Netherlands, Singapore, Spain, Brazil, British Virgin Islands (3), People's Republic of China (4) and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2013:</w:t>
      </w:r>
    </w:p>
    <w:p>
      <w:pPr>
        <w:spacing w:after="0" w:line="63"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net sales increased 10.6% to $114.7 million for the three months ended March 31, 2013 from $103.7 million for the three months ended March 31, 2012.</w:t>
      </w:r>
    </w:p>
    <w:p>
      <w:pPr>
        <w:spacing w:after="0" w:line="8" w:lineRule="exact"/>
        <w:rPr>
          <w:rFonts w:ascii="Arial" w:cs="Arial" w:eastAsia="Arial" w:hAnsi="Arial"/>
          <w:sz w:val="18"/>
          <w:szCs w:val="18"/>
          <w:color w:val="auto"/>
        </w:rPr>
      </w:pPr>
    </w:p>
    <w:p>
      <w:pPr>
        <w:ind w:left="980" w:hanging="324"/>
        <w:spacing w:after="0" w:line="317"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gross margin percentage improved from 27.3% for the three months ended March 31, 2012 to 28.4% for the three months ended March 31, 2013. This improvement was primarily due to an increase in units produced internally versus units produced by third-party manufacturers.</w:t>
      </w: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slightly from 25.1% for the three months ended March 31, 2012 to 25.0% for the three months ended March 31, 2013.</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income increased 68.5% to $3.9 million for the three months ended March 31, 2013 from $2.3 million for the three months ended March 31, 2012, and our operating margin percentage increased to 3.4% for the three months ended March 31, 2013, compared to 2.2% for the three months ended March 31, 2012.</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 decreased 420 basis points to 12.2% for the three months ended March 31, 2013, compared to 16.4% for the three months ended March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2013 include the following:</w:t>
      </w:r>
    </w:p>
    <w:p>
      <w:pPr>
        <w:spacing w:after="0" w:line="6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increase our market share in new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2013 to the items that we disclosed as our critical accounting policies and estimates in Item 7, "Management’s Discussion and Analysis of Financial Condition and Results of Operations" contained in our Annual Report on Form 10-K for our fiscal year ended December 31, 2012.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8"/>
              </w:rPr>
              <w:t>Three Months Ended March 31,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114,722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103,732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82,173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75,405</w:t>
            </w:r>
          </w:p>
        </w:tc>
        <w:tc>
          <w:tcPr>
            <w:tcW w:w="1380" w:type="dxa"/>
            <w:vAlign w:val="bottom"/>
            <w:gridSpan w:val="3"/>
          </w:tcPr>
          <w:p>
            <w:pPr>
              <w:jc w:val="right"/>
              <w:ind w:right="130"/>
              <w:spacing w:after="0"/>
              <w:rPr>
                <w:sz w:val="20"/>
                <w:szCs w:val="20"/>
                <w:color w:val="auto"/>
              </w:rPr>
            </w:pPr>
            <w:r>
              <w:rPr>
                <w:rFonts w:ascii="Arial" w:cs="Arial" w:eastAsia="Arial" w:hAnsi="Arial"/>
                <w:sz w:val="18"/>
                <w:szCs w:val="18"/>
                <w:color w:val="auto"/>
              </w:rPr>
              <w:t>72.7</w:t>
            </w:r>
          </w:p>
        </w:tc>
      </w:tr>
      <w:tr>
        <w:trPr>
          <w:trHeight w:val="27"/>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28,327</w:t>
            </w:r>
          </w:p>
        </w:tc>
        <w:tc>
          <w:tcPr>
            <w:tcW w:w="13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27.3</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3,463</w:t>
            </w:r>
          </w:p>
        </w:tc>
        <w:tc>
          <w:tcPr>
            <w:tcW w:w="1380" w:type="dxa"/>
            <w:vAlign w:val="bottom"/>
            <w:gridSpan w:val="3"/>
          </w:tcPr>
          <w:p>
            <w:pPr>
              <w:jc w:val="right"/>
              <w:ind w:right="130"/>
              <w:spacing w:after="0"/>
              <w:rPr>
                <w:sz w:val="20"/>
                <w:szCs w:val="20"/>
                <w:color w:val="auto"/>
              </w:rPr>
            </w:pPr>
            <w:r>
              <w:rPr>
                <w:rFonts w:ascii="Arial" w:cs="Arial" w:eastAsia="Arial" w:hAnsi="Arial"/>
                <w:sz w:val="18"/>
                <w:szCs w:val="18"/>
                <w:color w:val="auto"/>
              </w:rPr>
              <w:t>3.3</w:t>
            </w:r>
          </w:p>
        </w:tc>
      </w:tr>
      <w:tr>
        <w:trPr>
          <w:trHeight w:val="27"/>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22,552</w:t>
            </w:r>
          </w:p>
        </w:tc>
        <w:tc>
          <w:tcPr>
            <w:tcW w:w="13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21.8</w:t>
            </w: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r>
      <w:tr>
        <w:trPr>
          <w:trHeight w:val="27"/>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c>
          <w:tcPr>
            <w:tcW w:w="1380" w:type="dxa"/>
            <w:vAlign w:val="bottom"/>
            <w:gridSpan w:val="3"/>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3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w:t>
            </w:r>
          </w:p>
        </w:tc>
        <w:tc>
          <w:tcPr>
            <w:tcW w:w="1380" w:type="dxa"/>
            <w:vAlign w:val="bottom"/>
            <w:gridSpan w:val="3"/>
          </w:tcPr>
          <w:p>
            <w:pPr>
              <w:jc w:val="right"/>
              <w:ind w:right="130"/>
              <w:spacing w:after="0"/>
              <w:rPr>
                <w:sz w:val="20"/>
                <w:szCs w:val="20"/>
                <w:color w:val="auto"/>
              </w:rPr>
            </w:pPr>
            <w:r>
              <w:rPr>
                <w:rFonts w:ascii="Arial" w:cs="Arial" w:eastAsia="Arial" w:hAnsi="Arial"/>
                <w:sz w:val="18"/>
                <w:szCs w:val="18"/>
                <w:color w:val="auto"/>
              </w:rPr>
              <w:t>0.3</w:t>
            </w:r>
          </w:p>
        </w:tc>
      </w:tr>
      <w:tr>
        <w:trPr>
          <w:trHeight w:val="27"/>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versus Three Months Ended March 31, 2012</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March 31, 2013 were $114.7 million, an increase of 11% compared to $103.7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2012.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4"/>
                <w:szCs w:val="14"/>
                <w:b w:val="1"/>
                <w:bCs w:val="1"/>
                <w:color w:val="auto"/>
              </w:rPr>
              <w:t>2012</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92.4</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91% of net sales for the three months ended March 31, 2013 compared to 89% for the three months ended March 31, 2012. Net sales in our Business lines for the three months ended March 31, 2013 increased by 13% to $104.6 million driven largely by strong demand in North American subscription broadcasting. The growth in North American subscription broadcasting was partially offset by a decrease in net sales to consumer electronics companies. Sales to consumer electronics companies have been adversely effected by the prolonged sluggish global economy.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retail and private label) were 9% of net sales for the three months ended March 31, 2013 compared to 11% for the three months ended March 31, 2012. Net sales in our Consumer lines for the three months ended March 31, 2013 decreased by 11% to $10.1 million primarily due to a 14% decrease in international retail sales that was driven largely by soft consumer demand and cautious retailers in the European market.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three months ended March 31, 2013 was $32.5 million compared to $28.3 million for the three months ended March 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2012. Gross profit as a percent of sales increased to 28.4% for the three months ended March 31, 2013 from 27.3%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 This improvement was primarily due to an increase in units produced internally versus units produced by third-party manufacturers.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22% to $4.2 million for the three months ended March 31, 2013 from $3.5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2012. This increase was in line with our 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8% to $24.4 million for the three months ended March 31, 2013 from</w:t>
      </w:r>
      <w:r>
        <w:rPr>
          <w:rFonts w:ascii="Arial" w:cs="Arial" w:eastAsia="Arial" w:hAnsi="Arial"/>
          <w:sz w:val="18"/>
          <w:szCs w:val="18"/>
          <w:i w:val="1"/>
          <w:iCs w:val="1"/>
          <w:color w:val="auto"/>
        </w:rPr>
        <w:t xml:space="preserve"> </w:t>
      </w:r>
      <w:r>
        <w:rPr>
          <w:rFonts w:ascii="Arial" w:cs="Arial" w:eastAsia="Arial" w:hAnsi="Arial"/>
          <w:sz w:val="18"/>
          <w:szCs w:val="18"/>
          <w:color w:val="auto"/>
        </w:rPr>
        <w:t>$22.6 million for the three months ended March 31, 2012. This increase was driven primarily by increased payroll costs associated with hiring key personnel in global engineering and in our Asian operations, increased incentive compensation costs, and increased freight and delivery costs associated with higher sales volumes in the current period.</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Net interest income was $9,000 for the three months ended March 31, 2013 compared to net interest expense of $37,000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2012. This change was driven by lower interest expense in the current period due to decreased credit needs.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$0.6 million for the three months ended March 31, 2013 compared to net other expense of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2012. This increase was driven primarily by increased foreign currency losses associated with fluctuations in foreign currency rates related to the Chinese Yuan Renminbi and Argentinian Peso, partially offset by foreign currency gains associated with fluctuations in foreign currency rates associated with the Euro.</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$0.4 million for the three months ended March 31, 2013 compared to $0.3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2012. Our effective tax rate was 12.2% for the three months ended March 31, 2013 compared to 16.4% for the three months ended March 31, 2012. The decrease in our effective tax rate was due to the recognition of the 2012 federal R&amp;D tax credit of $0.4 million, which passed legislation during the three months ended March 31, 2013. During the three months ended March 31, 2012, we recorded the reversal of unrecognized tax benefits originally recorded in 2008 and 2009 which amounted to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3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4"/>
              </w:rPr>
              <w:t>Three Months Ended March</w:t>
            </w:r>
          </w:p>
        </w:tc>
        <w:tc>
          <w:tcPr>
            <w:tcW w:w="1400" w:type="dxa"/>
            <w:vAlign w:val="bottom"/>
            <w:gridSpan w:val="3"/>
            <w:vMerge w:val="restart"/>
          </w:tcPr>
          <w:p>
            <w:pPr>
              <w:jc w:val="center"/>
              <w:ind w:left="659"/>
              <w:spacing w:after="0"/>
              <w:rPr>
                <w:sz w:val="20"/>
                <w:szCs w:val="20"/>
                <w:color w:val="auto"/>
              </w:rPr>
            </w:pPr>
            <w:r>
              <w:rPr>
                <w:rFonts w:ascii="Arial" w:cs="Arial" w:eastAsia="Arial" w:hAnsi="Arial"/>
                <w:sz w:val="14"/>
                <w:szCs w:val="14"/>
                <w:b w:val="1"/>
                <w:bCs w:val="1"/>
                <w:color w:val="auto"/>
                <w:w w:val="87"/>
              </w:rPr>
              <w:t>Increase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jc w:val="right"/>
              <w:ind w:right="13"/>
              <w:spacing w:after="0"/>
              <w:rPr>
                <w:sz w:val="20"/>
                <w:szCs w:val="20"/>
                <w:color w:val="auto"/>
              </w:rPr>
            </w:pPr>
            <w:r>
              <w:rPr>
                <w:rFonts w:ascii="Arial" w:cs="Arial" w:eastAsia="Arial" w:hAnsi="Arial"/>
                <w:sz w:val="16"/>
                <w:szCs w:val="16"/>
                <w:b w:val="1"/>
                <w:bCs w:val="1"/>
                <w:color w:val="auto"/>
                <w:w w:val="97"/>
              </w:rPr>
              <w:t>Three Months Ended March</w:t>
            </w:r>
          </w:p>
        </w:tc>
        <w:tc>
          <w:tcPr>
            <w:tcW w:w="0" w:type="dxa"/>
            <w:vAlign w:val="bottom"/>
          </w:tcPr>
          <w:p>
            <w:pPr>
              <w:spacing w:after="0"/>
              <w:rPr>
                <w:sz w:val="1"/>
                <w:szCs w:val="1"/>
                <w:color w:val="auto"/>
              </w:rPr>
            </w:pPr>
          </w:p>
        </w:tc>
      </w:tr>
      <w:tr>
        <w:trPr>
          <w:trHeight w:val="45"/>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3"/>
                <w:szCs w:val="3"/>
                <w:color w:val="auto"/>
              </w:rPr>
            </w:pPr>
          </w:p>
        </w:tc>
        <w:tc>
          <w:tcPr>
            <w:tcW w:w="158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31, 2013</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jc w:val="right"/>
              <w:ind w:right="713"/>
              <w:spacing w:after="0"/>
              <w:rPr>
                <w:sz w:val="20"/>
                <w:szCs w:val="20"/>
                <w:color w:val="auto"/>
              </w:rPr>
            </w:pPr>
            <w:r>
              <w:rPr>
                <w:rFonts w:ascii="Arial" w:cs="Arial" w:eastAsia="Arial" w:hAnsi="Arial"/>
                <w:sz w:val="16"/>
                <w:szCs w:val="16"/>
                <w:b w:val="1"/>
                <w:bCs w:val="1"/>
                <w:color w:val="auto"/>
              </w:rPr>
              <w:t>31, 2012</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4"/>
                <w:szCs w:val="14"/>
                <w:b w:val="1"/>
                <w:bCs w:val="1"/>
                <w:color w:val="auto"/>
                <w:w w:val="92"/>
              </w:rPr>
              <w:t>(Decrease)</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operating activities</w:t>
            </w: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(9,272)</w:t>
            </w:r>
          </w:p>
        </w:tc>
        <w:tc>
          <w:tcPr>
            <w:tcW w:w="6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tcPr>
          <w:p>
            <w:pPr>
              <w:spacing w:after="0"/>
              <w:rPr>
                <w:sz w:val="21"/>
                <w:szCs w:val="21"/>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21"/>
                <w:szCs w:val="21"/>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504"/>
        </w:trPr>
        <w:tc>
          <w:tcPr>
            <w:tcW w:w="4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6"/>
              </w:rPr>
              <w:t>March 31, 2013</w:t>
            </w:r>
          </w:p>
        </w:tc>
        <w:tc>
          <w:tcPr>
            <w:tcW w:w="10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ind w:left="300"/>
              <w:spacing w:after="0"/>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24"/>
                <w:szCs w:val="24"/>
                <w:color w:val="auto"/>
              </w:rPr>
            </w:pPr>
          </w:p>
        </w:tc>
        <w:tc>
          <w:tcPr>
            <w:tcW w:w="13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28,724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(15,869)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116,245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113,488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Net cash used for operating activities </w:t>
      </w:r>
      <w:r>
        <w:rPr>
          <w:rFonts w:ascii="Arial" w:cs="Arial" w:eastAsia="Arial" w:hAnsi="Arial"/>
          <w:sz w:val="16"/>
          <w:szCs w:val="16"/>
          <w:color w:val="auto"/>
        </w:rPr>
        <w:t>increased $9.3 million to cash outflows of $11.3 million during the three months ended March 31, 2013 from cash</w:t>
      </w:r>
      <w:r>
        <w:rPr>
          <w:rFonts w:ascii="Arial" w:cs="Arial" w:eastAsia="Arial" w:hAnsi="Arial"/>
          <w:sz w:val="16"/>
          <w:szCs w:val="16"/>
          <w:i w:val="1"/>
          <w:iCs w:val="1"/>
          <w:color w:val="auto"/>
        </w:rPr>
        <w:t xml:space="preserve"> </w:t>
      </w:r>
      <w:r>
        <w:rPr>
          <w:rFonts w:ascii="Arial" w:cs="Arial" w:eastAsia="Arial" w:hAnsi="Arial"/>
          <w:sz w:val="16"/>
          <w:szCs w:val="16"/>
          <w:color w:val="auto"/>
        </w:rPr>
        <w:t>outflows of $2.0 million during the three months ended March 31, 2012, primarily due to working capital needs associated with accounts receivable and inventories. Days sales outstanding increased from approximately 64 days for the three months ended March 31, 2012 to approximately 69 days for the three months ended March 31, 2013. Our days sales outstanding typically fluctuates between 62 and 69 days. With respect to inventories, we increased inventory levels during the three months ended March 31, 2013 to support a higher level of expected sales in the current year. Our inventory turns improved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slightly from approximately 3.5 turns for the three months ended March 31, 2012 to approximately 3.7 turns for the three months ended March 31, 2013.</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three months ended March 31, 2013 was $3.3 million compared to $1.9 million net cash used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2012. Cash outflows to purchase property, plant and equipment were $3.1 million during the three months ended March 31, 2013 compared to $1.7 million for the three months ended March 31, 2012. This increase is due primarily to equipment purchases at our China factories which has enabled us to produce more units internally versus utilizing third-party manufacturers.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$0.9 million during the three months ended March 31, 2013 compared to net cash used for financing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$1.3 million during the three months ended March 31, 2012. The decrease in cash used for financing activities was driven by $2.2 million of net debt repayments in the prior year period, partially offset by an increased level of stock repurchases and lower proceeds from stock option exercises in the current year period.</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2013, we repurchased 81,019 shares of our common stock at a cost of $1.6 million compared to our repurchase of 17,261 shares at a cost of $0.3 million during the three months ended March 31, 2012.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March 31, 2013, we had 788,044 shares available for repurchase under the Board's authorizations.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13,064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2,481</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77,167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40,800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25,500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44,696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28,232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include contractual payments to purchase tooling assets and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cash outlays expected during 2013; however, because our cash is located in various jurisdictions throughout the world, we may at times need to borrow from our revolving line of credit until we are able to transfer cash among our various entities. Our liquidity is subject to various risks including the risks discussed under "Item 3. Quantitative and Qualitative Disclosures about Market Risk".</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44,593</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Debt</w:t>
            </w:r>
          </w:p>
        </w:tc>
        <w:tc>
          <w:tcPr>
            <w:tcW w:w="2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borrowing resources</w:t>
            </w:r>
          </w:p>
        </w:tc>
        <w:tc>
          <w:tcPr>
            <w:tcW w:w="2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55,000</w:t>
            </w:r>
          </w:p>
        </w:tc>
      </w:tr>
      <w:tr>
        <w:trPr>
          <w:trHeight w:val="459"/>
        </w:trPr>
        <w:tc>
          <w:tcPr>
            <w:tcW w:w="3940" w:type="dxa"/>
            <w:vAlign w:val="bottom"/>
          </w:tcPr>
          <w:p>
            <w:pPr>
              <w:spacing w:after="0"/>
              <w:rPr>
                <w:sz w:val="24"/>
                <w:szCs w:val="24"/>
                <w:color w:val="auto"/>
              </w:rPr>
            </w:pPr>
          </w:p>
        </w:tc>
        <w:tc>
          <w:tcPr>
            <w:tcW w:w="2920" w:type="dxa"/>
            <w:vAlign w:val="bottom"/>
          </w:tcPr>
          <w:p>
            <w:pPr>
              <w:jc w:val="right"/>
              <w:ind w:right="97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2013, we had $1.4 million, $20.0 million, $5.3 million and $2.0 million of cash and cash equivalents in the United States, Asia, Europe, and South America, respectively. On December 31, 2012, we had approximately $2.7 million, $27.3 million, $9.4 million, and $5.2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2012, we entered into an Amended and Restated Credit Agreement ("Amended Credit Agreement") with U.S. Bank National Association ("U.S. Bank") which provides for a $55.0 million line of credit ("Credit Line") that may be used for working capital and other general corporate purposes including acquisitions, share repurchases and capital expenditures. The Amended Credit Agreement expires on November 1, 2014. Amounts available for borrowing under the Credit Line are reduced by the balance of any outstanding letters of credit, of which there were $13,000 at March 31, 2013.</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March 31, 2013, we were in compliance with the covenants and conditions of the Amended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2012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inability to attract and retain a quality workforce at adequate levels in all regions of the world, and particularly Asia; our inability to continue to maintain our operating costs at acceptable levels through our cost containment efforts;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Although at March 31, 2013 we had no outstanding borrowings under our Credit Line, from time to time we need to borrow amounts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three months ended March 31, 2013.</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March 31, 2013,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during 2013 were the Euro, British Pound, Chinese Yuan Renminbi, Indian Rupee, Singapore dollar, Argentinian Peso and Brazilian Real.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gains and losses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March 31, 2013 we believe that movements in foreign currency rates may have a material effect on our financial position. We estimate that if the exchange rates for the Euro, British Pound, Chinese Yuan Renminbi, Indian Rupee, Singapore dollar, Argentinian Peso, and the Brazilian Real relative to the U.S. dollar fluctuate 10% from March 31, 2013, net income and total cash flows in the second quarter of 2013 would fluctuate by approximately $2.5 million and $3.0 million,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the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of the Company's 2012 Annual Report on Form 10-K incorporated herein by reference. These factors may cause our actual results to differ materially from those stated in forward-looking statements contained in this document and elsewhere.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March 31, 2013, we repurchased 81,019 shares of our issued and outstanding common stock for $1.6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March 31, 2013, we had 788,044 shares available for repurchase under the Board's authorizations. On April 26, 2013, our Board increased these repurchase authorizations by 217,508 shares bringing the total authorization as of the approval date to 1,000,000 shares.</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2013, our total stock repurchases, average price paid per share and the maximum number of shares that may yet be purchased under our plans or programs: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Shares Purchased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2013 - January 31, 2013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29,530</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29,530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839,533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February 1, 2013 - February 28, 2013</w:t>
            </w:r>
          </w:p>
        </w:tc>
        <w:tc>
          <w:tcPr>
            <w:tcW w:w="1320" w:type="dxa"/>
            <w:vAlign w:val="bottom"/>
          </w:tcPr>
          <w:p>
            <w:pPr>
              <w:jc w:val="right"/>
              <w:spacing w:after="0"/>
              <w:rPr>
                <w:sz w:val="20"/>
                <w:szCs w:val="20"/>
                <w:color w:val="auto"/>
              </w:rPr>
            </w:pPr>
            <w:r>
              <w:rPr>
                <w:rFonts w:ascii="Arial" w:cs="Arial" w:eastAsia="Arial" w:hAnsi="Arial"/>
                <w:sz w:val="18"/>
                <w:szCs w:val="18"/>
                <w:color w:val="auto"/>
              </w:rPr>
              <w:t>32,236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32,236</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807,297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2013 - March 31, 2013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19,253</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788,044</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81,019</w:t>
            </w:r>
          </w:p>
        </w:tc>
        <w:tc>
          <w:tcPr>
            <w:tcW w:w="6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81,019</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788,044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26</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180"/>
          </w:cols>
          <w:pgMar w:left="240" w:top="118" w:right="479" w:bottom="1440" w:gutter="0" w:footer="0" w:header="0"/>
        </w:sectPr>
      </w:pPr>
    </w:p>
    <w:p>
      <w:pPr>
        <w:spacing w:after="0" w:line="14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07"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ind w:left="26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7"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ind w:left="26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07"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ind w:left="26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80"/>
          </w:cols>
          <w:pgMar w:left="240" w:top="118" w:right="479"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Dated:  May 9, 2013</w:t>
            </w:r>
          </w:p>
        </w:tc>
        <w:tc>
          <w:tcPr>
            <w:tcW w:w="7780" w:type="dxa"/>
            <w:vAlign w:val="bottom"/>
            <w:gridSpan w:val="2"/>
          </w:tcPr>
          <w:p>
            <w:pPr>
              <w:ind w:left="200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0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6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6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600" w:type="dxa"/>
            <w:vAlign w:val="bottom"/>
          </w:tcPr>
          <w:p>
            <w:pPr>
              <w:spacing w:after="0"/>
              <w:rPr>
                <w:sz w:val="24"/>
                <w:szCs w:val="24"/>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28</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Rule 13a-14(a) Certifications of Bryan M. Hackworth, Chief Financial Officer (principal financial officer and principal accounting</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4"/>
              </w:rPr>
              <w:t>Section 1350 Certifications of Paul D. Arling, Chief Executive Officer (principal executive officer) of Universal Electronics Inc., and</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Bryan M. Hackworth, Chief Financial Officer (principal financial officer and principal accounting officer) of Universal Electronics</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Inc. pursuant to 18 U.S.C. Section 1350</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8"/>
              </w:rPr>
              <w:t>XBRL (Extensible Business Reporting Language) information is furnished and not filed or a part of a registration statement or</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5"/>
              </w:rPr>
              <w:t>prospectus for purposes of Sections 11 or 12 of the Securities Act of 1933, is deemed not filed for purposes of Section 18 of the</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Securities Exchange Act of 1934, and otherwise is not subject to liability under these sections.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18"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right="340" w:firstLine="154"/>
        <w:spacing w:after="0" w:line="311" w:lineRule="auto"/>
        <w:tabs>
          <w:tab w:leader="none" w:pos="8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154"/>
        <w:spacing w:after="0" w:line="311" w:lineRule="auto"/>
        <w:tabs>
          <w:tab w:leader="none" w:pos="8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900" w:firstLine="154"/>
        <w:spacing w:after="0" w:line="395" w:lineRule="auto"/>
        <w:tabs>
          <w:tab w:leader="none" w:pos="84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400" w:firstLine="154"/>
        <w:spacing w:after="0" w:line="369" w:lineRule="auto"/>
        <w:tabs>
          <w:tab w:leader="none" w:pos="85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right="5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40" w:right="320" w:firstLine="154"/>
        <w:spacing w:after="0" w:line="324" w:lineRule="auto"/>
        <w:tabs>
          <w:tab w:leader="none" w:pos="8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60" w:firstLine="154"/>
        <w:spacing w:after="0" w:line="324" w:lineRule="auto"/>
        <w:tabs>
          <w:tab w:leader="none" w:pos="8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right="340" w:firstLine="154"/>
        <w:spacing w:after="0" w:line="311"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340" w:right="560" w:firstLine="154"/>
        <w:spacing w:after="0" w:line="311"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right="900" w:firstLine="154"/>
        <w:spacing w:after="0" w:line="387" w:lineRule="auto"/>
        <w:tabs>
          <w:tab w:leader="none" w:pos="84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40" w:right="400" w:firstLine="154"/>
        <w:spacing w:after="0" w:line="369" w:lineRule="auto"/>
        <w:tabs>
          <w:tab w:leader="none" w:pos="85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right="5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40" w:right="320" w:firstLine="154"/>
        <w:spacing w:after="0" w:line="324"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60" w:firstLine="154"/>
        <w:spacing w:after="0" w:line="324"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2013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700" w:val="left"/>
          <w:tab w:leader="none" w:pos="5620" w:val="left"/>
          <w:tab w:leader="none" w:pos="6300" w:val="left"/>
        </w:tabs>
        <w:rPr>
          <w:sz w:val="20"/>
          <w:szCs w:val="20"/>
          <w:color w:val="auto"/>
        </w:rPr>
      </w:pPr>
      <w:r>
        <w:rPr>
          <w:rFonts w:ascii="Arial" w:cs="Arial" w:eastAsia="Arial" w:hAnsi="Arial"/>
          <w:sz w:val="18"/>
          <w:szCs w:val="18"/>
          <w:color w:val="auto"/>
        </w:rPr>
        <w:t>Dated:</w:t>
        <w:tab/>
        <w:t>May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3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2019-12-05T16:34:36Z</dcterms:created>
  <dcterms:modified xsi:type="dcterms:W3CDTF">2019-12-05T16:34:36Z</dcterms:modified>
</cp:coreProperties>
</file>