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73"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3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17, 2026</w:t>
      </w:r>
    </w:p>
    <w:p>
      <w:pPr>
        <w:spacing w:after="0" w:line="3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4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UNIVERSAL ELECTRONICS INC.</w:t>
      </w:r>
    </w:p>
    <w:p>
      <w:pPr>
        <w:spacing w:after="0" w:line="58"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393" w:lineRule="exact"/>
        <w:rPr>
          <w:sz w:val="24"/>
          <w:szCs w:val="24"/>
          <w:color w:val="auto"/>
        </w:rPr>
      </w:pPr>
    </w:p>
    <w:tbl>
      <w:tblPr>
        <w:tblLayout w:type="fixed"/>
        <w:tblInd w:w="1320" w:type="dxa"/>
        <w:tblCellMar>
          <w:top w:w="0" w:type="dxa"/>
          <w:left w:w="0" w:type="dxa"/>
          <w:bottom w:w="0" w:type="dxa"/>
          <w:right w:w="0" w:type="dxa"/>
        </w:tblCellMar>
      </w:tblPr>
      <w:tr>
        <w:trPr>
          <w:trHeight w:val="227"/>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460" w:type="dxa"/>
            <w:vAlign w:val="bottom"/>
          </w:tcPr>
          <w:p>
            <w:pPr>
              <w:jc w:val="right"/>
              <w:ind w:right="1399"/>
              <w:spacing w:after="0"/>
              <w:rPr>
                <w:sz w:val="20"/>
                <w:szCs w:val="20"/>
                <w:color w:val="auto"/>
              </w:rPr>
            </w:pPr>
            <w:r>
              <w:rPr>
                <w:rFonts w:ascii="Times New Roman" w:cs="Times New Roman" w:eastAsia="Times New Roman" w:hAnsi="Times New Roman"/>
                <w:sz w:val="18"/>
                <w:szCs w:val="18"/>
                <w:b w:val="1"/>
                <w:bCs w:val="1"/>
                <w:color w:val="auto"/>
              </w:rPr>
              <w:t>0-21044</w:t>
            </w: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8"/>
                <w:szCs w:val="18"/>
                <w:b w:val="1"/>
                <w:bCs w:val="1"/>
                <w:color w:val="auto"/>
                <w:w w:val="98"/>
              </w:rPr>
              <w:t>33-0204817</w:t>
            </w:r>
          </w:p>
        </w:tc>
      </w:tr>
      <w:tr>
        <w:trPr>
          <w:trHeight w:val="190"/>
        </w:trPr>
        <w:tc>
          <w:tcPr>
            <w:tcW w:w="2640" w:type="dxa"/>
            <w:vAlign w:val="bottom"/>
          </w:tcPr>
          <w:p>
            <w:pPr>
              <w:jc w:val="center"/>
              <w:ind w:right="9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6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(Commission File No.)</w:t>
            </w:r>
          </w:p>
        </w:tc>
        <w:tc>
          <w:tcPr>
            <w:tcW w:w="2240" w:type="dxa"/>
            <w:vAlign w:val="bottom"/>
          </w:tcPr>
          <w:p>
            <w:pPr>
              <w:jc w:val="center"/>
              <w:ind w:left="100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202"/>
        </w:trPr>
        <w:tc>
          <w:tcPr>
            <w:tcW w:w="2640" w:type="dxa"/>
            <w:vAlign w:val="bottom"/>
          </w:tcPr>
          <w:p>
            <w:pPr>
              <w:jc w:val="center"/>
              <w:ind w:right="90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460" w:type="dxa"/>
            <w:vAlign w:val="bottom"/>
          </w:tcPr>
          <w:p>
            <w:pPr>
              <w:spacing w:after="0"/>
              <w:rPr>
                <w:sz w:val="17"/>
                <w:szCs w:val="17"/>
                <w:color w:val="auto"/>
              </w:rPr>
            </w:pPr>
          </w:p>
        </w:tc>
        <w:tc>
          <w:tcPr>
            <w:tcW w:w="2240" w:type="dxa"/>
            <w:vAlign w:val="bottom"/>
          </w:tcPr>
          <w:p>
            <w:pPr>
              <w:jc w:val="center"/>
              <w:ind w:left="1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24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15147 N. Scottsdale Road, Suite H300, Scottsdale, Arizona 85254-2494</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and zip code)</w:t>
      </w:r>
    </w:p>
    <w:p>
      <w:pPr>
        <w:spacing w:after="0" w:line="16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(480) 530-3000</w:t>
      </w:r>
    </w:p>
    <w:p>
      <w:pPr>
        <w:spacing w:after="0" w:line="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39"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4"/>
          <w:szCs w:val="14"/>
          <w:color w:val="auto"/>
        </w:rPr>
        <w:t>_______________________________________</w:t>
      </w:r>
    </w:p>
    <w:p>
      <w:pPr>
        <w:spacing w:after="0" w:line="2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52"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23"/>
        </w:trPr>
        <w:tc>
          <w:tcPr>
            <w:tcW w:w="4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8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UEIC</w:t>
            </w:r>
          </w:p>
        </w:tc>
        <w:tc>
          <w:tcPr>
            <w:tcW w:w="4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06" w:lineRule="exact"/>
        <w:rPr>
          <w:sz w:val="24"/>
          <w:szCs w:val="24"/>
          <w:color w:val="auto"/>
        </w:rPr>
      </w:pPr>
    </w:p>
    <w:p>
      <w:pPr>
        <w:jc w:val="both"/>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 w:lineRule="exact"/>
        <w:rPr>
          <w:sz w:val="24"/>
          <w:szCs w:val="24"/>
          <w:color w:val="auto"/>
        </w:rPr>
      </w:pPr>
    </w:p>
    <w:p>
      <w:pPr>
        <w:ind w:left="90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43"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On June 17, 2026, Universal Electronics Inc. (the "Company") received a payment in the amount of approximately $7.6 million (the “Purchase Price”) from a third party financial institution (“Buyer”) pursuant to the terms of a Claim Sale and Purchase Agreement (the “Agreement”) entered into between</w:t>
      </w:r>
    </w:p>
    <w:p>
      <w:pPr>
        <w:spacing w:after="0" w:line="278" w:lineRule="auto"/>
        <w:rPr>
          <w:sz w:val="20"/>
          <w:szCs w:val="20"/>
          <w:color w:val="auto"/>
        </w:rPr>
      </w:pPr>
      <w:r>
        <w:rPr>
          <w:rFonts w:ascii="Times New Roman" w:cs="Times New Roman" w:eastAsia="Times New Roman" w:hAnsi="Times New Roman"/>
          <w:sz w:val="17"/>
          <w:szCs w:val="17"/>
          <w:color w:val="auto"/>
        </w:rPr>
        <w:t>the Company and Buyer. Under the terms of the Agreement, the Company agreed to sell, grant and convey to Buyer all of the Company’s and its affiliates’ claims, interests and causes of action, and all related rights, distributions, amounts, payments related thereto and other proceeds thereof, including without limitation any interest thereon and other amounts paid or reimbursed in relation thereto, directly arising from or relating to tariffs previously paid by the Company or its affiliates to Customs and Border Protection (“CBP”) in connection with tariffs originally invoked under the International Emergency Economic Powers Act of 1977, which were ruled unlawful by the United States Supreme Court on February 20, 2026 (collectively, the “Claims”), in</w:t>
      </w:r>
    </w:p>
    <w:p>
      <w:pPr>
        <w:spacing w:after="0" w:line="2" w:lineRule="exact"/>
        <w:rPr>
          <w:sz w:val="20"/>
          <w:szCs w:val="20"/>
          <w:color w:val="auto"/>
        </w:rPr>
      </w:pPr>
    </w:p>
    <w:p>
      <w:pPr>
        <w:ind w:right="200"/>
        <w:spacing w:after="0" w:line="290" w:lineRule="auto"/>
        <w:rPr>
          <w:sz w:val="20"/>
          <w:szCs w:val="20"/>
          <w:color w:val="auto"/>
        </w:rPr>
      </w:pPr>
      <w:r>
        <w:rPr>
          <w:rFonts w:ascii="Times New Roman" w:cs="Times New Roman" w:eastAsia="Times New Roman" w:hAnsi="Times New Roman"/>
          <w:sz w:val="17"/>
          <w:szCs w:val="17"/>
          <w:color w:val="auto"/>
        </w:rPr>
        <w:t>consideration for the Purchase Price. The Purchase Price reflects a discount Buyer to the aggregate amount payable by CBP pursuant to the Claims as mutually agreed between the Company and Buyer and is subject to full or partial refund, together with interest, under certain circumstances in which the</w:t>
      </w:r>
    </w:p>
    <w:p>
      <w:pPr>
        <w:spacing w:after="0"/>
        <w:rPr>
          <w:sz w:val="20"/>
          <w:szCs w:val="20"/>
          <w:color w:val="auto"/>
        </w:rPr>
      </w:pPr>
      <w:r>
        <w:rPr>
          <w:rFonts w:ascii="Times New Roman" w:cs="Times New Roman" w:eastAsia="Times New Roman" w:hAnsi="Times New Roman"/>
          <w:sz w:val="18"/>
          <w:szCs w:val="18"/>
          <w:color w:val="auto"/>
        </w:rPr>
        <w:t>Claims may be impaired. The Company is subject to certain post-closing cooperation obligations with Buyer with respect to the Claims.</w:t>
      </w:r>
    </w:p>
    <w:p>
      <w:pPr>
        <w:spacing w:after="0" w:line="28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220980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7" w:right="39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24" w:lineRule="exact"/>
        <w:rPr>
          <w:sz w:val="20"/>
          <w:szCs w:val="20"/>
          <w:color w:val="auto"/>
        </w:rPr>
      </w:pPr>
    </w:p>
    <w:tbl>
      <w:tblPr>
        <w:tblLayout w:type="fixed"/>
        <w:tblInd w:w="620" w:type="dxa"/>
        <w:tblCellMar>
          <w:top w:w="0" w:type="dxa"/>
          <w:left w:w="0" w:type="dxa"/>
          <w:bottom w:w="0" w:type="dxa"/>
          <w:right w:w="0" w:type="dxa"/>
        </w:tblCellMar>
      </w:tblPr>
      <w:tr>
        <w:trPr>
          <w:trHeight w:val="234"/>
        </w:trPr>
        <w:tc>
          <w:tcPr>
            <w:tcW w:w="6400" w:type="dxa"/>
            <w:vAlign w:val="bottom"/>
          </w:tcPr>
          <w:p>
            <w:pPr>
              <w:spacing w:after="0"/>
              <w:rPr>
                <w:sz w:val="20"/>
                <w:szCs w:val="20"/>
                <w:color w:val="auto"/>
              </w:rPr>
            </w:pPr>
          </w:p>
        </w:tc>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Universal Electronics Inc.</w:t>
            </w:r>
          </w:p>
        </w:tc>
      </w:tr>
      <w:tr>
        <w:trPr>
          <w:trHeight w:val="499"/>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Date: June 22, 2026</w:t>
            </w:r>
          </w:p>
        </w:tc>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xml:space="preserve">By: /s/ </w:t>
            </w:r>
            <w:r>
              <w:rPr>
                <w:rFonts w:ascii="Times New Roman" w:cs="Times New Roman" w:eastAsia="Times New Roman" w:hAnsi="Times New Roman"/>
                <w:sz w:val="18"/>
                <w:szCs w:val="18"/>
                <w:i w:val="1"/>
                <w:iCs w:val="1"/>
                <w:color w:val="auto"/>
              </w:rPr>
              <w:t>Wade M. Jenke</w:t>
            </w:r>
          </w:p>
        </w:tc>
      </w:tr>
      <w:tr>
        <w:trPr>
          <w:trHeight w:val="218"/>
        </w:trPr>
        <w:tc>
          <w:tcPr>
            <w:tcW w:w="6400" w:type="dxa"/>
            <w:vAlign w:val="bottom"/>
          </w:tcPr>
          <w:p>
            <w:pPr>
              <w:spacing w:after="0"/>
              <w:rPr>
                <w:sz w:val="18"/>
                <w:szCs w:val="18"/>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Wade M. Jenke</w:t>
            </w:r>
          </w:p>
        </w:tc>
      </w:tr>
      <w:tr>
        <w:trPr>
          <w:trHeight w:val="234"/>
        </w:trPr>
        <w:tc>
          <w:tcPr>
            <w:tcW w:w="6400" w:type="dxa"/>
            <w:vAlign w:val="bottom"/>
          </w:tcPr>
          <w:p>
            <w:pPr>
              <w:spacing w:after="0"/>
              <w:rPr>
                <w:sz w:val="20"/>
                <w:szCs w:val="20"/>
                <w:color w:val="auto"/>
              </w:rPr>
            </w:pPr>
          </w:p>
        </w:tc>
        <w:tc>
          <w:tcPr>
            <w:tcW w:w="3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2</w:t>
      </w:r>
    </w:p>
    <w:sectPr>
      <w:pgSz w:w="11900" w:h="16838" w:orient="portrait"/>
      <w:cols w:equalWidth="0" w:num="1">
        <w:col w:w="11200"/>
      </w:cols>
      <w:pgMar w:left="320" w:top="887"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2026-06-22T15:36:40Z</dcterms:created>
  <dcterms:modified xsi:type="dcterms:W3CDTF">2026-06-22T15:36:40Z</dcterms:modified>
</cp:coreProperties>
</file>