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20" w:space="720"/>
            <w:col w:w="1480" w:space="720"/>
            <w:col w:w="3780" w:space="720"/>
            <w:col w:w="2140"/>
          </w:cols>
          <w:pgMar w:left="240" w:top="122" w:right="2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14,957,310 shares of Common Stock, par value $0.01 per share, of the registrant were outstanding on August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385"/>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4. Controls and Procedures</w:t>
              </w:r>
            </w:hyperlink>
          </w:p>
        </w:tc>
        <w:tc>
          <w:tcPr>
            <w:tcW w:w="830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1A. Risk Factors</w:t>
              </w:r>
            </w:hyperlink>
          </w:p>
        </w:tc>
        <w:tc>
          <w:tcPr>
            <w:tcW w:w="904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2. Unregistered Sales of Equity Securities and Use of Proceeds</w:t>
              </w:r>
            </w:hyperlink>
          </w:p>
        </w:tc>
        <w:tc>
          <w:tcPr>
            <w:tcW w:w="57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6. 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48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Exhibit Index</w:t>
              </w:r>
            </w:hyperlink>
          </w:p>
        </w:tc>
        <w:tc>
          <w:tcPr>
            <w:tcW w:w="96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9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37,900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87,733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76,497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2,855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211,180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78,395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31,033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34,358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5,365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367,810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2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59,705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20,600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2,283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29,681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12,682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131,135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11,547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143,899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161,467</w:t>
            </w:r>
          </w:p>
        </w:tc>
        <w:tc>
          <w:tcPr>
            <w:tcW w:w="0" w:type="dxa"/>
            <w:vAlign w:val="bottom"/>
          </w:tcPr>
          <w:p>
            <w:pPr>
              <w:spacing w:after="0"/>
              <w:rPr>
                <w:sz w:val="1"/>
                <w:szCs w:val="1"/>
                <w:color w:val="auto"/>
              </w:rPr>
            </w:pPr>
          </w:p>
        </w:tc>
      </w:tr>
      <w:tr>
        <w:trPr>
          <w:trHeight w:val="439"/>
        </w:trPr>
        <w:tc>
          <w:tcPr>
            <w:tcW w:w="91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50,000,000 shares authorized; 21,029,169 and 20,877,248 shares issued 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30, 2011 and December 31, 2010,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170,788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142,018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316,720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300,730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6"/>
              </w:rPr>
              <w:t>Less cost of common stock in treasury, 6,048,261 and 5,926,071 shares on June 30, 2011 and December 31, 2010,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w w:val="98"/>
              </w:rPr>
              <w:t>(92,809)</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223,911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367,810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121,746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78,892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227,458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86,802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51,467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164,935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100,779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34,944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27,425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62,523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49,489</w:t>
            </w: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3,157</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6,414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23,477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17,621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45,264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34,229</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8,310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10,845</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(1,736)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(2,325)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15,025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13,601</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15,407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13,929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7,948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8,588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Provision for doubtful accounts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Provision for inventory write-downs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2,099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Excess tax benefit from stock-based compensation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Shares issued for employee benefit plan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(11,409)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Accounts payable and accrued expenses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provided by investing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property, plant, and equipment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for) provided by investing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45,456</w:t>
            </w:r>
          </w:p>
        </w:tc>
        <w:tc>
          <w:tcPr>
            <w:tcW w:w="0" w:type="dxa"/>
            <w:vAlign w:val="bottom"/>
          </w:tcPr>
          <w:p>
            <w:pPr>
              <w:spacing w:after="0"/>
              <w:rPr>
                <w:sz w:val="1"/>
                <w:szCs w:val="1"/>
                <w:color w:val="auto"/>
              </w:rPr>
            </w:pPr>
          </w:p>
        </w:tc>
      </w:tr>
      <w:tr>
        <w:trPr>
          <w:trHeight w:val="439"/>
        </w:trPr>
        <w:tc>
          <w:tcPr>
            <w:tcW w:w="7760" w:type="dxa"/>
            <w:vAlign w:val="bottom"/>
            <w:gridSpan w:val="2"/>
          </w:tcPr>
          <w:p>
            <w:pPr>
              <w:spacing w:after="0"/>
              <w:rPr>
                <w:sz w:val="20"/>
                <w:szCs w:val="20"/>
                <w:color w:val="auto"/>
              </w:rPr>
            </w:pPr>
            <w:r>
              <w:rPr>
                <w:rFonts w:ascii="Arial" w:cs="Arial" w:eastAsia="Arial" w:hAnsi="Arial"/>
                <w:sz w:val="18"/>
                <w:szCs w:val="18"/>
                <w:color w:val="auto"/>
              </w:rPr>
              <w:t>Cash used for financing activities:</w:t>
            </w:r>
          </w:p>
        </w:tc>
        <w:tc>
          <w:tcPr>
            <w:tcW w:w="1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of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(14,400)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for financing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(16,344)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1,469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(16,349)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49,822</w:t>
            </w: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54,249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29,016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Supplemental Cash Flow Information — </w:t>
      </w:r>
      <w:r>
        <w:rPr>
          <w:rFonts w:ascii="Arial" w:cs="Arial" w:eastAsia="Arial" w:hAnsi="Arial"/>
          <w:sz w:val="17"/>
          <w:szCs w:val="17"/>
          <w:i w:val="1"/>
          <w:iCs w:val="1"/>
          <w:color w:val="auto"/>
        </w:rPr>
        <w:t>We had net income tax payments of $6.4 million and $5.6 million during the six months ended June 30, 2011</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2010, respectively. We had interest payments of $0.2 million and $0 during the six months ended June 30, 2011 </w:t>
      </w:r>
      <w:r>
        <w:rPr>
          <w:rFonts w:ascii="Arial" w:cs="Arial" w:eastAsia="Arial" w:hAnsi="Arial"/>
          <w:sz w:val="17"/>
          <w:szCs w:val="17"/>
          <w:color w:val="auto"/>
        </w:rPr>
        <w:t>and</w:t>
      </w:r>
      <w:r>
        <w:rPr>
          <w:rFonts w:ascii="Arial" w:cs="Arial" w:eastAsia="Arial" w:hAnsi="Arial"/>
          <w:sz w:val="17"/>
          <w:szCs w:val="17"/>
          <w:i w:val="1"/>
          <w:iCs w:val="1"/>
          <w:color w:val="auto"/>
        </w:rPr>
        <w:t xml:space="preserve"> 2010, respectively.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w:t>
      </w:r>
    </w:p>
    <w:p>
      <w:pPr>
        <w:ind w:right="12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results of operations for the three and six months ended June 30, 2011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accrued compensation and stock-based compensation expense. Actual results may differ from our expectations. Based on our evaluation, our estimates, judgments and assumptions may be adjusted as more information becomes available. Any adjustment may be material.</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2010 for a summary of our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June 2011, the Financial Accounting Standards Board (“FASB”) issued Accounting Standards Update (“ASU”) No. 2011-05, “Presentation of Comprehensive Income.”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The adoption of ASU 2011-05 concerns presentation and disclosure only and will not have an impact on our consolidated results of operations and financial condition.</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2011, the FASB issued ASU No. 2011-04, “Amendments to Achieve Common Fair Value Measurement and Disclosure Requirements in U.S. GAAP and International Financial Reporting Standards (“IFRS”).” This 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pronouncement is effective for reporting periods beginning on or after December 15, 2011. The adoption of ASU 2011-04 is not expected to have a significant impact to our consolidated financial position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January 2010, the FASB issued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The amendments in the update are effective prospectively for interim and annual periods beginning on or after December 15, 2009, except for the separate disclosures about purchases, sales, issuances, and settlements relating to Level 3 measurements, which are effective for fiscal years beginning on or after December 15, 2010, and for interim periods within those fiscal years. We adopted the portion of this ASU that was effective beginning on or after December 15, 2010, beginning January 1, 2011. The adoption of this ASU did not have a material effect on our consolidated results of operations and financial condition.</w:t>
      </w:r>
    </w:p>
    <w:p>
      <w:pPr>
        <w:spacing w:after="0" w:line="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During December 2010, the FASB issued ASU No. 2010-29 to address diversity in practice regarding the interpretation of the pro forma revenue and earnings disclosure requirements for business combinations. ASC 805- 10-50-2(h) requires a public entity to disclose pro forma information for business combinations that occurred during the current annual reporting period. The disclosures include combined pro forma revenue and earnings as though the acquisition date for all business combinations during the year had been as of the beginning of the annual reporting period. If comparative financial statements are presented, the pro forma revenue and earnings of the combined entity should be reported as though the acquisition date for all business combinations that occurred during the current year had been as of the beginning of the comparable prior annual reporting period. In practice, some preparers have presented the pro forma information in their comparative financial statements as if the business combination that occurred in the current reporting period had occurred as of the beginning of each of the current and prior annual reporting periods. Other preparers have disclosed the pro forma information as if the business combination occurred at the beginning of the prior annual reporting period only, and carried forward the related adjustments, if applicable, through the current reporting period. The amendments in this update specify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The amendments in this update also expand the supplemental pro forma disclosures under Topic 805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We adopted this ASU beginning January 1, 2011. The adoption of this ASU did not have a material effect on our consolidated results of operations and financial condition.</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October 2009, the FASB issued ASU No. 2009-14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 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 to the delivered elements is then deferred and recognized at a later date, which in many cases is as the undelivered elements are delivered by the vendor. This ASU addresses concerns that the current accounting model may not appropriately reflect the economics of the underlying transactions because no revenue is recognized for some products for which the vendor has already completed the related performance. In addition, this ASU addresses the concern that more software enabled products fall within the scope of the current software accounting model than was originally intended because of ongoing technical advancements. The amendments in the update are effective prospectively for revenue arrangements entered into or materially modified in fiscal years beginning on or after June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15, 2010. We adopted this ASU beginning January 1, 2011. The adoption of this ASU did not have a material effect on our consolidated results of operations and financial condition.</w:t>
      </w:r>
    </w:p>
    <w:p>
      <w:pPr>
        <w:spacing w:after="0" w:line="6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October 2009, the FASB issued ASU No. 2009-13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may not appropriately reflect the economics of the underlying transactions because sometimes no revenue is recognized for products for which the vendor has already completed the related performance. As a result of this amendment, multiple element arrangements will be separated into multiple units of accounting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We adopted this ASU beginning January 1, 2011. The adoption of this ASU did not have a material effect on our consolidated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that were accounted for at fair value on a recurring basis on June 30, 2011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 2011</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 2010</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3160" w:type="dxa"/>
            <w:vAlign w:val="bottom"/>
            <w:tcBorders>
              <w:bottom w:val="single" w:sz="8" w:color="auto"/>
            </w:tcBorders>
            <w:gridSpan w:val="5"/>
          </w:tcPr>
          <w:p>
            <w:pPr>
              <w:ind w:left="620"/>
              <w:spacing w:after="0" w:line="142" w:lineRule="exact"/>
              <w:rPr>
                <w:sz w:val="20"/>
                <w:szCs w:val="20"/>
                <w:color w:val="auto"/>
              </w:rPr>
            </w:pPr>
            <w:r>
              <w:rPr>
                <w:rFonts w:ascii="Arial" w:cs="Arial" w:eastAsia="Arial" w:hAnsi="Arial"/>
                <w:sz w:val="14"/>
                <w:szCs w:val="14"/>
                <w:b w:val="1"/>
                <w:bCs w:val="1"/>
                <w:color w:val="auto"/>
              </w:rPr>
              <w:t>Fair Value Measurement Using</w:t>
            </w:r>
          </w:p>
        </w:tc>
        <w:tc>
          <w:tcPr>
            <w:tcW w:w="26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3220" w:type="dxa"/>
            <w:vAlign w:val="bottom"/>
            <w:tcBorders>
              <w:bottom w:val="single" w:sz="8" w:color="auto"/>
            </w:tcBorders>
            <w:gridSpan w:val="5"/>
          </w:tcPr>
          <w:p>
            <w:pPr>
              <w:ind w:left="660"/>
              <w:spacing w:after="0" w:line="142" w:lineRule="exact"/>
              <w:rPr>
                <w:sz w:val="20"/>
                <w:szCs w:val="20"/>
                <w:color w:val="auto"/>
              </w:rPr>
            </w:pPr>
            <w:r>
              <w:rPr>
                <w:rFonts w:ascii="Arial" w:cs="Arial" w:eastAsia="Arial" w:hAnsi="Arial"/>
                <w:sz w:val="14"/>
                <w:szCs w:val="14"/>
                <w:b w:val="1"/>
                <w:bCs w:val="1"/>
                <w:color w:val="auto"/>
              </w:rPr>
              <w:t>Fair Value Measurement Using</w:t>
            </w:r>
          </w:p>
        </w:tc>
        <w:tc>
          <w:tcPr>
            <w:tcW w:w="26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16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8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8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Balance</w:t>
            </w:r>
          </w:p>
        </w:tc>
        <w:tc>
          <w:tcPr>
            <w:tcW w:w="260" w:type="dxa"/>
            <w:vAlign w:val="bottom"/>
          </w:tcPr>
          <w:p>
            <w:pPr>
              <w:spacing w:after="0"/>
              <w:rPr>
                <w:sz w:val="12"/>
                <w:szCs w:val="12"/>
                <w:color w:val="auto"/>
              </w:rPr>
            </w:pPr>
          </w:p>
        </w:tc>
        <w:tc>
          <w:tcPr>
            <w:tcW w:w="10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8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8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95"/>
        </w:trPr>
        <w:tc>
          <w:tcPr>
            <w:tcW w:w="2160" w:type="dxa"/>
            <w:vAlign w:val="bottom"/>
          </w:tcPr>
          <w:p>
            <w:pPr>
              <w:spacing w:after="0" w:line="195" w:lineRule="exact"/>
              <w:rPr>
                <w:sz w:val="20"/>
                <w:szCs w:val="20"/>
                <w:color w:val="auto"/>
              </w:rPr>
            </w:pPr>
            <w:r>
              <w:rPr>
                <w:rFonts w:ascii="Arial" w:cs="Arial" w:eastAsia="Arial" w:hAnsi="Arial"/>
                <w:sz w:val="18"/>
                <w:szCs w:val="18"/>
                <w:color w:val="auto"/>
              </w:rPr>
              <w:t>Cash and cash</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20"/>
              <w:spacing w:after="0"/>
              <w:rPr>
                <w:sz w:val="20"/>
                <w:szCs w:val="20"/>
                <w:color w:val="auto"/>
              </w:rPr>
            </w:pPr>
            <w:r>
              <w:rPr>
                <w:rFonts w:ascii="Arial" w:cs="Arial" w:eastAsia="Arial" w:hAnsi="Arial"/>
                <w:sz w:val="18"/>
                <w:szCs w:val="18"/>
                <w:color w:val="auto"/>
              </w:rPr>
              <w:t>equivalents</w:t>
            </w:r>
          </w:p>
        </w:tc>
        <w:tc>
          <w:tcPr>
            <w:tcW w:w="1020" w:type="dxa"/>
            <w:vAlign w:val="bottom"/>
          </w:tcPr>
          <w:p>
            <w:pPr>
              <w:jc w:val="right"/>
              <w:ind w:right="182"/>
              <w:spacing w:after="0"/>
              <w:rPr>
                <w:sz w:val="20"/>
                <w:szCs w:val="20"/>
                <w:color w:val="auto"/>
              </w:rPr>
            </w:pPr>
            <w:r>
              <w:rPr>
                <w:rFonts w:ascii="Arial" w:cs="Arial" w:eastAsia="Arial" w:hAnsi="Arial"/>
                <w:sz w:val="18"/>
                <w:szCs w:val="18"/>
                <w:color w:val="auto"/>
              </w:rPr>
              <w:t>$37,900</w:t>
            </w:r>
          </w:p>
        </w:tc>
        <w:tc>
          <w:tcPr>
            <w:tcW w:w="26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ind w:right="188"/>
              <w:spacing w:after="0"/>
              <w:rPr>
                <w:sz w:val="20"/>
                <w:szCs w:val="20"/>
                <w:color w:val="auto"/>
              </w:rPr>
            </w:pPr>
            <w:r>
              <w:rPr>
                <w:rFonts w:ascii="Arial" w:cs="Arial" w:eastAsia="Arial" w:hAnsi="Arial"/>
                <w:sz w:val="18"/>
                <w:szCs w:val="18"/>
                <w:color w:val="auto"/>
              </w:rPr>
              <w:t>$ 37,900</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$ 54,249</w:t>
            </w:r>
          </w:p>
        </w:tc>
        <w:tc>
          <w:tcPr>
            <w:tcW w:w="26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188"/>
              <w:spacing w:after="0"/>
              <w:rPr>
                <w:sz w:val="20"/>
                <w:szCs w:val="20"/>
                <w:color w:val="auto"/>
              </w:rPr>
            </w:pPr>
            <w:r>
              <w:rPr>
                <w:rFonts w:ascii="Arial" w:cs="Arial" w:eastAsia="Arial" w:hAnsi="Arial"/>
                <w:sz w:val="18"/>
                <w:szCs w:val="18"/>
                <w:color w:val="auto"/>
              </w:rPr>
              <w:t>$ 54,249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June 30, 2011, we had approximately $5.8 million, $7.8 million, $23.0 million, $0.4 million and $0.9 million of cash and cash equivalents in the United States, Europe, Asia, Cayman Islands, and South America, respectively. On December 31, 2010, we had approximately $6.5 million, $15.0 million, $27.8 million, $4.0 million, and $0.9 million of cash and cash equivalents in the United States, Europe, Asia, Cayman Islands and South America, respectively.</w:t>
      </w:r>
    </w:p>
    <w:p>
      <w:pPr>
        <w:spacing w:after="0" w:line="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Cash Equivalents, and Term Deposit</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June 30, 2011 and December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gross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89,224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Arial" w:cs="Arial" w:eastAsia="Arial" w:hAnsi="Arial"/>
                <w:sz w:val="18"/>
                <w:szCs w:val="18"/>
                <w:color w:val="auto"/>
              </w:rPr>
              <w:t>Trade receivables, net</w:t>
            </w:r>
          </w:p>
        </w:tc>
        <w:tc>
          <w:tcPr>
            <w:tcW w:w="5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87,393</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5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87,773</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100" w:type="dxa"/>
            <w:vAlign w:val="bottom"/>
            <w:vMerge w:val="restart"/>
          </w:tcPr>
          <w:p>
            <w:pPr>
              <w:jc w:val="right"/>
              <w:ind w:right="327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three and six months ended June 30, 2011 and 2010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520" w:type="dxa"/>
            <w:vAlign w:val="bottom"/>
          </w:tcPr>
          <w:p>
            <w:pPr>
              <w:spacing w:after="0"/>
              <w:rPr>
                <w:sz w:val="14"/>
                <w:szCs w:val="14"/>
                <w:color w:val="auto"/>
              </w:rPr>
            </w:pP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(Write-offs)/</w:t>
            </w:r>
          </w:p>
        </w:tc>
        <w:tc>
          <w:tcPr>
            <w:tcW w:w="5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5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Period</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Expenses</w:t>
            </w:r>
          </w:p>
        </w:tc>
        <w:tc>
          <w:tcPr>
            <w:tcW w:w="520" w:type="dxa"/>
            <w:vAlign w:val="bottom"/>
          </w:tcPr>
          <w:p>
            <w:pPr>
              <w:spacing w:after="0"/>
              <w:rPr>
                <w:sz w:val="14"/>
                <w:szCs w:val="14"/>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FX Effects</w:t>
            </w:r>
          </w:p>
        </w:tc>
        <w:tc>
          <w:tcPr>
            <w:tcW w:w="5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trade receivables</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Three months ended June 30, 2011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6"/>
              <w:spacing w:after="0"/>
              <w:rPr>
                <w:sz w:val="20"/>
                <w:szCs w:val="20"/>
                <w:color w:val="auto"/>
              </w:rPr>
            </w:pPr>
            <w:r>
              <w:rPr>
                <w:rFonts w:ascii="Arial" w:cs="Arial" w:eastAsia="Arial" w:hAnsi="Arial"/>
                <w:sz w:val="18"/>
                <w:szCs w:val="18"/>
                <w:color w:val="auto"/>
              </w:rPr>
              <w:t>868</w:t>
            </w: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$231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June 30, 2010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84"/>
              </w:rPr>
              <w:t>2,387</w:t>
            </w:r>
          </w:p>
        </w:tc>
        <w:tc>
          <w:tcPr>
            <w:tcW w:w="14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5"/>
              </w:rPr>
              <w:t>(237)</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six months ended June 30, 2011 and 2010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520" w:type="dxa"/>
            <w:vAlign w:val="bottom"/>
          </w:tcPr>
          <w:p>
            <w:pPr>
              <w:spacing w:after="0"/>
              <w:rPr>
                <w:sz w:val="14"/>
                <w:szCs w:val="14"/>
                <w:color w:val="auto"/>
              </w:rPr>
            </w:pP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(Write-offs)/</w:t>
            </w:r>
          </w:p>
        </w:tc>
        <w:tc>
          <w:tcPr>
            <w:tcW w:w="5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5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Period</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Expenses</w:t>
            </w:r>
          </w:p>
        </w:tc>
        <w:tc>
          <w:tcPr>
            <w:tcW w:w="520" w:type="dxa"/>
            <w:vAlign w:val="bottom"/>
          </w:tcPr>
          <w:p>
            <w:pPr>
              <w:spacing w:after="0"/>
              <w:rPr>
                <w:sz w:val="14"/>
                <w:szCs w:val="14"/>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FX Effects</w:t>
            </w:r>
          </w:p>
        </w:tc>
        <w:tc>
          <w:tcPr>
            <w:tcW w:w="5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trade receivables</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Six months ended June 30, 2011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6"/>
              <w:spacing w:after="0"/>
              <w:rPr>
                <w:sz w:val="20"/>
                <w:szCs w:val="20"/>
                <w:color w:val="auto"/>
              </w:rPr>
            </w:pPr>
            <w:r>
              <w:rPr>
                <w:rFonts w:ascii="Arial" w:cs="Arial" w:eastAsia="Arial" w:hAnsi="Arial"/>
                <w:sz w:val="18"/>
                <w:szCs w:val="18"/>
                <w:color w:val="auto"/>
              </w:rPr>
              <w:t>878</w:t>
            </w: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$238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Six months ended June 30, 2010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84"/>
              </w:rPr>
              <w:t>2,423</w:t>
            </w:r>
          </w:p>
        </w:tc>
        <w:tc>
          <w:tcPr>
            <w:tcW w:w="14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5"/>
              </w:rPr>
              <w:t>(403)</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allowance for sales returns balance at June 30, 2011 and December 31, 2010 contained reserves for items returned prior to year-end, but were not completely processed, and therefore had not yet been removed from the allowance for sales returns balance. If these returns had been fully processed, the allowance for sales returns balance would have been approximately $0.7 million and $0.9 million on June 30, 2011 and December 31, 2010, respectively. The value of these returned goods was included in our inventory balance at June 30, 2011 and December 31,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six months ended June 30, 2011, we had net sales to one significant customer which totaled to more than 10% of our net sales. During the three and six months ended June 30, 2010, we had net sales to two significant customers, that when combined with their subcontractors, each totaled to more than 10% of our net sales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222"/>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1080" w:type="dxa"/>
            <w:vAlign w:val="bottom"/>
            <w:tcBorders>
              <w:bottom w:val="single" w:sz="8" w:color="auto"/>
            </w:tcBorders>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(thousands)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of Net Sales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 (thousands)</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99"/>
              </w:rPr>
              <w:t>% of Net Sales</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gridSpan w:val="4"/>
            <w:shd w:val="clear" w:color="auto" w:fill="CCEEFF"/>
          </w:tcPr>
          <w:p>
            <w:pPr>
              <w:jc w:val="right"/>
              <w:ind w:right="262"/>
              <w:spacing w:after="0"/>
              <w:rPr>
                <w:sz w:val="20"/>
                <w:szCs w:val="20"/>
                <w:color w:val="auto"/>
              </w:rPr>
            </w:pPr>
            <w:r>
              <w:rPr>
                <w:rFonts w:ascii="Arial" w:cs="Arial" w:eastAsia="Arial" w:hAnsi="Arial"/>
                <w:sz w:val="18"/>
                <w:szCs w:val="18"/>
                <w:color w:val="auto"/>
              </w:rPr>
              <w:t>$ 8,674</w:t>
            </w:r>
          </w:p>
        </w:tc>
        <w:tc>
          <w:tcPr>
            <w:tcW w:w="160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11.0%</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Customer B</w:t>
            </w:r>
          </w:p>
        </w:tc>
        <w:tc>
          <w:tcPr>
            <w:tcW w:w="320" w:type="dxa"/>
            <w:vAlign w:val="bottom"/>
          </w:tcPr>
          <w:p>
            <w:pPr>
              <w:spacing w:after="0"/>
              <w:rPr>
                <w:sz w:val="20"/>
                <w:szCs w:val="20"/>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gridSpan w:val="4"/>
          </w:tcPr>
          <w:p>
            <w:pPr>
              <w:jc w:val="right"/>
              <w:ind w:right="262"/>
              <w:spacing w:after="0"/>
              <w:rPr>
                <w:sz w:val="20"/>
                <w:szCs w:val="20"/>
                <w:color w:val="auto"/>
              </w:rPr>
            </w:pPr>
            <w:r>
              <w:rPr>
                <w:rFonts w:ascii="Arial" w:cs="Arial" w:eastAsia="Arial" w:hAnsi="Arial"/>
                <w:sz w:val="18"/>
                <w:szCs w:val="18"/>
                <w:color w:val="auto"/>
              </w:rPr>
              <w:t>$11,910</w:t>
            </w:r>
          </w:p>
        </w:tc>
        <w:tc>
          <w:tcPr>
            <w:tcW w:w="1600" w:type="dxa"/>
            <w:vAlign w:val="bottom"/>
            <w:gridSpan w:val="3"/>
          </w:tcPr>
          <w:p>
            <w:pPr>
              <w:jc w:val="right"/>
              <w:ind w:right="142"/>
              <w:spacing w:after="0"/>
              <w:rPr>
                <w:sz w:val="20"/>
                <w:szCs w:val="20"/>
                <w:color w:val="auto"/>
              </w:rPr>
            </w:pPr>
            <w:r>
              <w:rPr>
                <w:rFonts w:ascii="Arial" w:cs="Arial" w:eastAsia="Arial" w:hAnsi="Arial"/>
                <w:sz w:val="18"/>
                <w:szCs w:val="18"/>
                <w:color w:val="auto"/>
              </w:rPr>
              <w:t>15.1%</w:t>
            </w:r>
          </w:p>
        </w:tc>
      </w:tr>
      <w:tr>
        <w:trPr>
          <w:trHeight w:val="350"/>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462"/>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42"/>
        </w:trPr>
        <w:tc>
          <w:tcPr>
            <w:tcW w:w="5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1080" w:type="dxa"/>
            <w:vAlign w:val="bottom"/>
            <w:tcBorders>
              <w:bottom w:val="single" w:sz="8" w:color="auto"/>
            </w:tcBorders>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 (thousands)</w:t>
            </w:r>
          </w:p>
        </w:tc>
        <w:tc>
          <w:tcPr>
            <w:tcW w:w="4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of Net Sales</w:t>
            </w:r>
          </w:p>
        </w:tc>
        <w:tc>
          <w:tcPr>
            <w:tcW w:w="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 (thousands)</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99"/>
              </w:rPr>
              <w:t>% of Net Sales</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700" w:type="dxa"/>
            <w:vAlign w:val="bottom"/>
            <w:gridSpan w:val="4"/>
            <w:shd w:val="clear" w:color="auto" w:fill="CCEEFF"/>
          </w:tcPr>
          <w:p>
            <w:pPr>
              <w:jc w:val="right"/>
              <w:ind w:right="222"/>
              <w:spacing w:after="0"/>
              <w:rPr>
                <w:sz w:val="20"/>
                <w:szCs w:val="20"/>
                <w:color w:val="auto"/>
              </w:rPr>
            </w:pPr>
            <w:r>
              <w:rPr>
                <w:rFonts w:ascii="Arial" w:cs="Arial" w:eastAsia="Arial" w:hAnsi="Arial"/>
                <w:sz w:val="18"/>
                <w:szCs w:val="18"/>
                <w:color w:val="auto"/>
              </w:rPr>
              <w:t>$19,170</w:t>
            </w:r>
          </w:p>
        </w:tc>
        <w:tc>
          <w:tcPr>
            <w:tcW w:w="160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12.8%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Customer B</w:t>
            </w:r>
          </w:p>
        </w:tc>
        <w:tc>
          <w:tcPr>
            <w:tcW w:w="320" w:type="dxa"/>
            <w:vAlign w:val="bottom"/>
          </w:tcPr>
          <w:p>
            <w:pPr>
              <w:spacing w:after="0"/>
              <w:rPr>
                <w:sz w:val="18"/>
                <w:szCs w:val="18"/>
                <w:color w:val="auto"/>
              </w:rPr>
            </w:pP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1700" w:type="dxa"/>
            <w:vAlign w:val="bottom"/>
            <w:gridSpan w:val="4"/>
          </w:tcPr>
          <w:p>
            <w:pPr>
              <w:jc w:val="right"/>
              <w:ind w:right="222"/>
              <w:spacing w:after="0"/>
              <w:rPr>
                <w:sz w:val="20"/>
                <w:szCs w:val="20"/>
                <w:color w:val="auto"/>
              </w:rPr>
            </w:pPr>
            <w:r>
              <w:rPr>
                <w:rFonts w:ascii="Arial" w:cs="Arial" w:eastAsia="Arial" w:hAnsi="Arial"/>
                <w:sz w:val="18"/>
                <w:szCs w:val="18"/>
                <w:color w:val="auto"/>
              </w:rPr>
              <w:t>$19,916</w:t>
            </w:r>
          </w:p>
        </w:tc>
        <w:tc>
          <w:tcPr>
            <w:tcW w:w="1600" w:type="dxa"/>
            <w:vAlign w:val="bottom"/>
            <w:gridSpan w:val="3"/>
          </w:tcPr>
          <w:p>
            <w:pPr>
              <w:jc w:val="right"/>
              <w:ind w:right="142"/>
              <w:spacing w:after="0"/>
              <w:rPr>
                <w:sz w:val="20"/>
                <w:szCs w:val="20"/>
                <w:color w:val="auto"/>
              </w:rPr>
            </w:pPr>
            <w:r>
              <w:rPr>
                <w:rFonts w:ascii="Arial" w:cs="Arial" w:eastAsia="Arial" w:hAnsi="Arial"/>
                <w:sz w:val="18"/>
                <w:szCs w:val="18"/>
                <w:color w:val="auto"/>
              </w:rPr>
              <w:t>13.3%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20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$26,906</w:t>
            </w:r>
          </w:p>
        </w:tc>
        <w:tc>
          <w:tcPr>
            <w:tcW w:w="146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r>
      <w:tr>
        <w:trPr>
          <w:trHeight w:val="405"/>
        </w:trPr>
        <w:tc>
          <w:tcPr>
            <w:tcW w:w="54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5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with these customers were the following on June 30, 2011 and December 31,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June 30, 2011</w:t>
            </w:r>
          </w:p>
        </w:tc>
        <w:tc>
          <w:tcPr>
            <w:tcW w:w="48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1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 (thousands)</w:t>
            </w:r>
          </w:p>
        </w:tc>
        <w:tc>
          <w:tcPr>
            <w:tcW w:w="480" w:type="dxa"/>
            <w:vAlign w:val="bottom"/>
          </w:tcPr>
          <w:p>
            <w:pPr>
              <w:spacing w:after="0"/>
              <w:rPr>
                <w:sz w:val="10"/>
                <w:szCs w:val="10"/>
                <w:color w:val="auto"/>
              </w:rPr>
            </w:pPr>
          </w:p>
        </w:tc>
        <w:tc>
          <w:tcPr>
            <w:tcW w:w="114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 of Accounts</w:t>
            </w:r>
          </w:p>
        </w:tc>
        <w:tc>
          <w:tcPr>
            <w:tcW w:w="480" w:type="dxa"/>
            <w:vAlign w:val="bottom"/>
          </w:tcPr>
          <w:p>
            <w:pPr>
              <w:spacing w:after="0"/>
              <w:rPr>
                <w:sz w:val="10"/>
                <w:szCs w:val="10"/>
                <w:color w:val="auto"/>
              </w:rPr>
            </w:pPr>
          </w:p>
        </w:tc>
        <w:tc>
          <w:tcPr>
            <w:tcW w:w="11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 (thousands)</w:t>
            </w:r>
          </w:p>
        </w:tc>
        <w:tc>
          <w:tcPr>
            <w:tcW w:w="480" w:type="dxa"/>
            <w:vAlign w:val="bottom"/>
          </w:tcPr>
          <w:p>
            <w:pPr>
              <w:spacing w:after="0"/>
              <w:rPr>
                <w:sz w:val="10"/>
                <w:szCs w:val="10"/>
                <w:color w:val="auto"/>
              </w:rPr>
            </w:pPr>
          </w:p>
        </w:tc>
        <w:tc>
          <w:tcPr>
            <w:tcW w:w="112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 of Accounts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98"/>
              </w:rPr>
              <w:t>Receivable, Net</w:t>
            </w:r>
          </w:p>
        </w:tc>
        <w:tc>
          <w:tcPr>
            <w:tcW w:w="4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8"/>
              </w:rPr>
              <w:t>Receivable, Net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0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$8,732</w:t>
            </w:r>
          </w:p>
        </w:tc>
        <w:tc>
          <w:tcPr>
            <w:tcW w:w="16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10.0%</w:t>
            </w:r>
          </w:p>
        </w:tc>
        <w:tc>
          <w:tcPr>
            <w:tcW w:w="16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$9,481</w:t>
            </w:r>
          </w:p>
        </w:tc>
        <w:tc>
          <w:tcPr>
            <w:tcW w:w="16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Customer B</w:t>
            </w:r>
          </w:p>
        </w:tc>
        <w:tc>
          <w:tcPr>
            <w:tcW w:w="110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40" w:type="dxa"/>
            <w:vAlign w:val="bottom"/>
          </w:tcPr>
          <w:p>
            <w:pPr>
              <w:jc w:val="right"/>
              <w:ind w:right="324"/>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2"/>
              <w:spacing w:after="0"/>
              <w:rPr>
                <w:sz w:val="20"/>
                <w:szCs w:val="20"/>
                <w:color w:val="auto"/>
              </w:rPr>
            </w:pPr>
            <w:r>
              <w:rPr>
                <w:rFonts w:ascii="Arial" w:cs="Arial" w:eastAsia="Arial" w:hAnsi="Arial"/>
                <w:sz w:val="18"/>
                <w:szCs w:val="18"/>
                <w:color w:val="auto"/>
              </w:rPr>
              <w:t>$4,786</w:t>
            </w:r>
          </w:p>
        </w:tc>
        <w:tc>
          <w:tcPr>
            <w:tcW w:w="1600" w:type="dxa"/>
            <w:vAlign w:val="bottom"/>
            <w:gridSpan w:val="2"/>
          </w:tcPr>
          <w:p>
            <w:pPr>
              <w:jc w:val="right"/>
              <w:ind w:right="18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10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$9,104</w:t>
            </w:r>
          </w:p>
        </w:tc>
        <w:tc>
          <w:tcPr>
            <w:tcW w:w="16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10.4%</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had a third customer that accounted for greater than 10% of accounts receivable, net on December 31, 2010, but did not account for greater than 10% of net sales for the year then ended. Trade receivables with this customer amounted to $10.5 million, or 12.1%, of our accounts receivable, net on December 31, 2010.</w:t>
      </w:r>
    </w:p>
    <w:p>
      <w:pPr>
        <w:spacing w:after="0" w:line="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June 30, 2011 and December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19,262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Components</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16,397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10,358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Finished goods</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40,530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38,430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Inventories, net</w:t>
            </w:r>
          </w:p>
        </w:tc>
        <w:tc>
          <w:tcPr>
            <w:tcW w:w="4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76,497</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780" w:type="dxa"/>
            <w:vAlign w:val="bottom"/>
            <w:vMerge w:val="restart"/>
          </w:tcPr>
          <w:p>
            <w:pPr>
              <w:jc w:val="right"/>
              <w:ind w:right="323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4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4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excess and obsolete inventory during the three months ended June 30, 2011 and 2010 were composed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Charged to</w:t>
            </w:r>
          </w:p>
        </w:tc>
        <w:tc>
          <w:tcPr>
            <w:tcW w:w="4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Sell</w:t>
            </w:r>
          </w:p>
        </w:tc>
        <w:tc>
          <w:tcPr>
            <w:tcW w:w="4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Write-offs/</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Costs and</w:t>
            </w:r>
          </w:p>
        </w:tc>
        <w:tc>
          <w:tcPr>
            <w:tcW w:w="4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Expenses</w:t>
            </w:r>
            <w:r>
              <w:rPr>
                <w:rFonts w:ascii="Arial" w:cs="Arial" w:eastAsia="Arial" w:hAnsi="Arial"/>
                <w:sz w:val="12"/>
                <w:szCs w:val="12"/>
                <w:b w:val="1"/>
                <w:bCs w:val="1"/>
                <w:color w:val="auto"/>
                <w:w w:val="89"/>
              </w:rPr>
              <w:t>(1)</w:t>
            </w:r>
          </w:p>
        </w:tc>
        <w:tc>
          <w:tcPr>
            <w:tcW w:w="4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Through</w:t>
            </w:r>
            <w:r>
              <w:rPr>
                <w:rFonts w:ascii="Arial" w:cs="Arial" w:eastAsia="Arial" w:hAnsi="Arial"/>
                <w:sz w:val="12"/>
                <w:szCs w:val="12"/>
                <w:b w:val="1"/>
                <w:bCs w:val="1"/>
                <w:color w:val="auto"/>
                <w:w w:val="95"/>
              </w:rPr>
              <w:t>(2)</w:t>
            </w:r>
          </w:p>
        </w:tc>
        <w:tc>
          <w:tcPr>
            <w:tcW w:w="4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FX Effects</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Three Months Ended June 30, 2011</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$2,272</w:t>
            </w:r>
          </w:p>
        </w:tc>
        <w:tc>
          <w:tcPr>
            <w:tcW w:w="1400" w:type="dxa"/>
            <w:vAlign w:val="bottom"/>
            <w:gridSpan w:val="2"/>
          </w:tcPr>
          <w:p>
            <w:pPr>
              <w:jc w:val="right"/>
              <w:ind w:right="248"/>
              <w:spacing w:after="0"/>
              <w:rPr>
                <w:sz w:val="20"/>
                <w:szCs w:val="20"/>
                <w:color w:val="auto"/>
              </w:rPr>
            </w:pPr>
            <w:r>
              <w:rPr>
                <w:rFonts w:ascii="Arial" w:cs="Arial" w:eastAsia="Arial" w:hAnsi="Arial"/>
                <w:sz w:val="18"/>
                <w:szCs w:val="18"/>
                <w:color w:val="auto"/>
              </w:rPr>
              <w:t>$960</w:t>
            </w:r>
          </w:p>
        </w:tc>
        <w:tc>
          <w:tcPr>
            <w:tcW w:w="1500" w:type="dxa"/>
            <w:vAlign w:val="bottom"/>
            <w:gridSpan w:val="2"/>
          </w:tcPr>
          <w:p>
            <w:pPr>
              <w:jc w:val="center"/>
              <w:ind w:left="350"/>
              <w:spacing w:after="0"/>
              <w:rPr>
                <w:sz w:val="20"/>
                <w:szCs w:val="20"/>
                <w:color w:val="auto"/>
              </w:rPr>
            </w:pPr>
            <w:r>
              <w:rPr>
                <w:rFonts w:ascii="Arial" w:cs="Arial" w:eastAsia="Arial" w:hAnsi="Arial"/>
                <w:sz w:val="18"/>
                <w:szCs w:val="18"/>
                <w:color w:val="auto"/>
                <w:w w:val="96"/>
              </w:rPr>
              <w:t>$(296)</w:t>
            </w:r>
          </w:p>
        </w:tc>
        <w:tc>
          <w:tcPr>
            <w:tcW w:w="1500" w:type="dxa"/>
            <w:vAlign w:val="bottom"/>
            <w:gridSpan w:val="2"/>
          </w:tcPr>
          <w:p>
            <w:pPr>
              <w:jc w:val="center"/>
              <w:ind w:left="350"/>
              <w:spacing w:after="0"/>
              <w:rPr>
                <w:sz w:val="20"/>
                <w:szCs w:val="20"/>
                <w:color w:val="auto"/>
              </w:rPr>
            </w:pPr>
            <w:r>
              <w:rPr>
                <w:rFonts w:ascii="Arial" w:cs="Arial" w:eastAsia="Arial" w:hAnsi="Arial"/>
                <w:sz w:val="18"/>
                <w:szCs w:val="18"/>
                <w:color w:val="auto"/>
                <w:w w:val="96"/>
              </w:rPr>
              <w:t>$(411)</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June 30, 2010</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$1,928</w:t>
            </w:r>
          </w:p>
        </w:tc>
        <w:tc>
          <w:tcPr>
            <w:tcW w:w="14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$846</w:t>
            </w:r>
          </w:p>
        </w:tc>
        <w:tc>
          <w:tcPr>
            <w:tcW w:w="15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6"/>
              </w:rPr>
              <w:t>$(310)</w:t>
            </w:r>
          </w:p>
        </w:tc>
        <w:tc>
          <w:tcPr>
            <w:tcW w:w="15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6"/>
              </w:rPr>
              <w:t>$(503)</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excess and obsolete inventory during the six months ended June 30, 2011 and 2010 were composed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Additions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Charged to</w:t>
            </w:r>
          </w:p>
        </w:tc>
        <w:tc>
          <w:tcPr>
            <w:tcW w:w="4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Sell</w:t>
            </w:r>
          </w:p>
        </w:tc>
        <w:tc>
          <w:tcPr>
            <w:tcW w:w="4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Write-offs/</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Costs and</w:t>
            </w:r>
          </w:p>
        </w:tc>
        <w:tc>
          <w:tcPr>
            <w:tcW w:w="4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Expenses</w:t>
            </w:r>
            <w:r>
              <w:rPr>
                <w:rFonts w:ascii="Arial" w:cs="Arial" w:eastAsia="Arial" w:hAnsi="Arial"/>
                <w:sz w:val="12"/>
                <w:szCs w:val="12"/>
                <w:b w:val="1"/>
                <w:bCs w:val="1"/>
                <w:color w:val="auto"/>
              </w:rPr>
              <w:t>(1)</w:t>
            </w:r>
          </w:p>
        </w:tc>
        <w:tc>
          <w:tcPr>
            <w:tcW w:w="4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Through</w:t>
            </w:r>
            <w:r>
              <w:rPr>
                <w:rFonts w:ascii="Arial" w:cs="Arial" w:eastAsia="Arial" w:hAnsi="Arial"/>
                <w:sz w:val="12"/>
                <w:szCs w:val="12"/>
                <w:b w:val="1"/>
                <w:bCs w:val="1"/>
                <w:color w:val="auto"/>
                <w:w w:val="95"/>
              </w:rPr>
              <w:t>(2)</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FX Effects</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Six Months Ended June 30, 2011</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$2,135</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$1,749</w:t>
            </w:r>
          </w:p>
        </w:tc>
        <w:tc>
          <w:tcPr>
            <w:tcW w:w="148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$(607)</w:t>
            </w:r>
          </w:p>
        </w:tc>
        <w:tc>
          <w:tcPr>
            <w:tcW w:w="148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$(752)</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Six Months Ended June 30, 2010</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$1,750</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$1,605</w:t>
            </w:r>
          </w:p>
        </w:tc>
        <w:tc>
          <w:tcPr>
            <w:tcW w:w="14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$(423)</w:t>
            </w:r>
          </w:p>
        </w:tc>
        <w:tc>
          <w:tcPr>
            <w:tcW w:w="14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$(971)</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31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The additions charged to costs and expenses does not include inventory directly written-off that was scrapped during production totaling $0.3 million and $0.2 million for the three months ended June 30, 2011 and 2010, respectively, and $0.4 million and $0.3 million for the six months ended June 30, 2011 and 2010, respectively. These amounts are production waste and are not included in management’s reserve for excess and obsolete inventory.</w:t>
      </w:r>
    </w:p>
    <w:p>
      <w:pPr>
        <w:ind w:left="460" w:right="26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Inventory write-downs for excess and obsolescence are a normal part of our business and result primarily from product life cycle estimation variances.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purchase integrated circuits, used principally in our wireless control products, from two main suppliers. The total purchased from one of these suppliers was greater than 10% of our total inventory purchases. Our purchases from three component and finished good suppliers each amounted to greater than 10% of our total inventory purchases for the three and six months ended June 30,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2011 and 2010, the amounts purchased from these four suppliers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3"/>
              </w:rPr>
              <w:t>Three Months Ended June 30,</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 of Total</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Inventory</w:t>
            </w:r>
          </w:p>
        </w:tc>
        <w:tc>
          <w:tcPr>
            <w:tcW w:w="2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(thousands)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500" w:type="dxa"/>
            <w:vAlign w:val="bottom"/>
            <w:gridSpan w:val="3"/>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circuit supplier</w:t>
            </w:r>
          </w:p>
        </w:tc>
        <w:tc>
          <w:tcPr>
            <w:tcW w:w="110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$9,206</w:t>
            </w:r>
          </w:p>
        </w:tc>
        <w:tc>
          <w:tcPr>
            <w:tcW w:w="14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$ 7,053</w:t>
            </w: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6"/>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A</w:t>
            </w:r>
          </w:p>
        </w:tc>
        <w:tc>
          <w:tcPr>
            <w:tcW w:w="20" w:type="dxa"/>
            <w:vAlign w:val="bottom"/>
          </w:tcPr>
          <w:p>
            <w:pPr>
              <w:spacing w:after="0"/>
              <w:rPr>
                <w:sz w:val="18"/>
                <w:szCs w:val="18"/>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4"/>
          </w:tcPr>
          <w:p>
            <w:pPr>
              <w:jc w:val="right"/>
              <w:ind w:righ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2"/>
              <w:spacing w:after="0"/>
              <w:rPr>
                <w:sz w:val="20"/>
                <w:szCs w:val="20"/>
                <w:color w:val="auto"/>
              </w:rPr>
            </w:pPr>
            <w:r>
              <w:rPr>
                <w:rFonts w:ascii="Arial" w:cs="Arial" w:eastAsia="Arial" w:hAnsi="Arial"/>
                <w:sz w:val="18"/>
                <w:szCs w:val="18"/>
                <w:color w:val="auto"/>
              </w:rPr>
              <w:t>10,761</w:t>
            </w:r>
          </w:p>
        </w:tc>
        <w:tc>
          <w:tcPr>
            <w:tcW w:w="80" w:type="dxa"/>
            <w:vAlign w:val="bottom"/>
          </w:tcPr>
          <w:p>
            <w:pPr>
              <w:spacing w:after="0"/>
              <w:rPr>
                <w:sz w:val="18"/>
                <w:szCs w:val="18"/>
                <w:color w:val="auto"/>
              </w:rPr>
            </w:pPr>
          </w:p>
        </w:tc>
        <w:tc>
          <w:tcPr>
            <w:tcW w:w="1500" w:type="dxa"/>
            <w:vAlign w:val="bottom"/>
            <w:gridSpan w:val="4"/>
          </w:tcPr>
          <w:p>
            <w:pPr>
              <w:jc w:val="right"/>
              <w:ind w:right="106"/>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11,023</w:t>
            </w: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6"/>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C</w:t>
            </w:r>
          </w:p>
        </w:tc>
        <w:tc>
          <w:tcPr>
            <w:tcW w:w="20" w:type="dxa"/>
            <w:vAlign w:val="bottom"/>
          </w:tcPr>
          <w:p>
            <w:pPr>
              <w:spacing w:after="0"/>
              <w:rPr>
                <w:sz w:val="20"/>
                <w:szCs w:val="20"/>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4"/>
          </w:tcPr>
          <w:p>
            <w:pPr>
              <w:jc w:val="right"/>
              <w:ind w:righ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2"/>
              <w:spacing w:after="0"/>
              <w:rPr>
                <w:sz w:val="20"/>
                <w:szCs w:val="20"/>
                <w:color w:val="auto"/>
              </w:rPr>
            </w:pPr>
            <w:r>
              <w:rPr>
                <w:rFonts w:ascii="Arial" w:cs="Arial" w:eastAsia="Arial" w:hAnsi="Arial"/>
                <w:sz w:val="18"/>
                <w:szCs w:val="18"/>
                <w:color w:val="auto"/>
              </w:rPr>
              <w:t>3,858</w:t>
            </w:r>
          </w:p>
        </w:tc>
        <w:tc>
          <w:tcPr>
            <w:tcW w:w="80" w:type="dxa"/>
            <w:vAlign w:val="bottom"/>
          </w:tcPr>
          <w:p>
            <w:pPr>
              <w:spacing w:after="0"/>
              <w:rPr>
                <w:sz w:val="20"/>
                <w:szCs w:val="20"/>
                <w:color w:val="auto"/>
              </w:rPr>
            </w:pPr>
          </w:p>
        </w:tc>
        <w:tc>
          <w:tcPr>
            <w:tcW w:w="1500" w:type="dxa"/>
            <w:vAlign w:val="bottom"/>
            <w:gridSpan w:val="4"/>
          </w:tcPr>
          <w:p>
            <w:pPr>
              <w:jc w:val="right"/>
              <w:ind w:right="106"/>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0"/>
        </w:trPr>
        <w:tc>
          <w:tcPr>
            <w:tcW w:w="9920" w:type="dxa"/>
            <w:vAlign w:val="bottom"/>
            <w:gridSpan w:val="15"/>
          </w:tcPr>
          <w:p>
            <w:pPr>
              <w:spacing w:after="0"/>
              <w:rPr>
                <w:sz w:val="20"/>
                <w:szCs w:val="20"/>
                <w:color w:val="auto"/>
              </w:rPr>
            </w:pPr>
            <w:r>
              <w:rPr>
                <w:rFonts w:ascii="Arial" w:cs="Arial" w:eastAsia="Arial" w:hAnsi="Arial"/>
                <w:sz w:val="18"/>
                <w:szCs w:val="18"/>
                <w:color w:val="auto"/>
              </w:rPr>
              <w:t>During the six months ended June 30, 2011 and 2010, the amounts purchased from these four suppliers were the following:</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3"/>
              </w:rPr>
              <w:t>Six Months Ended June 30,</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 of Total</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 of Total</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Inventory</w:t>
            </w:r>
          </w:p>
        </w:tc>
        <w:tc>
          <w:tcPr>
            <w:tcW w:w="20" w:type="dxa"/>
            <w:vAlign w:val="bottom"/>
          </w:tcPr>
          <w:p>
            <w:pPr>
              <w:spacing w:after="0"/>
              <w:rPr>
                <w:sz w:val="12"/>
                <w:szCs w:val="12"/>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(thousands)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Purchases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circuit supplier</w:t>
            </w:r>
          </w:p>
        </w:tc>
        <w:tc>
          <w:tcPr>
            <w:tcW w:w="110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$15,842</w:t>
            </w:r>
          </w:p>
        </w:tc>
        <w:tc>
          <w:tcPr>
            <w:tcW w:w="14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$15,122</w:t>
            </w: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6"/>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A</w:t>
            </w:r>
          </w:p>
        </w:tc>
        <w:tc>
          <w:tcPr>
            <w:tcW w:w="20" w:type="dxa"/>
            <w:vAlign w:val="bottom"/>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4"/>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2"/>
              <w:spacing w:after="0"/>
              <w:rPr>
                <w:sz w:val="20"/>
                <w:szCs w:val="20"/>
                <w:color w:val="auto"/>
              </w:rPr>
            </w:pPr>
            <w:r>
              <w:rPr>
                <w:rFonts w:ascii="Arial" w:cs="Arial" w:eastAsia="Arial" w:hAnsi="Arial"/>
                <w:sz w:val="18"/>
                <w:szCs w:val="18"/>
                <w:color w:val="auto"/>
              </w:rPr>
              <w:t>20,154</w:t>
            </w:r>
          </w:p>
        </w:tc>
        <w:tc>
          <w:tcPr>
            <w:tcW w:w="80" w:type="dxa"/>
            <w:vAlign w:val="bottom"/>
          </w:tcPr>
          <w:p>
            <w:pPr>
              <w:spacing w:after="0"/>
              <w:rPr>
                <w:sz w:val="18"/>
                <w:szCs w:val="18"/>
                <w:color w:val="auto"/>
              </w:rPr>
            </w:pPr>
          </w:p>
        </w:tc>
        <w:tc>
          <w:tcPr>
            <w:tcW w:w="1500" w:type="dxa"/>
            <w:vAlign w:val="bottom"/>
            <w:gridSpan w:val="4"/>
          </w:tcPr>
          <w:p>
            <w:pPr>
              <w:jc w:val="right"/>
              <w:ind w:right="106"/>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18,590</w:t>
            </w: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6"/>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C</w:t>
            </w:r>
          </w:p>
        </w:tc>
        <w:tc>
          <w:tcPr>
            <w:tcW w:w="20" w:type="dxa"/>
            <w:vAlign w:val="bottom"/>
          </w:tcPr>
          <w:p>
            <w:pPr>
              <w:spacing w:after="0"/>
              <w:rPr>
                <w:sz w:val="20"/>
                <w:szCs w:val="20"/>
                <w:color w:val="auto"/>
              </w:rPr>
            </w:pPr>
          </w:p>
        </w:tc>
        <w:tc>
          <w:tcPr>
            <w:tcW w:w="10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4"/>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2"/>
              <w:spacing w:after="0"/>
              <w:rPr>
                <w:sz w:val="20"/>
                <w:szCs w:val="20"/>
                <w:color w:val="auto"/>
              </w:rPr>
            </w:pPr>
            <w:r>
              <w:rPr>
                <w:rFonts w:ascii="Arial" w:cs="Arial" w:eastAsia="Arial" w:hAnsi="Arial"/>
                <w:sz w:val="18"/>
                <w:szCs w:val="18"/>
                <w:color w:val="auto"/>
              </w:rPr>
              <w:t>9,878</w:t>
            </w:r>
          </w:p>
        </w:tc>
        <w:tc>
          <w:tcPr>
            <w:tcW w:w="80" w:type="dxa"/>
            <w:vAlign w:val="bottom"/>
          </w:tcPr>
          <w:p>
            <w:pPr>
              <w:spacing w:after="0"/>
              <w:rPr>
                <w:sz w:val="20"/>
                <w:szCs w:val="20"/>
                <w:color w:val="auto"/>
              </w:rPr>
            </w:pPr>
          </w:p>
        </w:tc>
        <w:tc>
          <w:tcPr>
            <w:tcW w:w="1500" w:type="dxa"/>
            <w:vAlign w:val="bottom"/>
            <w:gridSpan w:val="4"/>
          </w:tcPr>
          <w:p>
            <w:pPr>
              <w:jc w:val="right"/>
              <w:ind w:right="106"/>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10"/>
        </w:trPr>
        <w:tc>
          <w:tcPr>
            <w:tcW w:w="8720" w:type="dxa"/>
            <w:vAlign w:val="bottom"/>
            <w:gridSpan w:val="12"/>
          </w:tcPr>
          <w:p>
            <w:pPr>
              <w:spacing w:after="0"/>
              <w:rPr>
                <w:sz w:val="20"/>
                <w:szCs w:val="20"/>
                <w:color w:val="auto"/>
              </w:rPr>
            </w:pPr>
            <w:r>
              <w:rPr>
                <w:rFonts w:ascii="Arial" w:cs="Arial" w:eastAsia="Arial" w:hAnsi="Arial"/>
                <w:sz w:val="18"/>
                <w:szCs w:val="18"/>
                <w:color w:val="auto"/>
                <w:w w:val="94"/>
              </w:rPr>
              <w:t>The total accounts payable to each of these suppliers on June 30, 2011 and December 31, 2010 were the following:</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92"/>
              </w:rPr>
              <w:t>June 30, 2011</w:t>
            </w:r>
          </w:p>
        </w:tc>
        <w:tc>
          <w:tcPr>
            <w:tcW w:w="20" w:type="dxa"/>
            <w:vAlign w:val="bottom"/>
          </w:tcPr>
          <w:p>
            <w:pPr>
              <w:spacing w:after="0"/>
              <w:rPr>
                <w:sz w:val="24"/>
                <w:szCs w:val="24"/>
                <w:color w:val="auto"/>
              </w:rPr>
            </w:pPr>
          </w:p>
        </w:tc>
        <w:tc>
          <w:tcPr>
            <w:tcW w:w="26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4"/>
                <w:szCs w:val="14"/>
                <w:b w:val="1"/>
                <w:bCs w:val="1"/>
                <w:color w:val="auto"/>
              </w:rPr>
              <w:t>$ (thousands)</w:t>
            </w: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 of Accounts</w:t>
            </w:r>
          </w:p>
        </w:tc>
        <w:tc>
          <w:tcPr>
            <w:tcW w:w="4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top w:val="single" w:sz="8" w:color="auto"/>
            </w:tcBorders>
            <w:vMerge w:val="restart"/>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w w:val="99"/>
              </w:rPr>
              <w:t>% of Accounts</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0"/>
              </w:rPr>
              <w:t>Payable</w:t>
            </w:r>
          </w:p>
        </w:tc>
        <w:tc>
          <w:tcPr>
            <w:tcW w:w="4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Payable</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circuit supplier</w:t>
            </w:r>
          </w:p>
        </w:tc>
        <w:tc>
          <w:tcPr>
            <w:tcW w:w="110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$3,578</w:t>
            </w:r>
          </w:p>
        </w:tc>
        <w:tc>
          <w:tcPr>
            <w:tcW w:w="14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$3,731</w:t>
            </w: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46"/>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A</w:t>
            </w:r>
          </w:p>
        </w:tc>
        <w:tc>
          <w:tcPr>
            <w:tcW w:w="20" w:type="dxa"/>
            <w:vAlign w:val="bottom"/>
          </w:tcPr>
          <w:p>
            <w:pPr>
              <w:spacing w:after="0"/>
              <w:rPr>
                <w:sz w:val="18"/>
                <w:szCs w:val="18"/>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2"/>
              <w:spacing w:after="0"/>
              <w:rPr>
                <w:sz w:val="20"/>
                <w:szCs w:val="20"/>
                <w:color w:val="auto"/>
              </w:rPr>
            </w:pPr>
            <w:r>
              <w:rPr>
                <w:rFonts w:ascii="Arial" w:cs="Arial" w:eastAsia="Arial" w:hAnsi="Arial"/>
                <w:sz w:val="18"/>
                <w:szCs w:val="18"/>
                <w:color w:val="auto"/>
              </w:rPr>
              <w:t>9,172</w:t>
            </w:r>
          </w:p>
        </w:tc>
        <w:tc>
          <w:tcPr>
            <w:tcW w:w="80" w:type="dxa"/>
            <w:vAlign w:val="bottom"/>
          </w:tcPr>
          <w:p>
            <w:pPr>
              <w:spacing w:after="0"/>
              <w:rPr>
                <w:sz w:val="18"/>
                <w:szCs w:val="18"/>
                <w:color w:val="auto"/>
              </w:rPr>
            </w:pPr>
          </w:p>
        </w:tc>
        <w:tc>
          <w:tcPr>
            <w:tcW w:w="1500" w:type="dxa"/>
            <w:vAlign w:val="bottom"/>
            <w:gridSpan w:val="4"/>
          </w:tcPr>
          <w:p>
            <w:pPr>
              <w:jc w:val="right"/>
              <w:ind w:right="306"/>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 and finished good supplier B</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C</w:t>
            </w:r>
          </w:p>
        </w:tc>
        <w:tc>
          <w:tcPr>
            <w:tcW w:w="20" w:type="dxa"/>
            <w:vAlign w:val="bottom"/>
          </w:tcPr>
          <w:p>
            <w:pPr>
              <w:spacing w:after="0"/>
              <w:rPr>
                <w:sz w:val="20"/>
                <w:szCs w:val="20"/>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0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8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Component and finished good supplier B is Enson Assets Limited and its subsidiaries. See Note 18 for further information regarding our acquisition of Enson Assets Limited.</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purchase certain printed circuit board assemblies (“PCBAs”) from a related party vendor. The vendor is considered a related party for financial reporting purposes because the Senior Vice President of Manufacturing of Enson Assets Limited (acquired November 3, 2010) owns 40% of this vendor. Our purchases from this vendor for the three and six months ended June 30, 2011 totaled approximately $2.2 million and $3.9 million, or 2.8% and 2.9% of total inventory purchases, respectively. Payable amounts outstanding to this vendor were approximately $1.8 million on June 30, 2011 and $1.6 million on December 31, 2010. Our payable terms and pricing with this vendor are consistent with the terms offered by other vendors in the ordinary course of business. The accounting policies that we apply to our transactions with our related party are consistent with those applied in transactions with independent third parties. Corporate management routinely monitors purchases from our related party vendor to ensure these purchases remain consistent with our business objectives.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accounting guidance, the unit of accounting for goodwill is at a level of reporting referred to as a “reporting unit.” A reporting unit is either (1) an operating segment or (2) one level below an operating segment — referred to as a component. During the fourth quarter 2010, as a result of us flattening our management structure, and the acquisition of Enson we merged our international component with our domestic component. We no longer have separate management of the international component, and the financial results of our international component are not separate. In addition, these components have similar economic characteristics. As a result of these changes, our domestic and international components have been merged into our single operating segment.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goodwill on June 30, 2011 and changes in the carrying amount of goodwill during the six months ended June 30, 2011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4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30,877</w:t>
            </w:r>
          </w:p>
        </w:tc>
      </w:tr>
      <w:tr>
        <w:trPr>
          <w:trHeight w:val="223"/>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5"/>
                <w:szCs w:val="15"/>
                <w:color w:val="auto"/>
              </w:rPr>
              <w:t>(1)</w:t>
            </w:r>
          </w:p>
        </w:tc>
        <w:tc>
          <w:tcPr>
            <w:tcW w:w="4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4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31,033</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adjustment included in international goodwill was the result of fluctuations in the foreign currency exchange rates used to translate the balance into U.S. dollars.</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on June 30, 2011 and December 31, 2010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2010</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4"/>
          </w:tcPr>
          <w:p>
            <w:pPr>
              <w:ind w:left="64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r>
              <w:rPr>
                <w:rFonts w:ascii="Arial" w:cs="Arial" w:eastAsia="Arial" w:hAnsi="Arial"/>
                <w:sz w:val="15"/>
                <w:szCs w:val="15"/>
                <w:color w:val="auto"/>
              </w:rPr>
              <w:t>(1)</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9,005</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(4,926)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03"/>
        </w:trPr>
        <w:tc>
          <w:tcPr>
            <w:tcW w:w="3680" w:type="dxa"/>
            <w:vAlign w:val="bottom"/>
          </w:tcPr>
          <w:p>
            <w:pPr>
              <w:ind w:left="220"/>
              <w:spacing w:after="0" w:line="203" w:lineRule="exact"/>
              <w:rPr>
                <w:sz w:val="20"/>
                <w:szCs w:val="20"/>
                <w:color w:val="auto"/>
              </w:rPr>
            </w:pPr>
            <w:r>
              <w:rPr>
                <w:rFonts w:ascii="Arial" w:cs="Arial" w:eastAsia="Arial" w:hAnsi="Arial"/>
                <w:sz w:val="18"/>
                <w:szCs w:val="18"/>
                <w:color w:val="auto"/>
              </w:rPr>
              <w:t>Trademarks and trade names (10 years)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2,834</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2,134</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2,836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175"/>
        </w:trPr>
        <w:tc>
          <w:tcPr>
            <w:tcW w:w="3680" w:type="dxa"/>
            <w:vAlign w:val="bottom"/>
          </w:tcPr>
          <w:p>
            <w:pPr>
              <w:ind w:left="420"/>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Developed and core technology (5-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 years)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02"/>
        </w:trPr>
        <w:tc>
          <w:tcPr>
            <w:tcW w:w="3680" w:type="dxa"/>
            <w:vAlign w:val="bottom"/>
          </w:tcPr>
          <w:p>
            <w:pPr>
              <w:ind w:left="220"/>
              <w:spacing w:after="0" w:line="201" w:lineRule="exact"/>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420"/>
              <w:spacing w:after="0"/>
              <w:rPr>
                <w:sz w:val="20"/>
                <w:szCs w:val="20"/>
                <w:color w:val="auto"/>
              </w:rPr>
            </w:pPr>
            <w:r>
              <w:rPr>
                <w:rFonts w:ascii="Arial" w:cs="Arial" w:eastAsia="Arial" w:hAnsi="Arial"/>
                <w:sz w:val="18"/>
                <w:szCs w:val="18"/>
                <w:color w:val="auto"/>
              </w:rPr>
              <w:t>(1-2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1,974</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 (10-15 years)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26,325</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24,286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26,349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25,574</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44,055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(9,697</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34,358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43,577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This table excludes fully amortized intangible assets of $7.6 million and $7.6 million on June 30, 2011 and December 31, 2010, respectively.</w:t>
      </w:r>
    </w:p>
    <w:p>
      <w:pPr>
        <w:spacing w:after="0" w:line="88" w:lineRule="exact"/>
        <w:rPr>
          <w:rFonts w:ascii="Arial" w:cs="Arial" w:eastAsia="Arial" w:hAnsi="Arial"/>
          <w:sz w:val="14"/>
          <w:szCs w:val="14"/>
          <w:color w:val="auto"/>
        </w:rPr>
      </w:pPr>
    </w:p>
    <w:p>
      <w:pPr>
        <w:ind w:left="460" w:right="140" w:hanging="452"/>
        <w:spacing w:after="0" w:line="325"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As part of our acquisition of Enson Assets Limited during the fourth quarter of 2010, we purchased trademark and trade names valued at $2.0 million, which are being amortized ratably over ten years. Refer to Note 18 for further information regarding this purchase of trademark and trade names.</w:t>
      </w:r>
    </w:p>
    <w:p>
      <w:pPr>
        <w:spacing w:after="0" w:line="1" w:lineRule="exact"/>
        <w:rPr>
          <w:rFonts w:ascii="Arial" w:cs="Arial" w:eastAsia="Arial" w:hAnsi="Arial"/>
          <w:sz w:val="14"/>
          <w:szCs w:val="14"/>
          <w:color w:val="auto"/>
        </w:rPr>
      </w:pPr>
    </w:p>
    <w:p>
      <w:pPr>
        <w:ind w:left="460" w:right="160" w:hanging="452"/>
        <w:spacing w:after="0" w:line="34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During the fourth quarter of 2010 as part of the Enson Assets Limited acquisition we purchased customer relationships valued at $23.3 million, which are being amortized ratably over ten years. Refer to Note 18 for further information regarding this purchase of these customer relationships.</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for the three and six months ended June 30, 2011 and 2010 is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8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2011</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954</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on June 30, 2011, is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2011 (remaining 6 months)</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2012</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3,852</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2014</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3,814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16,654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34,358</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recorded impairment charges related to our intangible assets of $7 thousand and $8 thousand during the three and six months ended June 30, 2011. Impairment charges are recorded in selling, general and administrative expenses as a component of amortization expense, except impairment charges related to capitalized software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development costs which are recorded in cost of sales. The fair value adjustments for intangible assets measured at fair value on a nonrecurring basis during the six months ended June 30, 2011 were comprised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4"/>
          </w:tcPr>
          <w:p>
            <w:pPr>
              <w:jc w:val="right"/>
              <w:ind w:right="1244"/>
              <w:spacing w:after="0"/>
              <w:rPr>
                <w:sz w:val="20"/>
                <w:szCs w:val="20"/>
                <w:color w:val="auto"/>
              </w:rPr>
            </w:pPr>
            <w:r>
              <w:rPr>
                <w:rFonts w:ascii="Arial" w:cs="Arial" w:eastAsia="Arial" w:hAnsi="Arial"/>
                <w:sz w:val="14"/>
                <w:szCs w:val="14"/>
                <w:b w:val="1"/>
                <w:bCs w:val="1"/>
                <w:color w:val="auto"/>
              </w:rPr>
              <w:t>Fair Value Measurement Using</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4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4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2"/>
                <w:szCs w:val="12"/>
                <w:color w:val="auto"/>
              </w:rPr>
            </w:pPr>
          </w:p>
        </w:tc>
        <w:tc>
          <w:tcPr>
            <w:tcW w:w="18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Six Months Ended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4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4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4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14"/>
                <w:szCs w:val="14"/>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224"/>
        </w:trPr>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Patents, trademarks and trade names</w:t>
            </w:r>
          </w:p>
        </w:tc>
        <w:tc>
          <w:tcPr>
            <w:tcW w:w="380" w:type="dxa"/>
            <w:vAlign w:val="bottom"/>
          </w:tcPr>
          <w:p>
            <w:pPr>
              <w:spacing w:after="0"/>
              <w:rPr>
                <w:sz w:val="19"/>
                <w:szCs w:val="19"/>
                <w:color w:val="auto"/>
              </w:rPr>
            </w:pPr>
          </w:p>
        </w:tc>
        <w:tc>
          <w:tcPr>
            <w:tcW w:w="138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$6,213</w:t>
            </w:r>
          </w:p>
        </w:tc>
        <w:tc>
          <w:tcPr>
            <w:tcW w:w="420" w:type="dxa"/>
            <w:vAlign w:val="bottom"/>
          </w:tcPr>
          <w:p>
            <w:pPr>
              <w:spacing w:after="0"/>
              <w:rPr>
                <w:sz w:val="19"/>
                <w:szCs w:val="19"/>
                <w:color w:val="auto"/>
              </w:rPr>
            </w:pPr>
          </w:p>
        </w:tc>
        <w:tc>
          <w:tcPr>
            <w:tcW w:w="10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2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520" w:type="dxa"/>
            <w:vAlign w:val="bottom"/>
            <w:tcBorders>
              <w:top w:val="single" w:sz="8" w:color="auto"/>
            </w:tcBorders>
          </w:tcPr>
          <w:p>
            <w:pPr>
              <w:jc w:val="right"/>
              <w:ind w:right="484"/>
              <w:spacing w:after="0"/>
              <w:rPr>
                <w:sz w:val="20"/>
                <w:szCs w:val="20"/>
                <w:color w:val="auto"/>
              </w:rPr>
            </w:pPr>
            <w:r>
              <w:rPr>
                <w:rFonts w:ascii="Arial" w:cs="Arial" w:eastAsia="Arial" w:hAnsi="Arial"/>
                <w:sz w:val="18"/>
                <w:szCs w:val="18"/>
                <w:color w:val="auto"/>
              </w:rPr>
              <w:t>$6,213</w:t>
            </w:r>
          </w:p>
        </w:tc>
        <w:tc>
          <w:tcPr>
            <w:tcW w:w="40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disposed of four patents and eleven trademarks with an aggregate carrying amount of $8 thousand resulting in impairment charges of $8 thousand during the six months ended June 30, 2011. We disposed of one patent and eight trademarks with an aggregate carrying amount of $7 thousand during the six months ended June 30, 2010. The intangible assets disposed of during the six months ended June 20, 2011 and 2010 no longer hold any probable future economic benefits and were written-off.</w:t>
      </w:r>
    </w:p>
    <w:p>
      <w:pPr>
        <w:spacing w:after="0" w:line="7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 xml:space="preserve">See Note 2 under the captions </w:t>
      </w:r>
      <w:r>
        <w:rPr>
          <w:rFonts w:ascii="Arial" w:cs="Arial" w:eastAsia="Arial" w:hAnsi="Arial"/>
          <w:sz w:val="17"/>
          <w:szCs w:val="17"/>
          <w:i w:val="1"/>
          <w:iCs w:val="1"/>
          <w:color w:val="auto"/>
        </w:rPr>
        <w:t>Long-Lived Assets and Intangible Assets Impairment</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Capitalized Software Development Costs</w:t>
      </w:r>
      <w:r>
        <w:rPr>
          <w:rFonts w:ascii="Arial" w:cs="Arial" w:eastAsia="Arial" w:hAnsi="Arial"/>
          <w:sz w:val="17"/>
          <w:szCs w:val="17"/>
          <w:color w:val="auto"/>
        </w:rPr>
        <w:t xml:space="preserve">, and </w:t>
      </w:r>
      <w:r>
        <w:rPr>
          <w:rFonts w:ascii="Arial" w:cs="Arial" w:eastAsia="Arial" w:hAnsi="Arial"/>
          <w:sz w:val="17"/>
          <w:szCs w:val="17"/>
          <w:i w:val="1"/>
          <w:iCs w:val="1"/>
          <w:color w:val="auto"/>
        </w:rPr>
        <w:t>Fair-Value Measurements</w:t>
      </w:r>
      <w:r>
        <w:rPr>
          <w:rFonts w:ascii="Arial" w:cs="Arial" w:eastAsia="Arial" w:hAnsi="Arial"/>
          <w:sz w:val="17"/>
          <w:szCs w:val="17"/>
          <w:color w:val="auto"/>
        </w:rPr>
        <w:t xml:space="preserve"> in our Annual Report on Form 10-K for further information regarding our accounting principles and valuation methodology utilized.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Notes payable on June 30, 2011 and December 31, 2010 were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Amount Outstanding</w:t>
            </w:r>
          </w:p>
        </w:tc>
        <w:tc>
          <w:tcPr>
            <w:tcW w:w="0" w:type="dxa"/>
            <w:vAlign w:val="bottom"/>
          </w:tcPr>
          <w:p>
            <w:pPr>
              <w:spacing w:after="0"/>
              <w:rPr>
                <w:sz w:val="1"/>
                <w:szCs w:val="1"/>
                <w:color w:val="auto"/>
              </w:rPr>
            </w:pPr>
          </w:p>
        </w:tc>
      </w:tr>
      <w:tr>
        <w:trPr>
          <w:trHeight w:val="142"/>
        </w:trPr>
        <w:tc>
          <w:tcPr>
            <w:tcW w:w="8200" w:type="dxa"/>
            <w:vAlign w:val="bottom"/>
            <w:vMerge w:val="continue"/>
          </w:tcPr>
          <w:p>
            <w:pPr>
              <w:spacing w:after="0"/>
              <w:rPr>
                <w:sz w:val="12"/>
                <w:szCs w:val="12"/>
                <w:color w:val="auto"/>
              </w:rPr>
            </w:pPr>
          </w:p>
        </w:tc>
        <w:tc>
          <w:tcPr>
            <w:tcW w:w="12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June 30, 2011</w:t>
            </w:r>
          </w:p>
        </w:tc>
        <w:tc>
          <w:tcPr>
            <w:tcW w:w="520" w:type="dxa"/>
            <w:vAlign w:val="bottom"/>
          </w:tcPr>
          <w:p>
            <w:pPr>
              <w:spacing w:after="0"/>
              <w:rPr>
                <w:sz w:val="12"/>
                <w:szCs w:val="12"/>
                <w:color w:val="auto"/>
              </w:rPr>
            </w:pPr>
          </w:p>
        </w:tc>
        <w:tc>
          <w:tcPr>
            <w:tcW w:w="1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224"/>
        </w:trPr>
        <w:tc>
          <w:tcPr>
            <w:tcW w:w="8200" w:type="dxa"/>
            <w:vAlign w:val="bottom"/>
          </w:tcPr>
          <w:p>
            <w:pPr>
              <w:spacing w:after="0"/>
              <w:rPr>
                <w:sz w:val="20"/>
                <w:szCs w:val="20"/>
                <w:color w:val="auto"/>
              </w:rPr>
            </w:pPr>
            <w:r>
              <w:rPr>
                <w:rFonts w:ascii="Arial" w:cs="Arial" w:eastAsia="Arial" w:hAnsi="Arial"/>
                <w:sz w:val="18"/>
                <w:szCs w:val="18"/>
                <w:color w:val="auto"/>
              </w:rPr>
              <w:t>U.S. Bank Term Loan Facility</w:t>
            </w:r>
            <w:r>
              <w:rPr>
                <w:rFonts w:ascii="Arial" w:cs="Arial" w:eastAsia="Arial" w:hAnsi="Arial"/>
                <w:sz w:val="15"/>
                <w:szCs w:val="15"/>
                <w:color w:val="auto"/>
              </w:rPr>
              <w:t>(1)</w:t>
            </w:r>
          </w:p>
        </w:tc>
        <w:tc>
          <w:tcPr>
            <w:tcW w:w="1200" w:type="dxa"/>
            <w:vAlign w:val="bottom"/>
          </w:tcPr>
          <w:p>
            <w:pPr>
              <w:jc w:val="right"/>
              <w:ind w:right="262"/>
              <w:spacing w:after="0"/>
              <w:rPr>
                <w:sz w:val="20"/>
                <w:szCs w:val="20"/>
                <w:color w:val="auto"/>
              </w:rPr>
            </w:pPr>
            <w:r>
              <w:rPr>
                <w:rFonts w:ascii="Arial" w:cs="Arial" w:eastAsia="Arial" w:hAnsi="Arial"/>
                <w:sz w:val="18"/>
                <w:szCs w:val="18"/>
                <w:color w:val="auto"/>
              </w:rPr>
              <w:t>$20,600</w:t>
            </w:r>
          </w:p>
        </w:tc>
        <w:tc>
          <w:tcPr>
            <w:tcW w:w="520" w:type="dxa"/>
            <w:vAlign w:val="bottom"/>
          </w:tcPr>
          <w:p>
            <w:pPr>
              <w:spacing w:after="0"/>
              <w:rPr>
                <w:sz w:val="19"/>
                <w:szCs w:val="19"/>
                <w:color w:val="auto"/>
              </w:rPr>
            </w:pPr>
          </w:p>
        </w:tc>
        <w:tc>
          <w:tcPr>
            <w:tcW w:w="1500" w:type="dxa"/>
            <w:vAlign w:val="bottom"/>
          </w:tcPr>
          <w:p>
            <w:pPr>
              <w:jc w:val="right"/>
              <w:ind w:right="419"/>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80" w:hanging="452"/>
        <w:spacing w:after="0" w:line="302"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Under the U.S. Bank term loan, we may elect to pay interest based on the bank’s prime rate or LIBOR plus a fixed margin of 1.5%. The applicable LIBOR (1, 3, 6, or 12-month LIBOR) corresponds with the loan period we select. On June 30, 2011, the 1-month LIBOR plus the fixed margin was approximately 1.69% and the bank’s prime rate was 3.25%. If a LIBOR rate loan is prepaid prior to the completion of the loan period, we must pay the bank the difference between the interest the bank would have earned had prepayment not occurred and the interest the bank actually earned.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total interest expense on borrowings was $0.2 million and $0 during the six months ended June 30, 2011 and 2010,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$1.7 million and $2.5 million for the three months ended June 30, 2011 and 2010, respectively. Our effective tax rate was 22.1% and 34.7% during the three months ended June 30, 2011 and 2010, respectively. We recorded income tax expense of $2.3 million and $3.5 million for the six months ended June 30, 2011 and 2010, respectively. Our effective tax rate was 22.6% and 34.7% during the six months ended June 30, 2011 and 2010,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On June 30, 2011, we had gross unrecognized tax benefits of approximately $6.0 million, including interest and penalties, of which approximately</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$5.4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$0.3 million within the next twelve months.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on June 30, 2011 and December 31, 2010 are included in our unrecognized tax benefits.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June 30, 2011, the open statutes of limitations in our significant tax jurisdictions are as follows: federal 2006 through 2010, state 2006 through 2010, and non-U.S. 2002 through 2010. On June 30, 2011, our gross unrecognized tax benefits of $6.0 million are classified as long term because we do not anticipate the payment of cash related to those unrecognized tax benefits within one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further information regarding our accounting principles.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June 30, 2011 and December 31, 2010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June 30, 2011</w:t>
            </w: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2010</w:t>
            </w:r>
          </w:p>
        </w:tc>
      </w:tr>
      <w:tr>
        <w:trPr>
          <w:trHeight w:val="20"/>
        </w:trPr>
        <w:tc>
          <w:tcPr>
            <w:tcW w:w="8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social insurance</w:t>
            </w:r>
            <w:r>
              <w:rPr>
                <w:rFonts w:ascii="Arial" w:cs="Arial" w:eastAsia="Arial" w:hAnsi="Arial"/>
                <w:sz w:val="15"/>
                <w:szCs w:val="15"/>
                <w:color w:val="auto"/>
              </w:rPr>
              <w:t>(1)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19,604</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accrued compensation</w:t>
            </w:r>
          </w:p>
        </w:tc>
        <w:tc>
          <w:tcPr>
            <w:tcW w:w="2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10,077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10,274</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accrued compensation</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29,681</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30,634</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2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Effective January 1, 2008, the Chinese Labor Contract Law was enacted in the People’s Republic of China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2011 and December 31,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June 30, 2011 and December 31, 2010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839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taxes and VAT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Amount due to CG International Holdings Limited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5,138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5,138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12,682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tooling accrual balance relates to amounts capitalized within property, plant, and equipment, net on June 30, 2011 and December 31, 2010.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Accruals</w:t>
            </w:r>
          </w:p>
        </w:tc>
        <w:tc>
          <w:tcPr>
            <w:tcW w:w="5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Balance at</w:t>
            </w:r>
          </w:p>
        </w:tc>
        <w:tc>
          <w:tcPr>
            <w:tcW w:w="5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(Reductions) for</w:t>
            </w:r>
          </w:p>
        </w:tc>
        <w:tc>
          <w:tcPr>
            <w:tcW w:w="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5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5"/>
        </w:trPr>
        <w:tc>
          <w:tcPr>
            <w:tcW w:w="5560" w:type="dxa"/>
            <w:vAlign w:val="bottom"/>
          </w:tcPr>
          <w:p>
            <w:pPr>
              <w:spacing w:after="0" w:line="195" w:lineRule="exact"/>
              <w:rPr>
                <w:sz w:val="20"/>
                <w:szCs w:val="20"/>
                <w:color w:val="auto"/>
              </w:rPr>
            </w:pPr>
            <w:r>
              <w:rPr>
                <w:rFonts w:ascii="Arial" w:cs="Arial" w:eastAsia="Arial" w:hAnsi="Arial"/>
                <w:sz w:val="18"/>
                <w:szCs w:val="18"/>
                <w:color w:val="auto"/>
              </w:rPr>
              <w:t>Six Months Ended June 30, 2011</w:t>
            </w:r>
          </w:p>
        </w:tc>
        <w:tc>
          <w:tcPr>
            <w:tcW w:w="540" w:type="dxa"/>
            <w:vAlign w:val="bottom"/>
          </w:tcPr>
          <w:p>
            <w:pPr>
              <w:spacing w:after="0"/>
              <w:rPr>
                <w:sz w:val="16"/>
                <w:szCs w:val="16"/>
                <w:color w:val="auto"/>
              </w:rPr>
            </w:pPr>
          </w:p>
        </w:tc>
        <w:tc>
          <w:tcPr>
            <w:tcW w:w="860" w:type="dxa"/>
            <w:vAlign w:val="bottom"/>
          </w:tcPr>
          <w:p>
            <w:pPr>
              <w:ind w:left="240"/>
              <w:spacing w:after="0" w:line="195" w:lineRule="exact"/>
              <w:rPr>
                <w:sz w:val="20"/>
                <w:szCs w:val="20"/>
                <w:color w:val="auto"/>
              </w:rPr>
            </w:pPr>
            <w:r>
              <w:rPr>
                <w:rFonts w:ascii="Arial" w:cs="Arial" w:eastAsia="Arial" w:hAnsi="Arial"/>
                <w:sz w:val="18"/>
                <w:szCs w:val="18"/>
                <w:color w:val="auto"/>
              </w:rPr>
              <w:t>$71</w:t>
            </w:r>
          </w:p>
        </w:tc>
        <w:tc>
          <w:tcPr>
            <w:tcW w:w="54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5"/>
              </w:rPr>
              <w:t>$(27)</w:t>
            </w:r>
          </w:p>
        </w:tc>
        <w:tc>
          <w:tcPr>
            <w:tcW w:w="54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90"/>
              </w:rPr>
              <w:t>$(38)</w:t>
            </w:r>
          </w:p>
        </w:tc>
        <w:tc>
          <w:tcPr>
            <w:tcW w:w="540" w:type="dxa"/>
            <w:vAlign w:val="bottom"/>
          </w:tcPr>
          <w:p>
            <w:pPr>
              <w:spacing w:after="0"/>
              <w:rPr>
                <w:sz w:val="16"/>
                <w:szCs w:val="16"/>
                <w:color w:val="auto"/>
              </w:rPr>
            </w:pPr>
          </w:p>
        </w:tc>
        <w:tc>
          <w:tcPr>
            <w:tcW w:w="780" w:type="dxa"/>
            <w:vAlign w:val="bottom"/>
          </w:tcPr>
          <w:p>
            <w:pPr>
              <w:jc w:val="right"/>
              <w:ind w:right="264"/>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Six Months Ended June 30, 2010</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$82</w:t>
            </w:r>
          </w:p>
        </w:tc>
        <w:tc>
          <w:tcPr>
            <w:tcW w:w="1660" w:type="dxa"/>
            <w:vAlign w:val="bottom"/>
            <w:gridSpan w:val="2"/>
          </w:tcPr>
          <w:p>
            <w:pPr>
              <w:jc w:val="center"/>
              <w:ind w:left="410"/>
              <w:spacing w:after="0"/>
              <w:rPr>
                <w:sz w:val="20"/>
                <w:szCs w:val="20"/>
                <w:color w:val="auto"/>
              </w:rPr>
            </w:pPr>
            <w:r>
              <w:rPr>
                <w:rFonts w:ascii="Arial" w:cs="Arial" w:eastAsia="Arial" w:hAnsi="Arial"/>
                <w:sz w:val="18"/>
                <w:szCs w:val="18"/>
                <w:color w:val="auto"/>
                <w:w w:val="95"/>
              </w:rPr>
              <w:t>$(63)</w:t>
            </w:r>
          </w:p>
        </w:tc>
        <w:tc>
          <w:tcPr>
            <w:tcW w:w="148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$(11)</w:t>
            </w:r>
          </w:p>
        </w:tc>
        <w:tc>
          <w:tcPr>
            <w:tcW w:w="1320" w:type="dxa"/>
            <w:vAlign w:val="bottom"/>
            <w:gridSpan w:val="2"/>
          </w:tcPr>
          <w:p>
            <w:pPr>
              <w:jc w:val="right"/>
              <w:ind w:right="26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On July 15, 2011, we filed a lawsuit against in the United States District Court, Central District of California (Universal Electronics Inc. v. Logitech, Inc., Logitech International S.A. and Logitech Europe S.A., SACV 11-1056-JVS(ANx)) alleging that the Logitech companies are infringing seventeen of our patent’s related to remote control technology. We have alleged that this complaint relates to multiple Logitech remote control products, including the Harmony H300, H650, H700, H900, One, H1100, Logitech Revue (for Google TV), Harmony remote apps for iOS and Android platforms, and other applications and/or programming for touch screen mobile devices. The Logitech companies have not yet answered our complaint.</w:t>
      </w:r>
    </w:p>
    <w:p>
      <w:pPr>
        <w:spacing w:after="0" w:line="5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are no other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or results of operations. Moreover, we believe that our products do not infringe any third parties’ patents or other intellectual property rights.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Compensation Committee awarded a discretionary cash bonus of $1.0 million, to be paid out quarterly during 2009 and 2010. The Compensation Committee made this decision after reviewing the economic environment and our relative financial and operating performance. The Compensation Committee believed this bonus was in alignment with our stockholders’ interests as well as our performance, alignment and retention objectives. Each participant’s earned award vests in eight equal quarterly installments beginning June 30, 2009 and ending December 31, 2010. Approximately $0.3 million and 0.1 million was paid and expensed, respectively, during the six months ended June 30, 2010 to our executive management team. All amounts earned have been paid as of June 30, 2011 and December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On June 30, 2011 and December 31, 2010, the amounts deferred under the plan were immaterial to our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subsidiary in India maintains a defined benefit pension plan (“India Plan”) for local employees, which is consistent with local statutes and practices. The India Plan was adequately funded as of June 30, 2011 based on its latest actuarial report. The India Plan has an independent external manager that advises us of the appropriate funding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contribution requirements to which we comply. On June 30, 2011, approximately 30% of our 130 employees in India had qualified for eligibility. Generally, an employee must be employed by the company for a minimum of five years before becoming eligible. At the time of eligibility we are liable, on termination, resignation or retirement, to pay the employee an amount equal to 15 days salary for each year of service completed. The total amount of liability outstanding on June 30, 2011 and December 31, 2010 for the India Plan was not material. During the three and six months ended June 30, 2011 and 2010, the net periodic benefit costs were also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six months ended June 30, 2011 and 2010, we repurchased 137,190 and 355,254 shares of our common stock at a cost of $3.5 million and $7.3 million, respectively. Repurchased shares are recorded as shares held in treasury at cost. We generally hold these shares for future use as our management and Board of Directors deem appropriate, including compensating our outside directors. During the six months ended June 30, 2011 and 2010, we issued 15,000 and 14,583 shares, respectively, to outside directors for services performed (see Note 14).</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whenever we deem a repurchase is a good use of our cash and the price to be paid is at or below a threshold approved by our Board. As of June 30, 2011, we have repurchased 610,316 shares of our common stock under this authorization, leaving 389,684 shares available for repurchase.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(3,361)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12,141</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59"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foreign currency translation gain of $4.2 million for the six months ended June 30, 2011 was due primarily to the weakening of the U.S. dollar against the Euro. The foreign currency translation loss of $5.5 million for the six months ended June 30, 2010 was due primarily to the strengthening of the U.S. dollar against the Euro. The U.S. dollar/Euro spot rate was 1.45 and 1.34 on June 30, 2011 and December 31, 2010, respectively, and 1.23 and 1.43 on June 30, 2010 and December 31, 2009, respectively.</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Foreign Currency Translation and Foreign Currency Transactions</w:t>
      </w:r>
      <w:r>
        <w:rPr>
          <w:rFonts w:ascii="Arial" w:cs="Arial" w:eastAsia="Arial" w:hAnsi="Arial"/>
          <w:sz w:val="18"/>
          <w:szCs w:val="18"/>
          <w:color w:val="auto"/>
        </w:rPr>
        <w:t xml:space="preserve"> in our Annual Report on Form 10-K for further information regarding our accounting principles.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We operate in a single operating and reportable segment.</w:t>
      </w:r>
    </w:p>
    <w:p>
      <w:pPr>
        <w:spacing w:after="0" w:line="73"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Our chief operating decision maker, the Chief Executive Officer, reviews financial information presented on a consolidated basis, accompanied by disaggregated information about revenues for purposes of making operating decisions and assessing financial performance. Accordingly, we consider ourselves to be a single reporting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30,912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30,508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61,422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59,430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People’s Republic of China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29,220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52,786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12,829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24,680</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1,521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Australia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1,919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2,414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Canada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1,255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2,108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1,610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10,681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21,275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Korea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4,484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9,498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Netherlands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Singapore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1,755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2,378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6,283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11,346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Thailand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23"/>
        </w:trPr>
        <w:tc>
          <w:tcPr>
            <w:tcW w:w="650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48,384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166,036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90,838</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121,746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78,892</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227,458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is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4,231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People’s Republic of China</w:t>
            </w:r>
          </w:p>
        </w:tc>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75,663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All other countries</w:t>
            </w:r>
          </w:p>
        </w:tc>
        <w:tc>
          <w:tcPr>
            <w:tcW w:w="5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83,760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20" w:type="dxa"/>
            <w:vAlign w:val="bottom"/>
            <w:vMerge w:val="restart"/>
          </w:tcPr>
          <w:p>
            <w:pPr>
              <w:jc w:val="right"/>
              <w:ind w:right="323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three and six months ended June 30, 2011 and 2010 is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8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2011</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Selling, general and administrative expense includes pre-tax stock-based compensation related to stock option awards granted to outside directors of $0 and $0.1 million for the three months ended June 30, 2011 and 2010, respectively. During the six months ended June 30, 2011 and 2010, pre-tax stock-based compensation related to options granted to directors was $0.1 million and $0.2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 also includes stock-based compensation related to restricted stock awards granted to outside directors of</w:t>
      </w:r>
    </w:p>
    <w:p>
      <w:pPr>
        <w:spacing w:after="0" w:line="35"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$0.1 million and $0.2 million for the three months ended June 30, 2011 and 2010, respectively. During the six months ended June 30, 2011 and 2010, stock-based compensation related to restricted stock awards granted to outside directors was $0.2 million and $0.3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from the recognition of stock-based compensation for the three months ended June 30, 2011 and 2010 was $0.3 million and</w:t>
      </w:r>
    </w:p>
    <w:p>
      <w:pPr>
        <w:spacing w:after="0" w:line="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$0.5 million, respectively. The income tax benefit from the recognition of stock-based compensation for the six months ended June 30, 2011 and 2010 was $0.7 million and $0.9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the six months ended June 30, 2011 the Compensation Committee and Board of Directors granted 107,600 stock options, including 92,600 to our Named Executive Officers, with an aggregate grant date fair value of $1.5 million under various stock incentive plans. The stock options granted to employees during 2011 consisted of the following: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Grant</w:t>
            </w: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w:t>
            </w:r>
          </w:p>
        </w:tc>
        <w:tc>
          <w:tcPr>
            <w:tcW w:w="4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Date</w:t>
            </w: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rPr>
              <w:t>Fair</w:t>
            </w:r>
          </w:p>
        </w:tc>
        <w:tc>
          <w:tcPr>
            <w:tcW w:w="31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Vesting Period</w:t>
            </w:r>
          </w:p>
        </w:tc>
        <w:tc>
          <w:tcPr>
            <w:tcW w:w="0" w:type="dxa"/>
            <w:vAlign w:val="bottom"/>
          </w:tcPr>
          <w:p>
            <w:pPr>
              <w:spacing w:after="0"/>
              <w:rPr>
                <w:sz w:val="1"/>
                <w:szCs w:val="1"/>
                <w:color w:val="auto"/>
              </w:rPr>
            </w:pPr>
          </w:p>
        </w:tc>
      </w:t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4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Value</w:t>
            </w:r>
          </w:p>
        </w:tc>
        <w:tc>
          <w:tcPr>
            <w:tcW w:w="3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January 26, 2011</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192</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4-Year Vesting Period (25% each year)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April 6, 2011</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92,600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1,286</w:t>
            </w:r>
          </w:p>
        </w:tc>
        <w:tc>
          <w:tcPr>
            <w:tcW w:w="3140" w:type="dxa"/>
            <w:vAlign w:val="bottom"/>
          </w:tcPr>
          <w:p>
            <w:pPr>
              <w:jc w:val="center"/>
              <w:spacing w:after="0"/>
              <w:rPr>
                <w:sz w:val="20"/>
                <w:szCs w:val="20"/>
                <w:color w:val="auto"/>
              </w:rPr>
            </w:pPr>
            <w:r>
              <w:rPr>
                <w:rFonts w:ascii="Arial" w:cs="Arial" w:eastAsia="Arial" w:hAnsi="Arial"/>
                <w:sz w:val="18"/>
                <w:szCs w:val="18"/>
                <w:color w:val="auto"/>
                <w:w w:val="89"/>
              </w:rPr>
              <w:t>3-Year Vesting Period (8.33% each quarter)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1,478</w:t>
            </w:r>
          </w:p>
        </w:tc>
        <w:tc>
          <w:tcPr>
            <w:tcW w:w="3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During the six months ended June 30, 2011 we recognized $0.1 million of pre-tax stock-based compensation expense related to our 2011 stock option grants.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values of stock option grants were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60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894"/>
              <w:spacing w:after="0"/>
              <w:rPr>
                <w:sz w:val="20"/>
                <w:szCs w:val="20"/>
                <w:color w:val="auto"/>
              </w:rPr>
            </w:pPr>
            <w:r>
              <w:rPr>
                <w:rFonts w:ascii="Arial" w:cs="Arial" w:eastAsia="Arial" w:hAnsi="Arial"/>
                <w:sz w:val="14"/>
                <w:szCs w:val="14"/>
                <w:b w:val="1"/>
                <w:bCs w:val="1"/>
                <w:color w:val="auto"/>
                <w:w w:val="96"/>
              </w:rPr>
              <w:t>June 30,</w:t>
            </w: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840" w:type="dxa"/>
            <w:vAlign w:val="bottom"/>
          </w:tcPr>
          <w:p>
            <w:pPr>
              <w:spacing w:after="0"/>
              <w:rPr>
                <w:sz w:val="12"/>
                <w:szCs w:val="12"/>
                <w:color w:val="auto"/>
              </w:rPr>
            </w:pPr>
          </w:p>
        </w:tc>
        <w:tc>
          <w:tcPr>
            <w:tcW w:w="9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2010</w:t>
            </w: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5"/>
                <w:szCs w:val="15"/>
                <w:color w:val="auto"/>
              </w:rPr>
              <w:t>(1)</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 —</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$13.74</w:t>
            </w:r>
          </w:p>
        </w:tc>
        <w:tc>
          <w:tcPr>
            <w:tcW w:w="15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$11.35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2.29%</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2.37%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52.25%</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50.01%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5.03</w:t>
            </w:r>
          </w:p>
        </w:tc>
        <w:tc>
          <w:tcPr>
            <w:tcW w:w="1560" w:type="dxa"/>
            <w:vAlign w:val="bottom"/>
            <w:gridSpan w:val="2"/>
          </w:tcPr>
          <w:p>
            <w:pPr>
              <w:jc w:val="right"/>
              <w:ind w:right="248"/>
              <w:spacing w:after="0"/>
              <w:rPr>
                <w:sz w:val="20"/>
                <w:szCs w:val="20"/>
                <w:color w:val="auto"/>
              </w:rPr>
            </w:pPr>
            <w:r>
              <w:rPr>
                <w:rFonts w:ascii="Arial" w:cs="Arial" w:eastAsia="Arial" w:hAnsi="Arial"/>
                <w:sz w:val="18"/>
                <w:szCs w:val="18"/>
                <w:color w:val="auto"/>
              </w:rPr>
              <w:t>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right="2140" w:firstLine="8"/>
        <w:spacing w:after="0" w:line="402" w:lineRule="auto"/>
        <w:tabs>
          <w:tab w:leader="none" w:pos="459"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weighted average fair value of grants was calculated utilizing the stock options granted during each respective period. Stock option activity during the six months ended June 30, 2011 was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00" w:type="dxa"/>
            <w:vAlign w:val="bottom"/>
          </w:tcPr>
          <w:p>
            <w:pPr>
              <w:spacing w:after="0"/>
              <w:rPr>
                <w:sz w:val="12"/>
                <w:szCs w:val="12"/>
                <w:color w:val="auto"/>
              </w:rPr>
            </w:pPr>
          </w:p>
        </w:tc>
        <w:tc>
          <w:tcPr>
            <w:tcW w:w="1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5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5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5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December 31, 2010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$18.78</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108</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28.97</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16.36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  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Forfeited/cancelled/ expired</w:t>
            </w:r>
          </w:p>
        </w:tc>
        <w:tc>
          <w:tcPr>
            <w:tcW w:w="3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20.46</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June 30, 2011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$19.59</w:t>
            </w:r>
          </w:p>
        </w:tc>
        <w:tc>
          <w:tcPr>
            <w:tcW w:w="15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5.25</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on June 30, 2011</w:t>
            </w: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jc w:val="right"/>
              <w:ind w:right="268"/>
              <w:spacing w:after="0"/>
              <w:rPr>
                <w:sz w:val="20"/>
                <w:szCs w:val="20"/>
                <w:color w:val="auto"/>
              </w:rPr>
            </w:pPr>
            <w:r>
              <w:rPr>
                <w:rFonts w:ascii="Arial" w:cs="Arial" w:eastAsia="Arial" w:hAnsi="Arial"/>
                <w:sz w:val="18"/>
                <w:szCs w:val="18"/>
                <w:color w:val="auto"/>
              </w:rPr>
              <w:t>$19.55</w:t>
            </w:r>
          </w:p>
        </w:tc>
        <w:tc>
          <w:tcPr>
            <w:tcW w:w="1500" w:type="dxa"/>
            <w:vAlign w:val="bottom"/>
            <w:gridSpan w:val="2"/>
            <w:vMerge w:val="restart"/>
          </w:tcPr>
          <w:p>
            <w:pPr>
              <w:jc w:val="center"/>
              <w:ind w:left="410"/>
              <w:spacing w:after="0"/>
              <w:rPr>
                <w:sz w:val="20"/>
                <w:szCs w:val="20"/>
                <w:color w:val="auto"/>
              </w:rPr>
            </w:pPr>
            <w:r>
              <w:rPr>
                <w:rFonts w:ascii="Arial" w:cs="Arial" w:eastAsia="Arial" w:hAnsi="Arial"/>
                <w:sz w:val="18"/>
                <w:szCs w:val="18"/>
                <w:color w:val="auto"/>
                <w:w w:val="91"/>
              </w:rPr>
              <w:t>5.21</w:t>
            </w:r>
          </w:p>
        </w:tc>
        <w:tc>
          <w:tcPr>
            <w:tcW w:w="1600" w:type="dxa"/>
            <w:vAlign w:val="bottom"/>
            <w:gridSpan w:val="2"/>
            <w:vMerge w:val="restart"/>
          </w:tcPr>
          <w:p>
            <w:pPr>
              <w:ind w:left="760"/>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1,531</w:t>
            </w:r>
          </w:p>
        </w:tc>
        <w:tc>
          <w:tcPr>
            <w:tcW w:w="3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June 30, 2011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$18.62</w:t>
            </w:r>
          </w:p>
        </w:tc>
        <w:tc>
          <w:tcPr>
            <w:tcW w:w="15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4.29</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value that option holders would have received had all option holders exercised their options on June 30, 2011. The aggregate intrinsic value is the difference between the closing price of Universal Electronics Inc.’s common stock on the last trading day of the second quarter of 2011 and the option exercise price, multiplied by the number of in-the-money options. This amount will change based on the fair market value of our stock. The total intrinsic value of options exercised for the three months ended June 30, 2011 and 2010, was $0.6 million and $0.04 million, respectively. The total intrinsic value of options exercised for the six months ended June 30, 2011 and 2010, was $0.8 million and $0.1 million, respectively.</w:t>
      </w:r>
    </w:p>
    <w:p>
      <w:pPr>
        <w:spacing w:after="0" w:line="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June 30, 2011, there was $2.9 million of unrecognized pre-tax stock-based compensation expense related to non-vested stock options which we expect to recognize over a weighted-average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six months ended June 30, 2011 the Compensation Committee and Board of Directors granted 43,900 restricted stock awards to our Named Executive Officers with an aggregate grant date fair value of $1.3 million under the 2006 Stock Incentive Plan. The restricted stock awards consisted of the following: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Grant</w:t>
            </w: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58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Date</w:t>
            </w: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rPr>
              <w:t>Fair</w:t>
            </w:r>
          </w:p>
        </w:tc>
        <w:tc>
          <w:tcPr>
            <w:tcW w:w="31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Vesting Period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58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Value</w:t>
            </w:r>
          </w:p>
        </w:tc>
        <w:tc>
          <w:tcPr>
            <w:tcW w:w="3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April 6, 2011</w:t>
            </w:r>
          </w:p>
        </w:tc>
        <w:tc>
          <w:tcPr>
            <w:tcW w:w="5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660" w:type="dxa"/>
            <w:vAlign w:val="bottom"/>
          </w:tcPr>
          <w:p>
            <w:pPr>
              <w:spacing w:after="0"/>
              <w:rPr>
                <w:sz w:val="18"/>
                <w:szCs w:val="18"/>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3-Year Vesting Period (8.33% each quarter)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43,900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6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six months ended June 30, 2011 we recognized $0.1 million of pre-tax stock-based compensation expense related to our 2011 restricted stock award grants.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Non-vested restricted stock award activity during the six months ended June 30, 2011 (including restricted stock issued to directors as described in Note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5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5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on December 31, 2010</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195</w:t>
            </w:r>
          </w:p>
        </w:tc>
        <w:tc>
          <w:tcPr>
            <w:tcW w:w="16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44</w:t>
            </w:r>
          </w:p>
        </w:tc>
        <w:tc>
          <w:tcPr>
            <w:tcW w:w="1640" w:type="dxa"/>
            <w:vAlign w:val="bottom"/>
            <w:gridSpan w:val="2"/>
          </w:tcPr>
          <w:p>
            <w:pPr>
              <w:jc w:val="right"/>
              <w:ind w:right="268"/>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6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640" w:type="dxa"/>
            <w:vAlign w:val="bottom"/>
            <w:gridSpan w:val="2"/>
          </w:tcPr>
          <w:p>
            <w:pPr>
              <w:jc w:val="right"/>
              <w:ind w:right="268"/>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on June 30, 2011</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159</w:t>
            </w:r>
          </w:p>
        </w:tc>
        <w:tc>
          <w:tcPr>
            <w:tcW w:w="16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June 30, 2011, we expect to recognize $2.9 million of unrecognized pre-tax stock-based compensation expense related to non-vested restricted stock awards over a weighted-average period of 2.1 years.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15, 2011, the Board of Directors granted certain executives, other than our Named Executive Officers, 100,000 restricted stock awards under the 2010 Stock Incentive Plan. The awards were granted as part of long-term incentive compensation to assist us with meeting our performance and retention objectives. The grant is subject to a three-year vesting period (8.33% each quarter). The total grant date fair value of these awards was $2.5 million. In addition, on July 1, 2011, we granted our Directors 30,000 restricted stock awards under the 2010 Stock Incentive Plan. The awards were granted as part of our Director’s annual compensation. The grant is subject to a one-year vesting period (25% each quarter). The total grant date fair value of the restricted stock awards to our Directors was $0.8 million.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Income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for the three and six months ended June 30, 2011 and 2010 are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foreign currency exchange contracts</w:t>
            </w:r>
            <w:r>
              <w:rPr>
                <w:rFonts w:ascii="Arial" w:cs="Arial" w:eastAsia="Arial" w:hAnsi="Arial"/>
                <w:sz w:val="15"/>
                <w:szCs w:val="15"/>
                <w:color w:val="auto"/>
              </w:rPr>
              <w:t>(1)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gain on foreign currency exchange transactions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6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This represents the losses and gain incurred on foreign currency hedging derivatives (see Note 17 for further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computation of diluted earnings per common share for the three months ended June 30, 2011 and 2010, we have excluded 484,889 and 527,587 stock options, respectively, with exercise prices greater than the average market price of the underlying common stock, because their inclusion would have been anti-dilutive. Furthermore, for the three months ended June 30, 2011 and 2010, we have excluded 42,177 and 195,492 of unvested shares of restricted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 respectively, whose combined unamortized fair value and excess tax benefits were greater in each of those periods than the average market price of the underlying common stock, as their effect would be anti-dilutive.</w:t>
      </w:r>
    </w:p>
    <w:p>
      <w:pPr>
        <w:spacing w:after="0" w:line="6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the computation of diluted earnings per common share for the six months ended June 30, 2011 and 2010, we have excluded 431,561 and 473,299 stock options, respectively, with exercise prices greater than the average market price of the underlying common stock, because their inclusion would have been anti-dilutive. Furthermore, for the six months ended June 30, 2011 and 2010, we have excluded 21,827 and 198,001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six months ended June 30, 2011 and 2010,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9"/>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4,777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13,601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15,000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13,650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4,777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15,025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13,601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15,000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15,407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13,929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15,395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14,011</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Brazilian Real, British Pound, Chinese Yuan Renminbi, Euro, Hong Kong dollar, Indian Rupee, and Singapore dollar. We periodically enter into foreign currency exchange contracts with terms normally lasting less than nine months to protect against the adverse effects that exchange rate fluctuations may have on our foreign currency 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7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3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We have determined that the fair value of our derivatives is derived from level 2 inputs in the fair value hierarchy. See Note 2 under the captions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concerning the accounting principles and valuation methodology utilized.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financial assets that were accounted for at fair value on a recurring basis on June 30,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4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5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2011</w:t>
            </w:r>
          </w:p>
        </w:tc>
        <w:tc>
          <w:tcPr>
            <w:tcW w:w="12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futures contracts</w:t>
            </w:r>
          </w:p>
        </w:tc>
        <w:tc>
          <w:tcPr>
            <w:tcW w:w="5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0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gain of approximately $0.1 million and a net pre-tax loss of $0.3 million for the three months ended June 30, 2011 and 2010, respectively. For the six months ended June 30, 2011 and 2010, we had a net pre-tax gain of $0.4 million and a net pre-tax loss of $0.3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held one USD/Euro futures contract with a notional value of $7.5 million and a forward rate of $1.4378 USD/Euro on June 30, 2011. We held the Euro position on this contract, which settled on July 29, 2011. The gain on this contract as of June 30, 2011 was $69 thousand and was included in prepaid expenses and other current assets. This contract was settled at a gain of $4 thousand resulting in a loss of $65 thousand during July 2011.</w:t>
      </w:r>
    </w:p>
    <w:p>
      <w:pPr>
        <w:spacing w:after="0" w:line="5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held one USD/Euro futures contract with a notional value of $4.0 million and a forward rate of $1.3073 USD/Euro at December 31, 2010. We held the Euro position on this contract, which settled on January 28, 2011. The gain on this contract as of December 31, 2010 was $87 thousand and is included in prepaid expenses and other current assets. This contract was settled at a gain of $198 thousand resulting in a gain of $111 thousand in January 2011.</w:t>
      </w:r>
    </w:p>
    <w:p>
      <w:pPr>
        <w:spacing w:after="0" w:line="3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held one USD/Indian Rupee futures contract with a notional value of INR133.5 million and a forward rate of INR45.47 INR/USD at December 31, 2010. We held the USD position on this contract, which settled on January 28, 2011. The loss on this contract as of December 31, 2010 was $43 thousand and is included in other accrued expenses. This contract was settled at a gain of $10 thousand resulting in a gain of $53 thousand in January 2011.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We held one USD/Chinese Yuan Renminbi futures contract with a notional value of $1.0 million and a forward rate of CNY6.6819 CNY/USD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We held the USD position on this contract, which settled on January 24, 2011. The loss on this contract as of December 31, 2010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thousand and is included in other accrued expenses. This contract was settled at a loss of $14 thousand resulting in a loss of $3 thousand in January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held one USD/Chinese Yuan Renminbi futures contract with a notional value of $1.0 million and a forward rate of CNY6.6681 CNY/USD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We held the USD position on this contract, which was scheduled to settle on February 24, 2011. The contract was terminated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21, 2011. The loss on this contract as of December 31, 2010 was $13 thousand and is included in other accrued expenses. This contract was settled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termination date at a loss of $16 thousand resulting in a loss of $3 thousand in January 2011.</w:t>
      </w:r>
    </w:p>
    <w:p>
      <w:pPr>
        <w:spacing w:after="0" w:line="10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held one USD/Euro futures contract with a notional value of $1.5 million and a forward rate of $1.4386 USD/Euro at December 31, 2009. We held the Euro position on this contract, which settled on January 15, 2010. The loss on this contract as of December 31, 2009 was $5 thousand and is included in other accrued expenses. This contract was settled at a gain of $11 thousand resulting in a gain of $16 thousand in January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Enson Assets Limited</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November 3, 2010, our subsidiary, UEI Hong Kong Private Limited, entered into a stock purchase agreement with CG International Holdings Limited (“CG”) to acquire all of the issued shares in the capital of Enson Assets Limited (“Enson”) for total consideration of approximately $125.9 million. This transaction closed on November 4, 2010. The consideration consisted of $95.1 million in cash and 1,460,000 of newly issued shares of UEI common stock. A total of $5.0 million of the purchase price was held back at the closing to provide for any additional payments required by CG as a result of Enson’s failure to meet both a net asset target and an earnings target (see “</w:t>
      </w:r>
      <w:r>
        <w:rPr>
          <w:rFonts w:ascii="Arial" w:cs="Arial" w:eastAsia="Arial" w:hAnsi="Arial"/>
          <w:sz w:val="16"/>
          <w:szCs w:val="16"/>
          <w:i w:val="1"/>
          <w:iCs w:val="1"/>
          <w:color w:val="auto"/>
        </w:rPr>
        <w:t>Contingent Consideration”</w:t>
      </w:r>
      <w:r>
        <w:rPr>
          <w:rFonts w:ascii="Arial" w:cs="Arial" w:eastAsia="Arial" w:hAnsi="Arial"/>
          <w:sz w:val="16"/>
          <w:szCs w:val="16"/>
          <w:color w:val="auto"/>
        </w:rPr>
        <w:t xml:space="preserve"> below) and also to support indemnification claims that could be made by us within one year following the closing of this acquisition. We have included the $5.0 million that was held back in the purchase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price allocation, since it is probable that we will owe the full amount to CG. The $5.0 million is included in our other accrued liabilities balance at June 30, 2011 and December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the consideration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71"/>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Source Description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Consideration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Existing cash and cash equivalents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54,138</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Funds from new U.S. Bank Secured Term Loan (see Note 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35,000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Funds from new U.S. Bank Secured Revolving Credit Line (see Note 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Newly issued shares of Universal Electronics Inc. common stock</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30,762</w:t>
            </w:r>
          </w:p>
        </w:tc>
        <w:tc>
          <w:tcPr>
            <w:tcW w:w="6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125,900</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 Target on November 3, 2010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that Enson’s net assets were less than $68.5 million on November 3, 2010, CG would have had to pay us the difference, plus interest.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extent that the Enson net assets were greater than $68.5 million we would pay CG the difference, plus interest. This calculation was finalized during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2011 when the auditor issued their report on Enson’s November 3, 2010 Statement of Net Assets. On November 3, 2010, Enson’s net assets,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by the stock purchase agreement, were $68.6 million. As such, the total consideration and the goodwill recognized to acquire Enson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$0.1 million from December 31, 2010 to June 30, 2011. On May 5, 2011, we received a Dispute Notice from CG, pursuant to the Stock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outlining their disagreement with certain tax estimates included within Enson’s Statement of Net Assets on November 3, 2010. We disagree with CG;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however, depending on the ultimate resolution of this dispute, the total purchase consideration may increase by up to $1.5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Target for the Twelve Months Ending June 30, 2011</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To the extent that Enson’s earnings for the twelve months ended June 30, 2011 are less than $16.2 million, CG will have to pay us an amount equal to the product of (a) the difference between Enson’s earnings and $16.2 million, multiplied by (b) one and one half, plus interest. CG is required to make this payment within five business days of the issuance of the auditor’s report on Enson’s accounts.</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purposes of this calculation, Enson’s earnings are defined as Enson’s consolidated profit before tax for the twelve months ending June 30, 2011 excluding certain agreed upon adjustments, including without limitation, the following items: profit related to UEIC sales, investment income, other income, other expenses, other gains and losses, and interest expenses.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the date of this filing, the auditors have not yet issued their report on Enson’s accounts; however, we do not anticipate that any amounts will be owed by CG.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recognized $0.7 million of total acquisition costs related to the Enson transaction in selling, general and administrative expenses during the quarter ended December 31, 2010. The acquisition costs consisted primarily of legal and investment banking services.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addition to the costs incurred to acquire Enson, during January 2011 our Compensation Committee approved a discretionary bonus of $0.4 million to be awarded to certain employees directly involved in the acquisition process. This discretionary bonus was ratified by our Board of Directors during February 2011, and was paid during March 2011. The entire amount was included in accrued compensation at December 31,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Under the acquisition method of accounting, the acquisition date fair value of the consideration transferred is allocated to the net tangible and intangible assets acquired and liabilities assumed based on their estimated fair values on the acquisition date. Management’s preliminary purchase price allocation on November 4, 2010 (the Enson acquisition date) is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Preliminary</w:t>
            </w:r>
          </w:p>
        </w:tc>
        <w:tc>
          <w:tcPr>
            <w:tcW w:w="0" w:type="dxa"/>
            <w:vAlign w:val="bottom"/>
          </w:tcPr>
          <w:p>
            <w:pPr>
              <w:spacing w:after="0"/>
              <w:rPr>
                <w:sz w:val="1"/>
                <w:szCs w:val="1"/>
                <w:color w:val="auto"/>
              </w:rPr>
            </w:pPr>
          </w:p>
        </w:tc>
      </w:tr>
      <w:tr>
        <w:trPr>
          <w:trHeight w:val="149"/>
        </w:trPr>
        <w:tc>
          <w:tcPr>
            <w:tcW w:w="8940" w:type="dxa"/>
            <w:vAlign w:val="bottom"/>
          </w:tcPr>
          <w:p>
            <w:pPr>
              <w:spacing w:after="0"/>
              <w:rPr>
                <w:sz w:val="12"/>
                <w:szCs w:val="12"/>
                <w:color w:val="auto"/>
              </w:rPr>
            </w:pPr>
          </w:p>
        </w:tc>
        <w:tc>
          <w:tcPr>
            <w:tcW w:w="16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Average</w:t>
            </w:r>
          </w:p>
        </w:tc>
        <w:tc>
          <w:tcPr>
            <w:tcW w:w="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Estimated Lives</w:t>
            </w:r>
          </w:p>
        </w:tc>
        <w:tc>
          <w:tcPr>
            <w:tcW w:w="20" w:type="dxa"/>
            <w:vAlign w:val="bottom"/>
          </w:tcPr>
          <w:p>
            <w:pPr>
              <w:spacing w:after="0"/>
              <w:rPr>
                <w:sz w:val="14"/>
                <w:szCs w:val="14"/>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(67,879)</w:t>
            </w: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Net tangible assets acquired</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Trademark and trade name</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Total estimated purchase price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125,900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Management’s preliminary determination of the fair value of the tangible and intangible assets acquired and liabilities assumed are based on estimates and assumptions that are subject to change. During the measurement period, if information becomes available which would indicate adjustments are required to the purchase price allocation, such adjustments will be included in the purchase price allocation retrospectively. The measurement period can extend as long as one year from the acquisition date. We have made two adjustments to the preliminary purchase price allocation since December 31, 2010. We increased the purchase consideration and goodwill by $0.1 million as a result of the issuance of the auditor’s report on Enson’s November 3, 2010 Statement of Net Assets (see “</w:t>
      </w:r>
      <w:r>
        <w:rPr>
          <w:rFonts w:ascii="Arial" w:cs="Arial" w:eastAsia="Arial" w:hAnsi="Arial"/>
          <w:sz w:val="17"/>
          <w:szCs w:val="17"/>
          <w:i w:val="1"/>
          <w:iCs w:val="1"/>
          <w:color w:val="auto"/>
        </w:rPr>
        <w:t>Net Asset Target on November 3, 2010</w:t>
      </w:r>
      <w:r>
        <w:rPr>
          <w:rFonts w:ascii="Arial" w:cs="Arial" w:eastAsia="Arial" w:hAnsi="Arial"/>
          <w:sz w:val="17"/>
          <w:szCs w:val="17"/>
          <w:color w:val="auto"/>
        </w:rPr>
        <w:t>” above), and we increased goodwill and decreased the deferred income taxes acquired by $0.4 million as a result of certain deferred tax assets not expected to be realized. We are currently evaluating the results of the earnings target as defined in the stock purchase agreement; however, we do not believe this will result in an adjustment to the preliminary purchase price accounting. In addition, on May 5, 2011, we received a Dispute Notice from CG, pursuant to the Stock Purchase Agreement, outlining their disagreement with certain tax estimates included within Enson’s Statement of Net Assets on November 3, 2010. We disagree with CG; however, depending on the ultimate resolution of this dispute, the total purchase consideration may increase by up to $1.5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Of the total estimated purchase price, $83.3 million has been allocated to net tangible assets acquired, $17.3 million has been allocated to goodwill, and $25.3 million has been allocated to identifiable intangible assets acquired. The identified intangible assets consist of $23.3 million assigned to customer relationships and $2.0 million assigned to trademark and trade name. UEI expects to amortize the fair value of Enson’s customer relationships on a straight-line basis over an estimated life of 10 years. UEI expects to amortize the value of Enson’s trademark and trade name on a straight-line basis over an estimated life of ten years. The customer relationships and trademark and trade name amortization will not be deductible for tax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Goodwill represents the excess of the purchase consideration over the estimated fair value of identifiable tangible and intangible assets acquired. Goodwill from this transaction of $17.3 million will not be amortized, but will be analyzed for impairment on at least an annual basis in accordance with U.S. GAAP. We review our goodwill for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impairment annually on December 31 and whenever events or changes in circumstances indicate that an impairment loss may have occurred. Of the total goodwill recorded, none is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the Enson acquisition as if this transaction occurred at the beginning of the period indicated.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three and six months ended June 30,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7960" w:type="dxa"/>
            <w:vAlign w:val="bottom"/>
          </w:tcPr>
          <w:p>
            <w:pPr>
              <w:spacing w:after="0"/>
              <w:rPr>
                <w:sz w:val="20"/>
                <w:szCs w:val="20"/>
                <w:color w:val="auto"/>
              </w:rPr>
            </w:pPr>
            <w:r>
              <w:rPr>
                <w:rFonts w:ascii="Arial" w:cs="Arial" w:eastAsia="Arial" w:hAnsi="Arial"/>
                <w:sz w:val="14"/>
                <w:szCs w:val="14"/>
                <w:b w:val="1"/>
                <w:bCs w:val="1"/>
                <w:color w:val="auto"/>
              </w:rPr>
              <w:t>(in thousands, except per share information)</w:t>
            </w:r>
          </w:p>
        </w:tc>
        <w:tc>
          <w:tcPr>
            <w:tcW w:w="17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June 30, 2010</w:t>
            </w:r>
          </w:p>
        </w:tc>
        <w:tc>
          <w:tcPr>
            <w:tcW w:w="46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June 30, 2010</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6"/>
              </w:rPr>
              <w:t>114,178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216,261</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7,845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12,913</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960" w:type="dxa"/>
            <w:vAlign w:val="bottom"/>
          </w:tcPr>
          <w:p>
            <w:pPr>
              <w:ind w:left="220"/>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0.52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0.86</w:t>
            </w:r>
          </w:p>
        </w:tc>
      </w:tr>
      <w:tr>
        <w:trPr>
          <w:trHeight w:val="21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0.84</w:t>
            </w: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 presented, and should not be taken as a projection of the future consolidated results of our operations.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Adjustments to reduce net income of $3.5 million and $5.1 million for the three and six months ended June 30, 2010 have been made to the combined results of operations for the three and six months ended June 30, 2010. These adjustments reflect primarily acquisition costs, interest on the term loan and line of credit, amortization of acquired intangible assets, amortization and depreciation of the fair value adjustments to prepaid land and property, plant, and equipment. All adjustments have been made net of their related tax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develop and manufacture a broad line of pre-programmed universal wireless control products, audio-video accessories, and software that are marketed to enhance home entertainment systems. Our customers operate in the consumer electronics market and include OEMs, subscription broadcasters, international retailers, custom installers,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cable converters, CD players, audio components and satellite receivers, as well as most other infrared remote controlled devices worldwide.</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565,966 individual device functions and over 4,392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operate as one business segment. We have twenty-five subsidiaries located in Argentina, Cayman Islands, France, Germany (2), Hong Kong (6), India, Italy, the Netherlands, Singapore, Spain, Brazil, British Virgin Islands (3), People’s Republic of China (4) and the United Kingdom.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six months ended June 30, 2011:</w:t>
      </w:r>
    </w:p>
    <w:p>
      <w:pPr>
        <w:spacing w:after="0" w:line="117" w:lineRule="exact"/>
        <w:rPr>
          <w:sz w:val="20"/>
          <w:szCs w:val="20"/>
          <w:color w:val="auto"/>
        </w:rPr>
      </w:pPr>
    </w:p>
    <w:p>
      <w:pPr>
        <w:jc w:val="both"/>
        <w:ind w:left="660" w:right="160" w:hanging="436"/>
        <w:spacing w:after="0" w:line="342"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Our net sales grew 51.4% from $150.3 million during the six months ended June 30, 2010 to $227.5 million during the six months ended June 30, 2011, due primarily to the acquisition of Enson Assets Limited in November 2010, which added $78.5 million in revenue in the first half of 2011.</w:t>
      </w:r>
    </w:p>
    <w:p>
      <w:pPr>
        <w:spacing w:after="0" w:line="29" w:lineRule="exact"/>
        <w:rPr>
          <w:rFonts w:ascii="Arial" w:cs="Arial" w:eastAsia="Arial" w:hAnsi="Arial"/>
          <w:sz w:val="16"/>
          <w:szCs w:val="16"/>
          <w:b w:val="1"/>
          <w:bCs w:val="1"/>
          <w:color w:val="auto"/>
        </w:rPr>
      </w:pPr>
    </w:p>
    <w:p>
      <w:pPr>
        <w:ind w:left="660" w:right="80" w:hanging="436"/>
        <w:spacing w:after="0" w:line="25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operating income during the first six months of 2011 increased 8.4% to $10.8 million from $10.0 million during the first six months of 2010. Our operating margin percentage decreased from 6.7% for the first six months of 2010 to 4.8% for the first six months of 2011 due primarily to the decrease in our gross margin percentage from 32.9% for the first six months of 2010 to 27.5% for the first six months of 2011. The decrease in our gross margin rate was due primarily to sales mix, as a higher percentage of our total sales was comprised of our lower-margin Business category. This shift in sales composition was expected as a result of our recent acquisition of Enson Assets Limited, which sells exclusively within our Business category. Partially offsetting the decrease in our gross margin percentage was an improvement in operating expenses. Operating expenses as a percentage of revenue decreased from 26.3% for the six months ended June 30, 2010 to 22.7% of revenue for the six months ended June 30, 2011.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business objectives for 2011 include the following:</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continue to integrate Enson Assets Limited;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increase the utilization of Enson’s factories by becoming less dependent on third party contract manufacturers;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place more operations, logistics, quality, program management, engineering, sales, and marketing personnel in the Asia region;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further penetrate the growing Asian and Latin American subscription broadcasting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with higher gross margins in order to improve profitability.</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accrued compensation and stock-based compensation expense. Actual results may differ from these judgments and estimates, and they may be adjusted as more information becomes available. Any adjustment may be significant.</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statements. We do not believe that there have been any significant changes during the three and six months ended June 30, 2011 to the items that we disclosed as our critical accounting policies and estimates in Item 7, “Management’s Discussion and Analysis of Financial Condition and Results of Operations” contained in our Annual Report on Form 10-K for our fiscal year ended December 31,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Note 1 contained in the “Notes to the Consolidated Financial Statements” for a discussion of new and recently adopted accounting pronouncements.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six months ended June 30, 2011 and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71.</w:t>
            </w:r>
            <w:r>
              <w:rPr>
                <w:rFonts w:ascii="Arial" w:cs="Arial" w:eastAsia="Arial" w:hAnsi="Arial"/>
                <w:sz w:val="18"/>
                <w:szCs w:val="18"/>
                <w:u w:val="single" w:color="auto"/>
                <w:color w:val="auto"/>
                <w:w w:val="85"/>
              </w:rPr>
              <w:t>3</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u w:val="single" w:color="auto"/>
                <w:color w:val="auto"/>
              </w:rPr>
              <w:t>2</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5</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28.7</w:t>
            </w: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34.8</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27.5</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2.6</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3.2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3</w:t>
            </w: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3</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9</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21.</w:t>
            </w:r>
            <w:r>
              <w:rPr>
                <w:rFonts w:ascii="Arial" w:cs="Arial" w:eastAsia="Arial" w:hAnsi="Arial"/>
                <w:sz w:val="18"/>
                <w:szCs w:val="18"/>
                <w:u w:val="single" w:color="auto"/>
                <w:color w:val="auto"/>
                <w:w w:val="85"/>
              </w:rPr>
              <w:t>9</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25.</w:t>
            </w:r>
            <w:r>
              <w:rPr>
                <w:rFonts w:ascii="Arial" w:cs="Arial" w:eastAsia="Arial" w:hAnsi="Arial"/>
                <w:sz w:val="18"/>
                <w:szCs w:val="18"/>
                <w:u w:val="single" w:color="auto"/>
                <w:color w:val="auto"/>
                <w:w w:val="91"/>
              </w:rPr>
              <w:t>5</w:t>
            </w:r>
          </w:p>
        </w:tc>
        <w:tc>
          <w:tcPr>
            <w:tcW w:w="3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22.</w:t>
            </w:r>
            <w:r>
              <w:rPr>
                <w:rFonts w:ascii="Arial" w:cs="Arial" w:eastAsia="Arial" w:hAnsi="Arial"/>
                <w:sz w:val="18"/>
                <w:szCs w:val="18"/>
                <w:u w:val="single" w:color="auto"/>
                <w:color w:val="auto"/>
                <w:w w:val="85"/>
              </w:rPr>
              <w:t>7</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26.</w:t>
            </w:r>
            <w:r>
              <w:rPr>
                <w:rFonts w:ascii="Arial" w:cs="Arial" w:eastAsia="Arial" w:hAnsi="Arial"/>
                <w:sz w:val="18"/>
                <w:szCs w:val="18"/>
                <w:u w:val="single" w:color="auto"/>
                <w:color w:val="auto"/>
                <w:w w:val="85"/>
              </w:rPr>
              <w:t>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0.0</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(0.1)</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w:t>
            </w: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2011 versus Three Months Ended June 30,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June 30, 2011 and 2010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111.0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91.2%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67.3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121.7</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78.</w:t>
            </w:r>
            <w:r>
              <w:rPr>
                <w:rFonts w:ascii="Arial" w:cs="Arial" w:eastAsia="Arial" w:hAnsi="Arial"/>
                <w:sz w:val="18"/>
                <w:szCs w:val="18"/>
                <w:u w:val="single" w:color="auto"/>
                <w:color w:val="auto"/>
                <w:w w:val="79"/>
              </w:rPr>
              <w:t>9</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for the second quarter of 2011 were $121.7 million, an increase of 54.3% compared to $78.9 million for the second quarter of 2010. Net income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2011 was $6.1 million or $0.40 per diluted share compared to $4.8 million or $0.34 per diluted share for the second quarter of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91% of net sales in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2011 compared to approximately 85% in the second quarter of 2010. Net sales in our business lines for the three months ended June 30, 2011 increased by approximately 65% to $111.0 million from $67.3 million in the three months ended June 30, 2010. This increase in net sales resulted primarily from our November 2010 acquisition of Enson Assets Limited, which contributed $41.4 million in sales during the three months ended June 30,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Net sales in our Consumer lines </w:t>
      </w:r>
      <w:r>
        <w:rPr>
          <w:rFonts w:ascii="Arial" w:cs="Arial" w:eastAsia="Arial" w:hAnsi="Arial"/>
          <w:sz w:val="16"/>
          <w:szCs w:val="16"/>
          <w:color w:val="auto"/>
        </w:rPr>
        <w:t>(</w:t>
      </w:r>
      <w:r>
        <w:rPr>
          <w:rFonts w:ascii="Arial" w:cs="Arial" w:eastAsia="Arial" w:hAnsi="Arial"/>
          <w:sz w:val="16"/>
          <w:szCs w:val="16"/>
          <w:i w:val="1"/>
          <w:iCs w:val="1"/>
          <w:color w:val="auto"/>
        </w:rPr>
        <w:t>One For All</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retail, private label, custom installers, and direct import) were approximately 9% of net sales for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2011 compared to approximately 15% in the second quarter of 2010. Net sales in our Consumer lines during the second quarter of 2011 decreased by $0.9 million or 8% to $10.7 million from $11.6 million during the same period in 2010. The net sales for the second quarter of 2011 in our Consumer lines were positively impacted by the strengthening of the British Pound and Euro compared to the U.S. dollar, which resulted in an increase in net sales of approximately $0.8 million. Net of the favorable currency effect, Consumer sales decreased by $1.7 million, due primarily to difficult market conditions in Europe which contributed to international retail sales decreasing by $0.9 million compared to the third quarter of 2010. Net sales in North American retail decreased by $0.3 million, or 25%, from $1.3 million in the second quarter of 2010 to $1.0 million during the second quarter of 2011. In addition, our custom installer sales decreased by $0.4 million, from $0.6 million during the second quarter of 2010 to $0.2 million during the second quarter of 2011.</w:t>
      </w:r>
    </w:p>
    <w:p>
      <w:pPr>
        <w:spacing w:after="0" w:line="5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for the second quarter of 2011 was $34.9 million compared to $27.4 million during the second quarter of 2010. Gross profit as a percent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to 28.7% during the second quarter of 2011 from 34.8% during the second quarter of 2010, due primarily to Business category sales comprising a higher percentage of total sales. Our Business category sales, on average, yield a lower gross margin compared to our Consumer category sales. This sales mix change resulted in a 4% decrease in our gross margin rate. In addition, royalty income decreased which adversely affected our gross margin rate by 1.8%.</w:t>
      </w:r>
    </w:p>
    <w:p>
      <w:pPr>
        <w:spacing w:after="0" w:line="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increased 28% from $2.5 million during the second quarter of 2010 to $3.2 million during the second quarter of 2011.</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is primarily due to additional labor dedicated to general research &amp; development activities in an effort to continue to develop new products and technologies.</w:t>
      </w:r>
    </w:p>
    <w:p>
      <w:pPr>
        <w:spacing w:after="0" w:line="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increased 34% from $17.6 million during the second quarter of 2010 to $23.5 million during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2011. The strengthening of the Euro compared to the U.S. dollar resulted in an increase of $0.8 million. Net of this unfavorable currency effect, expenses increased by $5.1 million. SG&amp;A expenses for the second quarter of 2011 include $4.5 million of operating expenses from the newly acquired Enson Assets Limited, including $0.6 million of intangibles’ amortization as a result of the aforementioned acquisition. Also contributing to the increase in SG&amp;A expenses is increased payroll of $1.1 million as well as an increase in professional services of $0.4 million relating to our ERP upgrade, integration of Enson Assets Limited and our expansion into the Brazilian market. Partially offsetting these increases is a $0.3 million decrease in the amount of bad debt incurred in the second quarter of 2011 compared to the second quarter of 2010.</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interest </w:t>
      </w:r>
      <w:r>
        <w:rPr>
          <w:rFonts w:ascii="Arial" w:cs="Arial" w:eastAsia="Arial" w:hAnsi="Arial"/>
          <w:sz w:val="17"/>
          <w:szCs w:val="17"/>
          <w:color w:val="auto"/>
        </w:rPr>
        <w:t>during the second quarter of 2011 was $69 thousand of expense compared to $17 thousand of income during the second quarter of 2010.</w:t>
      </w:r>
    </w:p>
    <w:p>
      <w:pPr>
        <w:spacing w:after="0" w:line="1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Net other </w:t>
      </w:r>
      <w:r>
        <w:rPr>
          <w:rFonts w:ascii="Arial" w:cs="Arial" w:eastAsia="Arial" w:hAnsi="Arial"/>
          <w:sz w:val="18"/>
          <w:szCs w:val="18"/>
          <w:color w:val="auto"/>
        </w:rPr>
        <w:t>during the second quarter of 2011 was $0.4 million of expense compared to expense of $21 thousand during the second quarter of 2010,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increased foreign exchange losses.</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was $1.7 million during the second quarter of 2011 compared to $2.5 million during the second quarter of 2010. Our effective tax rate</w:t>
      </w:r>
      <w:r>
        <w:rPr>
          <w:rFonts w:ascii="Arial" w:cs="Arial" w:eastAsia="Arial" w:hAnsi="Arial"/>
          <w:sz w:val="16"/>
          <w:szCs w:val="16"/>
          <w:i w:val="1"/>
          <w:iCs w:val="1"/>
          <w:color w:val="auto"/>
        </w:rPr>
        <w:t xml:space="preserve"> </w:t>
      </w:r>
      <w:r>
        <w:rPr>
          <w:rFonts w:ascii="Arial" w:cs="Arial" w:eastAsia="Arial" w:hAnsi="Arial"/>
          <w:sz w:val="16"/>
          <w:szCs w:val="16"/>
          <w:color w:val="auto"/>
        </w:rPr>
        <w:t>was 22.1% for the second quarter of 2011 compared to 34.7% for the second quarter of 2010. The decline in our effective tax rate is due primarily to earning a higher percentage of income in lower tax rate jurisdictions, largely as a result of our acquisition of Enson Assets Limited during November 2010.</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2011 versus Six Months Ended June 30,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six months ended June 30, 2011 and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206.4</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90.7%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227.5</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during the six months ended June 30, 2011 were $227.5 million; an increase of 51.4% compared to $150.3 million during the six month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2010. Net income for the six months ended June 30, 2011 was $7.9 million or $0.52 per diluted share compared to $6.6 million or $0.47 per diluted share for the six months ended June 30,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91% of net sales during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2011 compared to approximately 85% during the six months ended June 30, 2010. Net sales in our Business lines during the six months ended June 30, 2011 increased by 62% to $206.4 million from $127.6 million during the six months ended June 30, 2010. This increase in net sales resulted primarily from our November 2010 acquisition of Enson Assets Limited, which contributed $78.5 million in sales during the six months ended June 30, 2011.</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Net sales in our Consumer lines </w:t>
      </w:r>
      <w:r>
        <w:rPr>
          <w:rFonts w:ascii="Arial" w:cs="Arial" w:eastAsia="Arial" w:hAnsi="Arial"/>
          <w:sz w:val="18"/>
          <w:szCs w:val="18"/>
          <w:color w:val="auto"/>
        </w:rPr>
        <w:t>(One For All</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retail, private label and custom installers) were approximately 9% of net sales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compared to approximately 15% during the six months ended June 30, 2010. Net sales in our Consumer lines decreased by 7% to $21.1 million during the six months ended June 30, 2011 from $22.7 million during the same period in the prior year. North American retail sales decreased by $1.1 million compared to the first six months of 2010. CEDIA sales decreased by $1.4 million from $1.8 million in the first six months of 2010 to $0.4 million in the same period in 2011. Partially offsetting these decreases was the strengthening of the Euro and the British Pound compared to the U.S. dollar which resulted in an increase in net sales of approximately $0.8 million.</w:t>
      </w:r>
    </w:p>
    <w:p>
      <w:pPr>
        <w:spacing w:after="0" w:line="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six months ended June 30, 2011 was $62.5 million compared to $49.5 million for the six months ended June 30, 2010. Gross profit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sales for the six months ended June 30, 2011 decreased to 27.5% from 32.9% during the same period in the prior year, due primarily to Business category sales comprising a higher percentage of total sales. Our Business category sales, on average, yield a lower gross margin compared to our Consumer category sales. This sales mix change resulted in a 3.9% decrease in our gross margin rate. In addition, royalty income decreased which adversely affected our gross margin rate by 1.4%.</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increased 21% from $5.3 million during the six months ended June 30, 2010 to $6.4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due to additional investments in product development.</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increased 32.5% from $34.2 million during the six months ended June 30, 2010 to $45.3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2011. SG&amp;A expenses for the six months ended June 30, 2011 include $8.8 million of operating expenses from the newly acquired Enson Assets Limited, including $1.3 million of intangibles’ amortization as a result of the aforementioned acquisition. The strengthening of the Euro compared to the US dollar resulted in an increase in SG&amp;A expenses of $0.7 million. The remaining increase in SG&amp;A expenses is due to wage increases in 2011 as well as an increase in professional services relating to the integration of Enson Assets Limited, our expansion into foreign markets such as Brazil and the implementation of our new ERP system.</w:t>
      </w:r>
    </w:p>
    <w:p>
      <w:pPr>
        <w:spacing w:after="0" w:line="8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 xml:space="preserve">Net interest </w:t>
      </w:r>
      <w:r>
        <w:rPr>
          <w:rFonts w:ascii="Arial" w:cs="Arial" w:eastAsia="Arial" w:hAnsi="Arial"/>
          <w:sz w:val="18"/>
          <w:szCs w:val="18"/>
          <w:color w:val="auto"/>
        </w:rPr>
        <w:t>during the six months ended June 30, 2011 and 2010, was $0.2 million of net interest expense and $0.1 million of net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Net other </w:t>
      </w:r>
      <w:r>
        <w:rPr>
          <w:rFonts w:ascii="Arial" w:cs="Arial" w:eastAsia="Arial" w:hAnsi="Arial"/>
          <w:sz w:val="18"/>
          <w:szCs w:val="18"/>
          <w:color w:val="auto"/>
        </w:rPr>
        <w:t>during the six months ended June 30, 2011, was expense of $0.4 million as compared to income of $22 thousand during the same period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This decrease was driven by foreign exchange losses.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was $2.3 million during the six months ended June 30, 2011 compared to $3.5 million during the six months ended June 30, 2010. Our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was 22.6% for the six months ended June 30, 2011 compared to 34.7% for the same period in the prior year. The decline in our effective tax rate is due primarily to earning a higher percentage of income in lower tax rate jurisdictions, largely as a result of our acquisition of Enson Assets Limited during November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Increase/(Decrease)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 cash</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June 30, 2010</w:t>
            </w:r>
          </w:p>
        </w:tc>
      </w:tr>
      <w:tr>
        <w:trPr>
          <w:trHeight w:val="21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4,593</w:t>
            </w: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 (9,136)</w:t>
            </w:r>
          </w:p>
        </w:tc>
        <w:tc>
          <w:tcPr>
            <w:tcW w:w="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$13,729</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Net cash (used for) provided by investing activities</w:t>
            </w:r>
          </w:p>
        </w:tc>
        <w:tc>
          <w:tcPr>
            <w:tcW w:w="1040" w:type="dxa"/>
            <w:vAlign w:val="bottom"/>
          </w:tcPr>
          <w:p>
            <w:pPr>
              <w:jc w:val="right"/>
              <w:spacing w:after="0"/>
              <w:rPr>
                <w:sz w:val="20"/>
                <w:szCs w:val="20"/>
                <w:color w:val="auto"/>
              </w:rPr>
            </w:pPr>
            <w:r>
              <w:rPr>
                <w:rFonts w:ascii="Arial" w:cs="Arial" w:eastAsia="Arial" w:hAnsi="Arial"/>
                <w:sz w:val="18"/>
                <w:szCs w:val="18"/>
                <w:color w:val="auto"/>
              </w:rPr>
              <w:t>(6,067)</w:t>
            </w:r>
          </w:p>
        </w:tc>
        <w:tc>
          <w:tcPr>
            <w:tcW w:w="240" w:type="dxa"/>
            <w:vAlign w:val="bottom"/>
          </w:tcPr>
          <w:p>
            <w:pPr>
              <w:spacing w:after="0"/>
              <w:rPr>
                <w:sz w:val="18"/>
                <w:szCs w:val="18"/>
                <w:color w:val="auto"/>
              </w:rPr>
            </w:pPr>
          </w:p>
        </w:tc>
        <w:tc>
          <w:tcPr>
            <w:tcW w:w="1800" w:type="dxa"/>
            <w:vAlign w:val="bottom"/>
            <w:gridSpan w:val="3"/>
          </w:tcPr>
          <w:p>
            <w:pPr>
              <w:jc w:val="right"/>
              <w:ind w:right="108"/>
              <w:spacing w:after="0"/>
              <w:rPr>
                <w:sz w:val="20"/>
                <w:szCs w:val="20"/>
                <w:color w:val="auto"/>
              </w:rPr>
            </w:pPr>
            <w:r>
              <w:rPr>
                <w:rFonts w:ascii="Arial" w:cs="Arial" w:eastAsia="Arial" w:hAnsi="Arial"/>
                <w:sz w:val="18"/>
                <w:szCs w:val="18"/>
                <w:color w:val="auto"/>
              </w:rPr>
              <w:t>(51,523)</w:t>
            </w:r>
          </w:p>
        </w:tc>
        <w:tc>
          <w:tcPr>
            <w:tcW w:w="260" w:type="dxa"/>
            <w:vAlign w:val="bottom"/>
          </w:tcPr>
          <w:p>
            <w:pPr>
              <w:spacing w:after="0"/>
              <w:rPr>
                <w:sz w:val="18"/>
                <w:szCs w:val="18"/>
                <w:color w:val="auto"/>
              </w:rPr>
            </w:pPr>
          </w:p>
        </w:tc>
        <w:tc>
          <w:tcPr>
            <w:tcW w:w="1680" w:type="dxa"/>
            <w:vAlign w:val="bottom"/>
            <w:gridSpan w:val="3"/>
          </w:tcPr>
          <w:p>
            <w:pPr>
              <w:jc w:val="right"/>
              <w:ind w:right="288"/>
              <w:spacing w:after="0"/>
              <w:rPr>
                <w:sz w:val="20"/>
                <w:szCs w:val="20"/>
                <w:color w:val="auto"/>
              </w:rPr>
            </w:pPr>
            <w:r>
              <w:rPr>
                <w:rFonts w:ascii="Arial" w:cs="Arial" w:eastAsia="Arial" w:hAnsi="Arial"/>
                <w:sz w:val="18"/>
                <w:szCs w:val="18"/>
                <w:color w:val="auto"/>
              </w:rPr>
              <w:t>45,456</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w:t>
            </w: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(9,396)</w:t>
            </w:r>
          </w:p>
        </w:tc>
        <w:tc>
          <w:tcPr>
            <w:tcW w:w="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(6,948)</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1,469</w:t>
            </w:r>
          </w:p>
        </w:tc>
        <w:tc>
          <w:tcPr>
            <w:tcW w:w="240" w:type="dxa"/>
            <w:vAlign w:val="bottom"/>
          </w:tcPr>
          <w:p>
            <w:pPr>
              <w:spacing w:after="0"/>
              <w:rPr>
                <w:sz w:val="20"/>
                <w:szCs w:val="20"/>
                <w:color w:val="auto"/>
              </w:rPr>
            </w:pPr>
          </w:p>
        </w:tc>
        <w:tc>
          <w:tcPr>
            <w:tcW w:w="1800" w:type="dxa"/>
            <w:vAlign w:val="bottom"/>
            <w:gridSpan w:val="3"/>
          </w:tcPr>
          <w:p>
            <w:pPr>
              <w:jc w:val="right"/>
              <w:ind w:right="168"/>
              <w:spacing w:after="0"/>
              <w:rPr>
                <w:sz w:val="20"/>
                <w:szCs w:val="20"/>
                <w:color w:val="auto"/>
              </w:rPr>
            </w:pPr>
            <w:r>
              <w:rPr>
                <w:rFonts w:ascii="Arial" w:cs="Arial" w:eastAsia="Arial" w:hAnsi="Arial"/>
                <w:sz w:val="18"/>
                <w:szCs w:val="18"/>
                <w:color w:val="auto"/>
              </w:rPr>
              <w:t>3,884</w:t>
            </w:r>
          </w:p>
        </w:tc>
        <w:tc>
          <w:tcPr>
            <w:tcW w:w="260" w:type="dxa"/>
            <w:vAlign w:val="bottom"/>
          </w:tcPr>
          <w:p>
            <w:pPr>
              <w:spacing w:after="0"/>
              <w:rPr>
                <w:sz w:val="20"/>
                <w:szCs w:val="20"/>
                <w:color w:val="auto"/>
              </w:rPr>
            </w:pPr>
          </w:p>
        </w:tc>
        <w:tc>
          <w:tcPr>
            <w:tcW w:w="1680" w:type="dxa"/>
            <w:vAlign w:val="bottom"/>
            <w:gridSpan w:val="3"/>
          </w:tcPr>
          <w:p>
            <w:pPr>
              <w:jc w:val="right"/>
              <w:ind w:right="228"/>
              <w:spacing w:after="0"/>
              <w:rPr>
                <w:sz w:val="20"/>
                <w:szCs w:val="20"/>
                <w:color w:val="auto"/>
              </w:rPr>
            </w:pPr>
            <w:r>
              <w:rPr>
                <w:rFonts w:ascii="Arial" w:cs="Arial" w:eastAsia="Arial" w:hAnsi="Arial"/>
                <w:sz w:val="18"/>
                <w:szCs w:val="18"/>
                <w:color w:val="auto"/>
              </w:rPr>
              <w:t>(2,415)</w:t>
            </w:r>
          </w:p>
        </w:tc>
      </w:tr>
      <w:tr>
        <w:trPr>
          <w:trHeight w:val="350"/>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2011</w:t>
            </w:r>
          </w:p>
        </w:tc>
        <w:tc>
          <w:tcPr>
            <w:tcW w:w="200" w:type="dxa"/>
            <w:vAlign w:val="bottom"/>
          </w:tcPr>
          <w:p>
            <w:pPr>
              <w:spacing w:after="0"/>
              <w:rPr>
                <w:sz w:val="24"/>
                <w:szCs w:val="24"/>
                <w:color w:val="auto"/>
              </w:rPr>
            </w:pPr>
          </w:p>
        </w:tc>
        <w:tc>
          <w:tcPr>
            <w:tcW w:w="1860" w:type="dxa"/>
            <w:vAlign w:val="bottom"/>
            <w:gridSpan w:val="3"/>
          </w:tcPr>
          <w:p>
            <w:pPr>
              <w:ind w:left="200"/>
              <w:spacing w:after="0"/>
              <w:rPr>
                <w:sz w:val="20"/>
                <w:szCs w:val="20"/>
                <w:color w:val="auto"/>
              </w:rPr>
            </w:pPr>
            <w:r>
              <w:rPr>
                <w:rFonts w:ascii="Arial" w:cs="Arial" w:eastAsia="Arial" w:hAnsi="Arial"/>
                <w:sz w:val="14"/>
                <w:szCs w:val="14"/>
                <w:b w:val="1"/>
                <w:bCs w:val="1"/>
                <w:color w:val="auto"/>
              </w:rPr>
              <w:t>Increase/(Decrease)</w:t>
            </w:r>
          </w:p>
        </w:tc>
        <w:tc>
          <w:tcPr>
            <w:tcW w:w="180" w:type="dxa"/>
            <w:vAlign w:val="bottom"/>
          </w:tcPr>
          <w:p>
            <w:pPr>
              <w:spacing w:after="0"/>
              <w:rPr>
                <w:sz w:val="24"/>
                <w:szCs w:val="24"/>
                <w:color w:val="auto"/>
              </w:rPr>
            </w:pPr>
          </w:p>
        </w:tc>
        <w:tc>
          <w:tcPr>
            <w:tcW w:w="15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December 31, 2010</w:t>
            </w:r>
          </w:p>
        </w:tc>
      </w:tr>
      <w:tr>
        <w:trPr>
          <w:trHeight w:val="195"/>
        </w:trPr>
        <w:tc>
          <w:tcPr>
            <w:tcW w:w="6240" w:type="dxa"/>
            <w:vAlign w:val="bottom"/>
          </w:tcPr>
          <w:p>
            <w:pPr>
              <w:spacing w:after="0" w:line="195" w:lineRule="exact"/>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6"/>
              <w:spacing w:after="0" w:line="195" w:lineRule="exact"/>
              <w:rPr>
                <w:sz w:val="20"/>
                <w:szCs w:val="20"/>
                <w:color w:val="auto"/>
              </w:rPr>
            </w:pPr>
            <w:r>
              <w:rPr>
                <w:rFonts w:ascii="Arial" w:cs="Arial" w:eastAsia="Arial" w:hAnsi="Arial"/>
                <w:sz w:val="18"/>
                <w:szCs w:val="18"/>
                <w:color w:val="auto"/>
              </w:rPr>
              <w:t>$37,900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gridSpan w:val="2"/>
          </w:tcPr>
          <w:p>
            <w:pPr>
              <w:jc w:val="right"/>
              <w:ind w:right="388"/>
              <w:spacing w:after="0" w:line="195" w:lineRule="exact"/>
              <w:rPr>
                <w:sz w:val="20"/>
                <w:szCs w:val="20"/>
                <w:color w:val="auto"/>
              </w:rPr>
            </w:pPr>
            <w:r>
              <w:rPr>
                <w:rFonts w:ascii="Arial" w:cs="Arial" w:eastAsia="Arial" w:hAnsi="Arial"/>
                <w:sz w:val="18"/>
                <w:szCs w:val="18"/>
                <w:color w:val="auto"/>
              </w:rPr>
              <w:t>$(16,349)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28"/>
              <w:spacing w:after="0" w:line="195" w:lineRule="exact"/>
              <w:rPr>
                <w:sz w:val="20"/>
                <w:szCs w:val="20"/>
                <w:color w:val="auto"/>
              </w:rPr>
            </w:pPr>
            <w:r>
              <w:rPr>
                <w:rFonts w:ascii="Arial" w:cs="Arial" w:eastAsia="Arial" w:hAnsi="Arial"/>
                <w:sz w:val="18"/>
                <w:szCs w:val="18"/>
                <w:color w:val="auto"/>
              </w:rPr>
              <w:t>$54,249</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040" w:type="dxa"/>
            <w:vAlign w:val="bottom"/>
          </w:tcPr>
          <w:p>
            <w:pPr>
              <w:jc w:val="right"/>
              <w:ind w:right="276"/>
              <w:spacing w:after="0"/>
              <w:rPr>
                <w:sz w:val="20"/>
                <w:szCs w:val="20"/>
                <w:color w:val="auto"/>
              </w:rPr>
            </w:pPr>
            <w:r>
              <w:rPr>
                <w:rFonts w:ascii="Arial" w:cs="Arial" w:eastAsia="Arial" w:hAnsi="Arial"/>
                <w:sz w:val="18"/>
                <w:szCs w:val="18"/>
                <w:color w:val="auto"/>
              </w:rPr>
              <w:t>80,045</w:t>
            </w:r>
          </w:p>
        </w:tc>
        <w:tc>
          <w:tcPr>
            <w:tcW w:w="240" w:type="dxa"/>
            <w:vAlign w:val="bottom"/>
          </w:tcPr>
          <w:p>
            <w:pPr>
              <w:spacing w:after="0"/>
              <w:rPr>
                <w:sz w:val="20"/>
                <w:szCs w:val="20"/>
                <w:color w:val="auto"/>
              </w:rPr>
            </w:pPr>
          </w:p>
        </w:tc>
        <w:tc>
          <w:tcPr>
            <w:tcW w:w="1800" w:type="dxa"/>
            <w:vAlign w:val="bottom"/>
            <w:gridSpan w:val="3"/>
          </w:tcPr>
          <w:p>
            <w:pPr>
              <w:jc w:val="right"/>
              <w:ind w:right="448"/>
              <w:spacing w:after="0"/>
              <w:rPr>
                <w:sz w:val="20"/>
                <w:szCs w:val="20"/>
                <w:color w:val="auto"/>
              </w:rPr>
            </w:pPr>
            <w:r>
              <w:rPr>
                <w:rFonts w:ascii="Arial" w:cs="Arial" w:eastAsia="Arial" w:hAnsi="Arial"/>
                <w:sz w:val="18"/>
                <w:szCs w:val="18"/>
                <w:color w:val="auto"/>
              </w:rPr>
              <w:t>14,442</w:t>
            </w:r>
          </w:p>
        </w:tc>
        <w:tc>
          <w:tcPr>
            <w:tcW w:w="260" w:type="dxa"/>
            <w:vAlign w:val="bottom"/>
          </w:tcPr>
          <w:p>
            <w:pPr>
              <w:spacing w:after="0"/>
              <w:rPr>
                <w:sz w:val="20"/>
                <w:szCs w:val="20"/>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8"/>
                <w:szCs w:val="18"/>
                <w:color w:val="auto"/>
              </w:rPr>
              <w:t>65,603</w:t>
            </w:r>
          </w:p>
        </w:tc>
      </w:tr>
    </w:tbl>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decreased by $9.1 million from $13.7 million during the first six months of 2010 to $4.6 million during the first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2011. This decrease is due primarily to an increase in inventories through the second quarter of 2011 in anticipation of high volume sales for the second half of the year, especially considering the recent acquisition of Enson Assets Limited (“Enson”). Typically, the third quarter is Enson’s largest quarter in terms of sales. In addition, in the second quarter of 2011, we changed our shipping terms with a significant customer which results in us holding title to inventory longer than we previously did under the former arrangement. Also adversely affecting our cash flow from operations is a decrease in accounts payable and accrued income taxes offset partially by an increase in depreciation and amortization expense resulting from the Enson acquisition.</w:t>
      </w:r>
    </w:p>
    <w:p>
      <w:pPr>
        <w:spacing w:after="0" w:line="5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color w:val="auto"/>
        </w:rPr>
        <w:t xml:space="preserve">Net cash (used for) provided by investing activities </w:t>
      </w:r>
      <w:r>
        <w:rPr>
          <w:rFonts w:ascii="Arial" w:cs="Arial" w:eastAsia="Arial" w:hAnsi="Arial"/>
          <w:sz w:val="16"/>
          <w:szCs w:val="16"/>
          <w:color w:val="auto"/>
        </w:rPr>
        <w:t>decreased by $51.5 million from cash inflows of $45.5 million during the first six months of 2010 to cash</w:t>
      </w:r>
      <w:r>
        <w:rPr>
          <w:rFonts w:ascii="Arial" w:cs="Arial" w:eastAsia="Arial" w:hAnsi="Arial"/>
          <w:sz w:val="16"/>
          <w:szCs w:val="16"/>
          <w:i w:val="1"/>
          <w:iCs w:val="1"/>
          <w:color w:val="auto"/>
        </w:rPr>
        <w:t xml:space="preserve"> </w:t>
      </w:r>
      <w:r>
        <w:rPr>
          <w:rFonts w:ascii="Arial" w:cs="Arial" w:eastAsia="Arial" w:hAnsi="Arial"/>
          <w:sz w:val="16"/>
          <w:szCs w:val="16"/>
          <w:color w:val="auto"/>
        </w:rPr>
        <w:t>outflows of $6.1 million during the first six months of 2011. The decrease in cash provided by investing activities was primarily driven by the maturity of a term deposit during the six months ended June 30, 2010, which resulted in cash inflows of $49.2 million compared to $0 during the six months ended</w:t>
      </w:r>
    </w:p>
    <w:p>
      <w:pPr>
        <w:jc w:val="both"/>
        <w:ind w:right="80"/>
        <w:spacing w:after="0" w:line="277" w:lineRule="auto"/>
        <w:rPr>
          <w:sz w:val="20"/>
          <w:szCs w:val="20"/>
          <w:color w:val="auto"/>
        </w:rPr>
      </w:pPr>
      <w:r>
        <w:rPr>
          <w:rFonts w:ascii="Arial" w:cs="Arial" w:eastAsia="Arial" w:hAnsi="Arial"/>
          <w:sz w:val="17"/>
          <w:szCs w:val="17"/>
          <w:color w:val="auto"/>
        </w:rPr>
        <w:t>June 30, 2011. In addition, cash outflows to purchase equipment, furniture and fixtures were $5.6 million for the six months ended June 30, 2011, compared to cash outflows of $3.0 million recorded during the six months ended June 30, 2010. The increase in cash used to purchase equipment, furniture and fixtures was primarily driven by our capacity expansion at the Yang Zhou factory and the construction of our new assembly plant in Brazil.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cash used for financing activities </w:t>
      </w:r>
      <w:r>
        <w:rPr>
          <w:rFonts w:ascii="Arial" w:cs="Arial" w:eastAsia="Arial" w:hAnsi="Arial"/>
          <w:sz w:val="17"/>
          <w:szCs w:val="17"/>
          <w:color w:val="auto"/>
        </w:rPr>
        <w:t>increased by $9.4 million from cash outflows of $6.9 million during the first six months of 2010 to cash outflows of</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$16.3 million during the first six months of 2011. The increase in cash used for financing activities was driven primarily by our repayment of $14.4 million on our term loan with U.S. Bank, offset partially by a $3.8 million decrease in the cash used to repurchase shares of our common stock during the six months ended June 30, 2011, compared to the six months ended June 30, 2010.</w:t>
      </w:r>
    </w:p>
    <w:p>
      <w:pPr>
        <w:spacing w:after="0" w:line="8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first six months of 2011 we repurchased 137,190 shares of our common stock for $3.5 million compared to our repurchase of 355,254 shares of our common stock for $7.3 million during the first six months of 2010.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At June 30, 2011, we have purchased 610,316 shares of our common stock, leaving 389,684 shares available for purchase under this authorization.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June 30, 2011, our contractual obligations were $10.5 million compared to $4.3 million reported in our Annual Report on Form 10-K as of December 31, 2010. The following table summarizes our contractual obligations on June 30, 2011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8,170</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2,980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3,208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1,982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10,547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tooling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We believe our current cash balances and anticipated cash flow generated from operations are sufficient to cover cash outlays expected for at least the next twelve months.</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able to supplement this near-term liquidity, if necessary, with credit line facility made available by U.S. Bank. Our liquidity is subject to various risks including the market risks identified in the section entitled “Qualitative and Quantitative Disclosures about Market Risk” in Item 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140" w:type="dxa"/>
            <w:vAlign w:val="bottom"/>
          </w:tcPr>
          <w:p>
            <w:pPr>
              <w:jc w:val="right"/>
              <w:ind w:right="237"/>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2010</w:t>
            </w: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$37,900</w:t>
            </w:r>
          </w:p>
        </w:tc>
        <w:tc>
          <w:tcPr>
            <w:tcW w:w="1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$54,249</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Total debt</w:t>
            </w:r>
          </w:p>
        </w:tc>
        <w:tc>
          <w:tcPr>
            <w:tcW w:w="1140" w:type="dxa"/>
            <w:vAlign w:val="bottom"/>
          </w:tcPr>
          <w:p>
            <w:pPr>
              <w:jc w:val="right"/>
              <w:ind w:right="237"/>
              <w:spacing w:after="0"/>
              <w:rPr>
                <w:sz w:val="20"/>
                <w:szCs w:val="20"/>
                <w:color w:val="auto"/>
              </w:rPr>
            </w:pPr>
            <w:r>
              <w:rPr>
                <w:rFonts w:ascii="Arial" w:cs="Arial" w:eastAsia="Arial" w:hAnsi="Arial"/>
                <w:sz w:val="18"/>
                <w:szCs w:val="18"/>
                <w:color w:val="auto"/>
              </w:rPr>
              <w:t>20,600</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35,000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resources</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20,000</w:t>
            </w:r>
          </w:p>
        </w:tc>
        <w:tc>
          <w:tcPr>
            <w:tcW w:w="1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33,766</w:t>
            </w:r>
          </w:p>
        </w:tc>
      </w:tr>
    </w:tbl>
    <w:p>
      <w:pPr>
        <w:spacing w:after="0" w:line="94"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On June 30, 2011, we had an outstanding balance of $20.6 million related to our U.S. Bank 1-year term loan facility. Our term loan, along with our line of credit and available cash, was utilized to finance the acquisition of Enson Assets Limited and to pay related transaction costs, fees, and expenses. Amounts paid or prepaid on the term loan may not be re-borrowed. The minimum principal payments for the term loan are $2.2 million each quarter. The remaining principal and interest payments are due on July 5 and October 5 of 2011. In addition, a final payment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equal to the unpaid principal balance plus accrued interest is due on the term loan maturity date. The term loan maturity date is November 1, 2011.</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cash balances are held in numerous locations throughout the world, including substantial amounts held outside of the United States.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30, 2011, we had approximately $5.8 million, $7.8 million, $23.0 million, $0.4 million and $0.9 million of cash and cash equivalents in the United States, Europe, Asia, Cayman Islands, and South America, respectively. On December 31, 2010, we had approximately $6.5 million, $15.0 million, $27.8 million, $4.0 million, and $0.9 million of cash and cash equivalents in the United States, Europe, Asia, Cayman Islands and South America,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regarding our credit facilities, see “ITEM 3. QUANTITATIVE AND QUALITATIVE DISCLOSURES ABOUT MARKET RISK.”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2010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62"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failure of our markets or customers to continue growing and expanding in the manner we anticipated;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inability to attract and retain quality workforce at adequate levels in all regions of the world, particularly Asia;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effects that product mix ordered and required by our customers have on our margins;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effects that product ordering patterns by our customers have on our manufacturing capacities;</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effects of natural or other events beyond our control, including the effects of earthquakes, Tsunamis, wars or terrorist activities may have on us, the economy or our customers, including most particularly the effects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recent earthquake and subsequent Tsunami on Japan, its economy, and our vendors and customers doing business and/or residing in Japan;</w:t>
      </w:r>
    </w:p>
    <w:p>
      <w:pPr>
        <w:spacing w:after="0" w:line="140" w:lineRule="exact"/>
        <w:rPr>
          <w:sz w:val="20"/>
          <w:szCs w:val="20"/>
          <w:color w:val="auto"/>
        </w:rPr>
      </w:pPr>
    </w:p>
    <w:p>
      <w:pPr>
        <w:ind w:left="660" w:right="16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and cellular industries not materializing or growing as we believed;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failure to successfully integrate the operations of Enson Assets Limited and its subsidiaries (“Enson”), into our pre-existing operations;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failure of Enson to perform in accordance with our expectations;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obtain orders or maintain our order volume with new and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add profitable complementary products which are accepted by the marketplace;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our inability to continue to obtain adequate quantities of component parts or secure adequate factory production capacity on a timely basis;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successfully integrate any strategic business transaction;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are exposed to interest rate risk related to our term loan and revolving credit line with U.S. Bank. We may withdraw either U.S. dollars or foreign currencies from our credit facilities. Our market risk exposures in connection with the debt are primarily U.S. dollar LIBOR-based floating interest.</w:t>
      </w:r>
    </w:p>
    <w:p>
      <w:pPr>
        <w:spacing w:after="0" w:line="1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June 30, 2011, we had an outstanding balance of $20.6 million related to our U.S. Bank 1-year term loan facility. The term loan maturity date is November 1, 2011. Under the U.S. Bank term loan, we may elect to pay interest based on the bank’s prime rate or LIBOR plus a fixed margin of 1.5%. The applicable LIBOR (1, 3, 6, or 12-month LIBOR) corresponds with the loan period we select. On June 30, 2011, the 1-month LIBOR plus the fixed margin was approximately 1.69% and the bank’s prime rate was 3.25%. If a LIBOR rate loan is prepaid prior to the completion of the loan period, we must pay the bank the difference between the interest the bank would have earned had prepayment not occurred and the interest the bank actually earned.</w:t>
      </w:r>
    </w:p>
    <w:p>
      <w:pPr>
        <w:spacing w:after="0" w:line="5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Under the U.S. Bank secured revolving credit line, we may elect to pay interest based on the bank’s prime rate or LIBOR plus a fixed margin of 1.8%. The applicable LIBOR (1, 3, 6, or 12-month LIBOR) corresponds with the loan period we select. At June 30, 2011, the 12-month LIBOR plus the fixed margin was 2.53% and the bank’s prime rate was 3.25%. If a LIBOR rate loan is prepaid prior to the completion of the loan period, we must pay the bank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difference between the interest the bank would have earned had prepayment not occurred and the interest the bank actually earned. We may prepay prime rate loans in whole or in part at any time without a premium or penalty.</w:t>
      </w:r>
    </w:p>
    <w:p>
      <w:pPr>
        <w:spacing w:after="0" w:line="6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At June 30, 2011, we had wholly owned subsidiaries in the People’s Republic of China, Argentina, Brazil, Cayman Islands, France, Germany, Hong Kong, India, Italy, the Netherlands,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three and six months ended June 30, 2011 were the Euro, British Pound and Chinese Yuan Renminbi.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June 30, 2011, we believe that movements in foreign currency rates may have a material affect on our financial position. We estimate that if the exchange rates for the Euro, British Pound, Chinese Yuan Renminbi, Indian Rupee, and Singapore dollar relative to the U.S. dollar fluctuate 10% from June 30, 2011, net income and total cash flows in the third quarter of 2011 will fluctuate by approximately $2.7 million and $3.5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 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management has excluded Enson Assets Limited from its assessment of internal control over financial reporting as of June 30, 2011 because they were acquired during the fourth quarter of 2010. Enson Assets Limited is a subsidiary whose total assets and total net sales represent 56% and 34%, respectively, of the related consolidated financial statement amounts as of and for the six months ended June 30, 2011.</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Prior to the acquisition, Enson was a private company and was not subject to Securities and Exchange Commission’s Rules on Management’s Report on Internal Control Over Financial Reporting and Certification of Disclosure in Exchange Act Periodic Reports. As a result, it was not possible to conduct an assessment of Enson’s internal control over financial reporting in the period between the acquisition date and the date of management’s assessment. In accordance with SEC guidance, we have excluded Enson from the scope of management’s report on internal control over financial reporting. The period in which management may omit an assessment of an acquired business’s internal control over financial reporting from its assessment of the internal control may not extend beyond one year from the date of acquisition, nor may such assessment be omitted from more than one annual management report on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information set forth above under Note 10 — Commitments and Contingencies — Litigation contained in the “Notes to the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12 through 22 of the Company’s 2010 Annual Report on Form 10-K incorporated herein by reference. These factors may cause our actual results to differ materially from those stated in forward-looking statements contained in this document and elsewhere.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2011, we did not sell any equity securities that were not registered under the Securities Act of 1933.</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At June 30, 2011, we have purchased 610,316 shares of our common stock, leaving 389,684 shares available for purchase under this authorization. Repurchase information for the second quarter of 2011 is set forth by month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April 1, 2011 — April 30, 2011</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28.70</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May 1, 2011 — May 31, 2011</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21,577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25.75</w:t>
            </w:r>
          </w:p>
        </w:tc>
        <w:tc>
          <w:tcPr>
            <w:tcW w:w="280" w:type="dxa"/>
            <w:vAlign w:val="bottom"/>
          </w:tcPr>
          <w:p>
            <w:pPr>
              <w:spacing w:after="0"/>
              <w:rPr>
                <w:sz w:val="18"/>
                <w:szCs w:val="18"/>
                <w:color w:val="auto"/>
              </w:rPr>
            </w:pPr>
          </w:p>
        </w:tc>
        <w:tc>
          <w:tcPr>
            <w:tcW w:w="15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June 1, 2011 — June 30, 2011</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94,402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24.83</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Second Quarter 2011</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123,968</w:t>
            </w:r>
          </w:p>
        </w:tc>
        <w:tc>
          <w:tcPr>
            <w:tcW w:w="30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25.24</w:t>
            </w: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20" w:type="dxa"/>
            <w:vAlign w:val="bottom"/>
            <w:gridSpan w:val="2"/>
          </w:tcPr>
          <w:p>
            <w:pPr>
              <w:jc w:val="right"/>
              <w:ind w:right="401"/>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31.1</w:t>
            </w:r>
          </w:p>
        </w:tc>
        <w:tc>
          <w:tcPr>
            <w:tcW w:w="10560" w:type="dxa"/>
            <w:vAlign w:val="bottom"/>
          </w:tcPr>
          <w:p>
            <w:pPr>
              <w:ind w:left="380"/>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31.2</w:t>
            </w: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Rule 13a-14(a) Certifications of Bryan M. Hackworth, Chief Financial Officer (principal financial officer and principal accounting officer) of</w:t>
            </w:r>
          </w:p>
        </w:tc>
      </w:tr>
      <w:tr>
        <w:trPr>
          <w:trHeight w:val="230"/>
        </w:trPr>
        <w:tc>
          <w:tcPr>
            <w:tcW w:w="70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Universal Electronics Inc.</w:t>
            </w:r>
          </w:p>
        </w:tc>
      </w:tr>
    </w:tbl>
    <w:p>
      <w:pPr>
        <w:spacing w:after="0" w:line="202" w:lineRule="exact"/>
        <w:rPr>
          <w:sz w:val="20"/>
          <w:szCs w:val="20"/>
          <w:color w:val="auto"/>
        </w:rPr>
      </w:pPr>
    </w:p>
    <w:p>
      <w:pPr>
        <w:ind w:left="1080" w:hanging="1072"/>
        <w:spacing w:after="0" w:line="26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420"/>
          </w:cols>
          <w:pgMar w:left="240" w:top="41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22" w:lineRule="exact"/>
        <w:rPr>
          <w:sz w:val="20"/>
          <w:szCs w:val="20"/>
          <w:color w:val="auto"/>
        </w:rPr>
      </w:pPr>
    </w:p>
    <w:p>
      <w:pPr>
        <w:sectPr>
          <w:pgSz w:w="11900" w:h="16838" w:orient="portrait"/>
          <w:cols w:equalWidth="0" w:num="2">
            <w:col w:w="800" w:space="280"/>
            <w:col w:w="1034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860" w:space="220"/>
            <w:col w:w="10340"/>
          </w:cols>
          <w:pgMar w:left="240" w:top="41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22" w:lineRule="exact"/>
        <w:rPr>
          <w:sz w:val="20"/>
          <w:szCs w:val="20"/>
          <w:color w:val="auto"/>
        </w:rPr>
      </w:pPr>
    </w:p>
    <w:p>
      <w:pPr>
        <w:sectPr>
          <w:pgSz w:w="11900" w:h="16838" w:orient="portrait"/>
          <w:cols w:equalWidth="0" w:num="2">
            <w:col w:w="860" w:space="220"/>
            <w:col w:w="1034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22" w:lineRule="exact"/>
        <w:rPr>
          <w:sz w:val="20"/>
          <w:szCs w:val="20"/>
          <w:color w:val="auto"/>
        </w:rPr>
      </w:pPr>
    </w:p>
    <w:p>
      <w:pPr>
        <w:sectPr>
          <w:pgSz w:w="11900" w:h="16838" w:orient="portrait"/>
          <w:cols w:equalWidth="0" w:num="2">
            <w:col w:w="860" w:space="220"/>
            <w:col w:w="1034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218440</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40" w:space="240"/>
            <w:col w:w="10340"/>
          </w:cols>
          <w:pgMar w:left="240" w:top="419" w:right="239" w:bottom="1440" w:gutter="0" w:footer="0" w:header="0"/>
          <w:type w:val="continuous"/>
        </w:sectPr>
      </w:pPr>
    </w:p>
    <w:p>
      <w:pPr>
        <w:spacing w:after="0" w:line="199" w:lineRule="exact"/>
        <w:rPr>
          <w:sz w:val="20"/>
          <w:szCs w:val="20"/>
          <w:color w:val="auto"/>
        </w:rPr>
      </w:pPr>
    </w:p>
    <w:p>
      <w:pPr>
        <w:ind w:left="460" w:right="2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August 9, 2011</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4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24"/>
                <w:szCs w:val="24"/>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r>
      <w:tr>
        <w:trPr>
          <w:trHeight w:val="40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Rule 13a-14(a) Certifications of Bryan M. Hackworth, Chief Financial Officer (principal financial officer and principal accounting officer) of</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Universal Electronics Inc.</w:t>
            </w:r>
          </w:p>
        </w:tc>
      </w:tr>
    </w:tbl>
    <w:p>
      <w:pPr>
        <w:spacing w:after="0" w:line="202" w:lineRule="exact"/>
        <w:rPr>
          <w:sz w:val="20"/>
          <w:szCs w:val="20"/>
          <w:color w:val="auto"/>
        </w:rPr>
      </w:pPr>
    </w:p>
    <w:p>
      <w:pPr>
        <w:ind w:left="1080" w:hanging="1072"/>
        <w:spacing w:after="0" w:line="26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420"/>
          </w:cols>
          <w:pgMar w:left="240" w:top="41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22" w:lineRule="exact"/>
        <w:rPr>
          <w:sz w:val="20"/>
          <w:szCs w:val="20"/>
          <w:color w:val="auto"/>
        </w:rPr>
      </w:pPr>
    </w:p>
    <w:p>
      <w:pPr>
        <w:sectPr>
          <w:pgSz w:w="11900" w:h="16838" w:orient="portrait"/>
          <w:cols w:equalWidth="0" w:num="2">
            <w:col w:w="800" w:space="280"/>
            <w:col w:w="1034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860" w:space="220"/>
            <w:col w:w="10340"/>
          </w:cols>
          <w:pgMar w:left="240" w:top="41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22" w:lineRule="exact"/>
        <w:rPr>
          <w:sz w:val="20"/>
          <w:szCs w:val="20"/>
          <w:color w:val="auto"/>
        </w:rPr>
      </w:pPr>
    </w:p>
    <w:p>
      <w:pPr>
        <w:sectPr>
          <w:pgSz w:w="11900" w:h="16838" w:orient="portrait"/>
          <w:cols w:equalWidth="0" w:num="2">
            <w:col w:w="860" w:space="220"/>
            <w:col w:w="1034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22" w:lineRule="exact"/>
        <w:rPr>
          <w:sz w:val="20"/>
          <w:szCs w:val="20"/>
          <w:color w:val="auto"/>
        </w:rPr>
      </w:pPr>
    </w:p>
    <w:p>
      <w:pPr>
        <w:sectPr>
          <w:pgSz w:w="11900" w:h="16838" w:orient="portrait"/>
          <w:cols w:equalWidth="0" w:num="2">
            <w:col w:w="860" w:space="220"/>
            <w:col w:w="10340"/>
          </w:cols>
          <w:pgMar w:left="240" w:top="4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218440</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40" w:space="240"/>
            <w:col w:w="10340"/>
          </w:cols>
          <w:pgMar w:left="240" w:top="419" w:right="239" w:bottom="1440" w:gutter="0" w:footer="0" w:header="0"/>
          <w:type w:val="continuous"/>
        </w:sectPr>
      </w:pPr>
    </w:p>
    <w:p>
      <w:pPr>
        <w:spacing w:after="0" w:line="199" w:lineRule="exact"/>
        <w:rPr>
          <w:sz w:val="20"/>
          <w:szCs w:val="20"/>
          <w:color w:val="auto"/>
        </w:rPr>
      </w:pPr>
    </w:p>
    <w:p>
      <w:pPr>
        <w:ind w:left="460" w:right="2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9"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240" w:right="60" w:firstLine="221"/>
        <w:spacing w:after="0" w:line="277"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240" w:right="60" w:firstLine="221"/>
        <w:spacing w:after="0" w:line="277"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5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2011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Dated: August 9, 2011</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D. Arling</w:t>
            </w:r>
          </w:p>
        </w:tc>
      </w:tr>
      <w:tr>
        <w:trPr>
          <w:trHeight w:val="224"/>
        </w:trPr>
        <w:tc>
          <w:tcPr>
            <w:tcW w:w="3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634"/>
        </w:trPr>
        <w:tc>
          <w:tcPr>
            <w:tcW w:w="3500" w:type="dxa"/>
            <w:vAlign w:val="bottom"/>
          </w:tcPr>
          <w:p>
            <w:pPr>
              <w:spacing w:after="0"/>
              <w:rPr>
                <w:sz w:val="24"/>
                <w:szCs w:val="24"/>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Bryan M. Hackworth</w:t>
            </w:r>
          </w:p>
        </w:tc>
      </w:tr>
      <w:tr>
        <w:trPr>
          <w:trHeight w:val="224"/>
        </w:trPr>
        <w:tc>
          <w:tcPr>
            <w:tcW w:w="3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32"/>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32"/>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2019-12-10T04:14:18Z</dcterms:created>
  <dcterms:modified xsi:type="dcterms:W3CDTF">2019-12-10T04:14:18Z</dcterms:modified>
</cp:coreProperties>
</file>