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20"/>
        <w:spacing w:after="0" w:line="237"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_______________________________________</w:t>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29"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_______________________________________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15" w:lineRule="exact"/>
        <w:rPr>
          <w:sz w:val="24"/>
          <w:szCs w:val="24"/>
          <w:color w:val="auto"/>
        </w:rPr>
      </w:pPr>
    </w:p>
    <w:p>
      <w:pPr>
        <w:ind w:left="680" w:right="100" w:hanging="654"/>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3" w:lineRule="exact"/>
        <w:rPr>
          <w:sz w:val="24"/>
          <w:szCs w:val="24"/>
          <w:color w:val="auto"/>
        </w:rPr>
      </w:pPr>
    </w:p>
    <w:p>
      <w:pPr>
        <w:ind w:left="3480"/>
        <w:spacing w:after="0"/>
        <w:rPr>
          <w:sz w:val="20"/>
          <w:szCs w:val="20"/>
          <w:color w:val="auto"/>
        </w:rPr>
      </w:pPr>
      <w:r>
        <w:rPr>
          <w:rFonts w:ascii="Arial" w:cs="Arial" w:eastAsia="Arial" w:hAnsi="Arial"/>
          <w:sz w:val="22"/>
          <w:szCs w:val="22"/>
          <w:b w:val="1"/>
          <w:bCs w:val="1"/>
          <w:color w:val="auto"/>
        </w:rPr>
        <w:t>For the quarterly period ended September 30, 2020</w:t>
      </w:r>
    </w:p>
    <w:p>
      <w:pPr>
        <w:spacing w:after="0" w:line="58" w:lineRule="exact"/>
        <w:rPr>
          <w:sz w:val="24"/>
          <w:szCs w:val="24"/>
          <w:color w:val="auto"/>
        </w:rPr>
      </w:pPr>
    </w:p>
    <w:p>
      <w:pPr>
        <w:ind w:left="5460"/>
        <w:spacing w:after="0"/>
        <w:rPr>
          <w:sz w:val="20"/>
          <w:szCs w:val="20"/>
          <w:color w:val="auto"/>
        </w:rPr>
      </w:pPr>
      <w:r>
        <w:rPr>
          <w:rFonts w:ascii="Arial" w:cs="Arial" w:eastAsia="Arial" w:hAnsi="Arial"/>
          <w:sz w:val="22"/>
          <w:szCs w:val="22"/>
          <w:b w:val="1"/>
          <w:bCs w:val="1"/>
          <w:color w:val="auto"/>
        </w:rPr>
        <w:t>OR</w:t>
      </w:r>
    </w:p>
    <w:p>
      <w:pPr>
        <w:spacing w:after="0" w:line="112" w:lineRule="exact"/>
        <w:rPr>
          <w:sz w:val="24"/>
          <w:szCs w:val="24"/>
          <w:color w:val="auto"/>
        </w:rPr>
      </w:pPr>
    </w:p>
    <w:p>
      <w:pPr>
        <w:ind w:left="680" w:right="80" w:hanging="654"/>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5" w:lineRule="exact"/>
        <w:rPr>
          <w:sz w:val="24"/>
          <w:szCs w:val="24"/>
          <w:color w:val="auto"/>
        </w:rPr>
      </w:pPr>
    </w:p>
    <w:p>
      <w:pPr>
        <w:ind w:left="460"/>
        <w:spacing w:after="0"/>
        <w:tabs>
          <w:tab w:leader="none" w:pos="388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9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Commission File Number: 0-21044</w:t>
      </w:r>
    </w:p>
    <w:p>
      <w:pPr>
        <w:spacing w:after="0" w:line="19"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_______________________________________</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UNIVERSAL ELECTRONICS INC.</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6" w:lineRule="exact"/>
        <w:rPr>
          <w:sz w:val="24"/>
          <w:szCs w:val="24"/>
          <w:color w:val="auto"/>
        </w:rPr>
      </w:pPr>
    </w:p>
    <w:tbl>
      <w:tblPr>
        <w:tblLayout w:type="fixed"/>
        <w:tblInd w:w="2300" w:type="dxa"/>
        <w:tblCellMar>
          <w:top w:w="0" w:type="dxa"/>
          <w:left w:w="0" w:type="dxa"/>
          <w:bottom w:w="0" w:type="dxa"/>
          <w:right w:w="0" w:type="dxa"/>
        </w:tblCellMar>
      </w:tblPr>
      <w:tr>
        <w:trPr>
          <w:trHeight w:val="256"/>
        </w:trPr>
        <w:tc>
          <w:tcPr>
            <w:tcW w:w="3600" w:type="dxa"/>
            <w:vAlign w:val="bottom"/>
          </w:tcPr>
          <w:p>
            <w:pPr>
              <w:jc w:val="center"/>
              <w:ind w:right="1067"/>
              <w:spacing w:after="0"/>
              <w:rPr>
                <w:sz w:val="20"/>
                <w:szCs w:val="20"/>
                <w:color w:val="auto"/>
              </w:rPr>
            </w:pPr>
            <w:r>
              <w:rPr>
                <w:rFonts w:ascii="Arial" w:cs="Arial" w:eastAsia="Arial" w:hAnsi="Arial"/>
                <w:sz w:val="20"/>
                <w:szCs w:val="20"/>
                <w:b w:val="1"/>
                <w:bCs w:val="1"/>
                <w:color w:val="auto"/>
                <w:w w:val="91"/>
              </w:rPr>
              <w:t>Delaware</w:t>
            </w:r>
          </w:p>
        </w:tc>
        <w:tc>
          <w:tcPr>
            <w:tcW w:w="2600" w:type="dxa"/>
            <w:vAlign w:val="bottom"/>
          </w:tcPr>
          <w:p>
            <w:pPr>
              <w:jc w:val="center"/>
              <w:ind w:left="1087"/>
              <w:spacing w:after="0"/>
              <w:rPr>
                <w:sz w:val="20"/>
                <w:szCs w:val="20"/>
                <w:color w:val="auto"/>
              </w:rPr>
            </w:pPr>
            <w:r>
              <w:rPr>
                <w:rFonts w:ascii="Arial" w:cs="Arial" w:eastAsia="Arial" w:hAnsi="Arial"/>
                <w:sz w:val="20"/>
                <w:szCs w:val="20"/>
                <w:b w:val="1"/>
                <w:bCs w:val="1"/>
                <w:color w:val="auto"/>
                <w:w w:val="88"/>
              </w:rPr>
              <w:t>33-0204817</w:t>
            </w:r>
          </w:p>
        </w:tc>
      </w:tr>
      <w:tr>
        <w:trPr>
          <w:trHeight w:val="185"/>
        </w:trPr>
        <w:tc>
          <w:tcPr>
            <w:tcW w:w="3600" w:type="dxa"/>
            <w:vAlign w:val="bottom"/>
          </w:tcPr>
          <w:p>
            <w:pPr>
              <w:jc w:val="center"/>
              <w:ind w:right="1087"/>
              <w:spacing w:after="0" w:line="185" w:lineRule="exact"/>
              <w:rPr>
                <w:sz w:val="20"/>
                <w:szCs w:val="20"/>
                <w:color w:val="auto"/>
              </w:rPr>
            </w:pPr>
            <w:r>
              <w:rPr>
                <w:rFonts w:ascii="Arial" w:cs="Arial" w:eastAsia="Arial" w:hAnsi="Arial"/>
                <w:sz w:val="18"/>
                <w:szCs w:val="18"/>
                <w:b w:val="1"/>
                <w:bCs w:val="1"/>
                <w:color w:val="auto"/>
                <w:w w:val="91"/>
              </w:rPr>
              <w:t>(State or Other Jurisdiction of</w:t>
            </w:r>
          </w:p>
        </w:tc>
        <w:tc>
          <w:tcPr>
            <w:tcW w:w="2600" w:type="dxa"/>
            <w:vAlign w:val="bottom"/>
          </w:tcPr>
          <w:p>
            <w:pPr>
              <w:jc w:val="center"/>
              <w:ind w:left="1087"/>
              <w:spacing w:after="0" w:line="18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600" w:type="dxa"/>
            <w:vAlign w:val="bottom"/>
          </w:tcPr>
          <w:p>
            <w:pPr>
              <w:jc w:val="center"/>
              <w:ind w:right="1087"/>
              <w:spacing w:after="0"/>
              <w:rPr>
                <w:sz w:val="20"/>
                <w:szCs w:val="20"/>
                <w:color w:val="auto"/>
              </w:rPr>
            </w:pPr>
            <w:r>
              <w:rPr>
                <w:rFonts w:ascii="Arial" w:cs="Arial" w:eastAsia="Arial" w:hAnsi="Arial"/>
                <w:sz w:val="18"/>
                <w:szCs w:val="18"/>
                <w:b w:val="1"/>
                <w:bCs w:val="1"/>
                <w:color w:val="auto"/>
                <w:w w:val="93"/>
              </w:rPr>
              <w:t>Incorporation or Organization)</w:t>
            </w:r>
          </w:p>
        </w:tc>
        <w:tc>
          <w:tcPr>
            <w:tcW w:w="2600" w:type="dxa"/>
            <w:vAlign w:val="bottom"/>
          </w:tcPr>
          <w:p>
            <w:pPr>
              <w:jc w:val="center"/>
              <w:ind w:left="1087"/>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15147 N. Scottsdale Road, Suite H300, Scottsdale, Arizona 85254-2494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(480) 530-3000</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_____________________</w:t>
      </w:r>
    </w:p>
    <w:p>
      <w:pPr>
        <w:spacing w:after="0" w:line="130"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UEIC</w:t>
            </w:r>
          </w:p>
        </w:tc>
        <w:tc>
          <w:tcPr>
            <w:tcW w:w="4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21"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1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8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jc w:val="both"/>
        <w:ind w:left="20" w:right="160"/>
        <w:spacing w:after="0" w:line="20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13,749,676 shares of Common Stock, par value $0.01 per share, of the registrant were outstanding on November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773"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8660" w:type="dxa"/>
            <w:vAlign w:val="bottom"/>
          </w:tcPr>
          <w:p>
            <w:pPr>
              <w:ind w:left="4200"/>
              <w:spacing w:after="0"/>
              <w:rPr>
                <w:sz w:val="20"/>
                <w:szCs w:val="20"/>
                <w:color w:val="auto"/>
              </w:rPr>
            </w:pPr>
            <w:r>
              <w:rPr>
                <w:rFonts w:ascii="Arial" w:cs="Arial" w:eastAsia="Arial" w:hAnsi="Arial"/>
                <w:sz w:val="18"/>
                <w:szCs w:val="18"/>
                <w:b w:val="1"/>
                <w:bCs w:val="1"/>
                <w:color w:val="auto"/>
              </w:rPr>
              <w:t>UNIVERSAL ELECTRONICS INC.</w:t>
            </w:r>
          </w:p>
        </w:tc>
        <w:tc>
          <w:tcPr>
            <w:tcW w:w="1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4"/>
        </w:trPr>
        <w:tc>
          <w:tcPr>
            <w:tcW w:w="8660" w:type="dxa"/>
            <w:vAlign w:val="bottom"/>
          </w:tcPr>
          <w:p>
            <w:pPr>
              <w:ind w:left="5340"/>
              <w:spacing w:after="0"/>
              <w:rPr>
                <w:sz w:val="20"/>
                <w:szCs w:val="20"/>
                <w:color w:val="auto"/>
              </w:rPr>
            </w:pPr>
            <w:r>
              <w:rPr>
                <w:rFonts w:ascii="Arial" w:cs="Arial" w:eastAsia="Arial" w:hAnsi="Arial"/>
                <w:sz w:val="18"/>
                <w:szCs w:val="18"/>
                <w:b w:val="1"/>
                <w:bCs w:val="1"/>
                <w:color w:val="auto"/>
              </w:rPr>
              <w:t>INDEX</w:t>
            </w:r>
          </w:p>
        </w:tc>
        <w:tc>
          <w:tcPr>
            <w:tcW w:w="1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46"/>
        </w:trPr>
        <w:tc>
          <w:tcPr>
            <w:tcW w:w="8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Page</w:t>
            </w:r>
          </w:p>
        </w:tc>
      </w:tr>
      <w:tr>
        <w:trPr>
          <w:trHeight w:val="148"/>
        </w:trPr>
        <w:tc>
          <w:tcPr>
            <w:tcW w:w="8660" w:type="dxa"/>
            <w:vAlign w:val="bottom"/>
          </w:tcPr>
          <w:p>
            <w:pPr>
              <w:spacing w:after="0"/>
              <w:rPr>
                <w:sz w:val="12"/>
                <w:szCs w:val="12"/>
                <w:color w:val="auto"/>
              </w:rPr>
            </w:pPr>
          </w:p>
        </w:tc>
        <w:tc>
          <w:tcPr>
            <w:tcW w:w="258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Number</w:t>
            </w:r>
          </w:p>
        </w:tc>
      </w:tr>
      <w:tr>
        <w:trPr>
          <w:trHeight w:val="249"/>
        </w:trPr>
        <w:tc>
          <w:tcPr>
            <w:tcW w:w="8660" w:type="dxa"/>
            <w:vAlign w:val="bottom"/>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tc>
        <w:tc>
          <w:tcPr>
            <w:tcW w:w="1640" w:type="dxa"/>
            <w:vAlign w:val="bottom"/>
          </w:tcPr>
          <w:p>
            <w:pPr>
              <w:spacing w:after="0"/>
              <w:rPr>
                <w:sz w:val="21"/>
                <w:szCs w:val="21"/>
                <w:color w:val="auto"/>
              </w:rPr>
            </w:pPr>
          </w:p>
        </w:tc>
        <w:tc>
          <w:tcPr>
            <w:tcW w:w="500" w:type="dxa"/>
            <w:vAlign w:val="bottom"/>
            <w:tcBorders>
              <w:top w:val="single" w:sz="8" w:color="auto"/>
            </w:tcBorders>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3</w:t>
              </w:r>
            </w:hyperlink>
          </w:p>
        </w:tc>
        <w:tc>
          <w:tcPr>
            <w:tcW w:w="440" w:type="dxa"/>
            <w:vAlign w:val="bottom"/>
          </w:tcPr>
          <w:p>
            <w:pPr>
              <w:spacing w:after="0"/>
              <w:rPr>
                <w:sz w:val="21"/>
                <w:szCs w:val="21"/>
                <w:color w:val="auto"/>
              </w:rPr>
            </w:pPr>
          </w:p>
        </w:tc>
      </w:tr>
      <w:tr>
        <w:trPr>
          <w:trHeight w:val="229"/>
        </w:trPr>
        <w:tc>
          <w:tcPr>
            <w:tcW w:w="8660" w:type="dxa"/>
            <w:vAlign w:val="bottom"/>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Consolidated Financial Statements (Unaudited)</w:t>
              </w:r>
            </w:hyperlink>
          </w:p>
        </w:tc>
        <w:tc>
          <w:tcPr>
            <w:tcW w:w="2140" w:type="dxa"/>
            <w:vAlign w:val="bottom"/>
            <w:gridSpan w:val="2"/>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c>
          <w:tcPr>
            <w:tcW w:w="440" w:type="dxa"/>
            <w:vAlign w:val="bottom"/>
          </w:tcPr>
          <w:p>
            <w:pPr>
              <w:spacing w:after="0"/>
              <w:rPr>
                <w:sz w:val="19"/>
                <w:szCs w:val="19"/>
                <w:color w:val="auto"/>
              </w:rPr>
            </w:pPr>
          </w:p>
        </w:tc>
      </w:tr>
      <w:tr>
        <w:trPr>
          <w:trHeight w:val="230"/>
        </w:trPr>
        <w:tc>
          <w:tcPr>
            <w:tcW w:w="8660" w:type="dxa"/>
            <w:vAlign w:val="bottom"/>
          </w:tcPr>
          <w:p>
            <w:pPr>
              <w:ind w:left="2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Balance Sheets</w:t>
              </w:r>
            </w:hyperlink>
          </w:p>
        </w:tc>
        <w:tc>
          <w:tcPr>
            <w:tcW w:w="2140" w:type="dxa"/>
            <w:vAlign w:val="bottom"/>
            <w:gridSpan w:val="2"/>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c>
          <w:tcPr>
            <w:tcW w:w="440" w:type="dxa"/>
            <w:vAlign w:val="bottom"/>
          </w:tcPr>
          <w:p>
            <w:pPr>
              <w:spacing w:after="0"/>
              <w:rPr>
                <w:sz w:val="19"/>
                <w:szCs w:val="19"/>
                <w:color w:val="auto"/>
              </w:rPr>
            </w:pPr>
          </w:p>
        </w:tc>
      </w:tr>
      <w:tr>
        <w:trPr>
          <w:trHeight w:val="229"/>
        </w:trPr>
        <w:tc>
          <w:tcPr>
            <w:tcW w:w="8660" w:type="dxa"/>
            <w:vAlign w:val="bottom"/>
          </w:tcPr>
          <w:p>
            <w:pPr>
              <w:ind w:left="2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Statements of Operations</w:t>
              </w:r>
            </w:hyperlink>
          </w:p>
        </w:tc>
        <w:tc>
          <w:tcPr>
            <w:tcW w:w="2140" w:type="dxa"/>
            <w:vAlign w:val="bottom"/>
            <w:gridSpan w:val="2"/>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c>
          <w:tcPr>
            <w:tcW w:w="440" w:type="dxa"/>
            <w:vAlign w:val="bottom"/>
          </w:tcPr>
          <w:p>
            <w:pPr>
              <w:spacing w:after="0"/>
              <w:rPr>
                <w:sz w:val="19"/>
                <w:szCs w:val="19"/>
                <w:color w:val="auto"/>
              </w:rPr>
            </w:pPr>
          </w:p>
        </w:tc>
      </w:tr>
      <w:tr>
        <w:trPr>
          <w:trHeight w:val="229"/>
        </w:trPr>
        <w:tc>
          <w:tcPr>
            <w:tcW w:w="8660" w:type="dxa"/>
            <w:vAlign w:val="bottom"/>
          </w:tcPr>
          <w:p>
            <w:pPr>
              <w:ind w:left="2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Comprehensive Income (Loss) Statements</w:t>
              </w:r>
            </w:hyperlink>
          </w:p>
        </w:tc>
        <w:tc>
          <w:tcPr>
            <w:tcW w:w="2140" w:type="dxa"/>
            <w:vAlign w:val="bottom"/>
            <w:gridSpan w:val="2"/>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c>
          <w:tcPr>
            <w:tcW w:w="440" w:type="dxa"/>
            <w:vAlign w:val="bottom"/>
          </w:tcPr>
          <w:p>
            <w:pPr>
              <w:spacing w:after="0"/>
              <w:rPr>
                <w:sz w:val="19"/>
                <w:szCs w:val="19"/>
                <w:color w:val="auto"/>
              </w:rPr>
            </w:pPr>
          </w:p>
        </w:tc>
      </w:tr>
      <w:tr>
        <w:trPr>
          <w:trHeight w:val="230"/>
        </w:trPr>
        <w:tc>
          <w:tcPr>
            <w:tcW w:w="8660" w:type="dxa"/>
            <w:vAlign w:val="bottom"/>
          </w:tcPr>
          <w:p>
            <w:pPr>
              <w:ind w:left="2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Statements of Stockholders' Equity</w:t>
              </w:r>
            </w:hyperlink>
          </w:p>
        </w:tc>
        <w:tc>
          <w:tcPr>
            <w:tcW w:w="2140" w:type="dxa"/>
            <w:vAlign w:val="bottom"/>
            <w:gridSpan w:val="2"/>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c>
          <w:tcPr>
            <w:tcW w:w="440" w:type="dxa"/>
            <w:vAlign w:val="bottom"/>
          </w:tcPr>
          <w:p>
            <w:pPr>
              <w:spacing w:after="0"/>
              <w:rPr>
                <w:sz w:val="19"/>
                <w:szCs w:val="19"/>
                <w:color w:val="auto"/>
              </w:rPr>
            </w:pPr>
          </w:p>
        </w:tc>
      </w:tr>
      <w:tr>
        <w:trPr>
          <w:trHeight w:val="229"/>
        </w:trPr>
        <w:tc>
          <w:tcPr>
            <w:tcW w:w="8660" w:type="dxa"/>
            <w:vAlign w:val="bottom"/>
          </w:tcPr>
          <w:p>
            <w:pPr>
              <w:ind w:left="2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Consolidated Statements of Cash Flows</w:t>
              </w:r>
            </w:hyperlink>
          </w:p>
        </w:tc>
        <w:tc>
          <w:tcPr>
            <w:tcW w:w="2140" w:type="dxa"/>
            <w:vAlign w:val="bottom"/>
            <w:gridSpan w:val="2"/>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c>
          <w:tcPr>
            <w:tcW w:w="440" w:type="dxa"/>
            <w:vAlign w:val="bottom"/>
          </w:tcPr>
          <w:p>
            <w:pPr>
              <w:spacing w:after="0"/>
              <w:rPr>
                <w:sz w:val="19"/>
                <w:szCs w:val="19"/>
                <w:color w:val="auto"/>
              </w:rPr>
            </w:pPr>
          </w:p>
        </w:tc>
      </w:tr>
      <w:tr>
        <w:trPr>
          <w:trHeight w:val="230"/>
        </w:trPr>
        <w:tc>
          <w:tcPr>
            <w:tcW w:w="8660" w:type="dxa"/>
            <w:vAlign w:val="bottom"/>
          </w:tcPr>
          <w:p>
            <w:pPr>
              <w:ind w:left="2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Consolidated Financial Statements</w:t>
              </w:r>
            </w:hyperlink>
          </w:p>
        </w:tc>
        <w:tc>
          <w:tcPr>
            <w:tcW w:w="2140" w:type="dxa"/>
            <w:vAlign w:val="bottom"/>
            <w:gridSpan w:val="2"/>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9</w:t>
              </w:r>
            </w:hyperlink>
          </w:p>
        </w:tc>
        <w:tc>
          <w:tcPr>
            <w:tcW w:w="440" w:type="dxa"/>
            <w:vAlign w:val="bottom"/>
          </w:tcPr>
          <w:p>
            <w:pPr>
              <w:spacing w:after="0"/>
              <w:rPr>
                <w:sz w:val="19"/>
                <w:szCs w:val="19"/>
                <w:color w:val="auto"/>
              </w:rPr>
            </w:pPr>
          </w:p>
        </w:tc>
      </w:tr>
      <w:tr>
        <w:trPr>
          <w:trHeight w:val="229"/>
        </w:trPr>
        <w:tc>
          <w:tcPr>
            <w:tcW w:w="8660" w:type="dxa"/>
            <w:vAlign w:val="bottom"/>
          </w:tcPr>
          <w:p>
            <w:pPr>
              <w:ind w:left="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2. Management's Discussion and Analysis of Financial Condition and Results of Operations</w:t>
              </w:r>
            </w:hyperlink>
          </w:p>
        </w:tc>
        <w:tc>
          <w:tcPr>
            <w:tcW w:w="2140" w:type="dxa"/>
            <w:vAlign w:val="bottom"/>
            <w:gridSpan w:val="2"/>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26</w:t>
              </w:r>
            </w:hyperlink>
          </w:p>
        </w:tc>
        <w:tc>
          <w:tcPr>
            <w:tcW w:w="440" w:type="dxa"/>
            <w:vAlign w:val="bottom"/>
          </w:tcPr>
          <w:p>
            <w:pPr>
              <w:spacing w:after="0"/>
              <w:rPr>
                <w:sz w:val="19"/>
                <w:szCs w:val="19"/>
                <w:color w:val="auto"/>
              </w:rPr>
            </w:pPr>
          </w:p>
        </w:tc>
      </w:tr>
      <w:tr>
        <w:trPr>
          <w:trHeight w:val="229"/>
        </w:trPr>
        <w:tc>
          <w:tcPr>
            <w:tcW w:w="8660" w:type="dxa"/>
            <w:vAlign w:val="bottom"/>
          </w:tcPr>
          <w:p>
            <w:pPr>
              <w:ind w:left="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Item 3. Quantitative and Qualitative Disclosures About Market Risk</w:t>
              </w:r>
            </w:hyperlink>
          </w:p>
        </w:tc>
        <w:tc>
          <w:tcPr>
            <w:tcW w:w="2140" w:type="dxa"/>
            <w:vAlign w:val="bottom"/>
            <w:gridSpan w:val="2"/>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33</w:t>
              </w:r>
            </w:hyperlink>
          </w:p>
        </w:tc>
        <w:tc>
          <w:tcPr>
            <w:tcW w:w="440" w:type="dxa"/>
            <w:vAlign w:val="bottom"/>
          </w:tcPr>
          <w:p>
            <w:pPr>
              <w:spacing w:after="0"/>
              <w:rPr>
                <w:sz w:val="19"/>
                <w:szCs w:val="19"/>
                <w:color w:val="auto"/>
              </w:rPr>
            </w:pPr>
          </w:p>
        </w:tc>
      </w:tr>
      <w:tr>
        <w:trPr>
          <w:trHeight w:val="226"/>
        </w:trPr>
        <w:tc>
          <w:tcPr>
            <w:tcW w:w="8660" w:type="dxa"/>
            <w:vAlign w:val="bottom"/>
          </w:tcPr>
          <w:p>
            <w:pPr>
              <w:ind w:left="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Item 4. Controls and Procedures</w:t>
              </w:r>
            </w:hyperlink>
          </w:p>
        </w:tc>
        <w:tc>
          <w:tcPr>
            <w:tcW w:w="2140" w:type="dxa"/>
            <w:vAlign w:val="bottom"/>
            <w:gridSpan w:val="2"/>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34</w:t>
              </w:r>
            </w:hyperlink>
          </w:p>
        </w:tc>
        <w:tc>
          <w:tcPr>
            <w:tcW w:w="440" w:type="dxa"/>
            <w:vAlign w:val="bottom"/>
          </w:tcPr>
          <w:p>
            <w:pPr>
              <w:spacing w:after="0"/>
              <w:rPr>
                <w:sz w:val="19"/>
                <w:szCs w:val="19"/>
                <w:color w:val="auto"/>
              </w:rPr>
            </w:pPr>
          </w:p>
        </w:tc>
      </w:tr>
      <w:tr>
        <w:trPr>
          <w:trHeight w:val="233"/>
        </w:trPr>
        <w:tc>
          <w:tcPr>
            <w:tcW w:w="8660" w:type="dxa"/>
            <w:vAlign w:val="bottom"/>
          </w:tcPr>
          <w:p>
            <w:pPr>
              <w:ind w:left="20"/>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PART II. OTHER INFORMATION</w:t>
              </w:r>
            </w:hyperlink>
          </w:p>
        </w:tc>
        <w:tc>
          <w:tcPr>
            <w:tcW w:w="2140" w:type="dxa"/>
            <w:vAlign w:val="bottom"/>
            <w:gridSpan w:val="2"/>
          </w:tcPr>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34</w:t>
              </w:r>
            </w:hyperlink>
          </w:p>
        </w:tc>
        <w:tc>
          <w:tcPr>
            <w:tcW w:w="440" w:type="dxa"/>
            <w:vAlign w:val="bottom"/>
          </w:tcPr>
          <w:p>
            <w:pPr>
              <w:spacing w:after="0"/>
              <w:rPr>
                <w:sz w:val="20"/>
                <w:szCs w:val="20"/>
                <w:color w:val="auto"/>
              </w:rPr>
            </w:pPr>
          </w:p>
        </w:tc>
      </w:tr>
      <w:tr>
        <w:trPr>
          <w:trHeight w:val="229"/>
        </w:trPr>
        <w:tc>
          <w:tcPr>
            <w:tcW w:w="8660" w:type="dxa"/>
            <w:vAlign w:val="bottom"/>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1. Legal Proceedings</w:t>
              </w:r>
            </w:hyperlink>
          </w:p>
        </w:tc>
        <w:tc>
          <w:tcPr>
            <w:tcW w:w="2140" w:type="dxa"/>
            <w:vAlign w:val="bottom"/>
            <w:gridSpan w:val="2"/>
          </w:tcPr>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34</w:t>
              </w:r>
            </w:hyperlink>
          </w:p>
        </w:tc>
        <w:tc>
          <w:tcPr>
            <w:tcW w:w="440" w:type="dxa"/>
            <w:vAlign w:val="bottom"/>
          </w:tcPr>
          <w:p>
            <w:pPr>
              <w:spacing w:after="0"/>
              <w:rPr>
                <w:sz w:val="19"/>
                <w:szCs w:val="19"/>
                <w:color w:val="auto"/>
              </w:rPr>
            </w:pPr>
          </w:p>
        </w:tc>
      </w:tr>
      <w:tr>
        <w:trPr>
          <w:trHeight w:val="230"/>
        </w:trPr>
        <w:tc>
          <w:tcPr>
            <w:tcW w:w="8660" w:type="dxa"/>
            <w:vAlign w:val="bottom"/>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1A. Risk Factors</w:t>
              </w:r>
            </w:hyperlink>
          </w:p>
        </w:tc>
        <w:tc>
          <w:tcPr>
            <w:tcW w:w="2140" w:type="dxa"/>
            <w:vAlign w:val="bottom"/>
            <w:gridSpan w:val="2"/>
          </w:tcPr>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34</w:t>
              </w:r>
            </w:hyperlink>
          </w:p>
        </w:tc>
        <w:tc>
          <w:tcPr>
            <w:tcW w:w="440" w:type="dxa"/>
            <w:vAlign w:val="bottom"/>
          </w:tcPr>
          <w:p>
            <w:pPr>
              <w:spacing w:after="0"/>
              <w:rPr>
                <w:sz w:val="19"/>
                <w:szCs w:val="19"/>
                <w:color w:val="auto"/>
              </w:rPr>
            </w:pPr>
          </w:p>
        </w:tc>
      </w:tr>
      <w:tr>
        <w:trPr>
          <w:trHeight w:val="229"/>
        </w:trPr>
        <w:tc>
          <w:tcPr>
            <w:tcW w:w="866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2. Unregistered Sales of Equity Securities and Use of Proceeds</w:t>
              </w:r>
            </w:hyperlink>
          </w:p>
        </w:tc>
        <w:tc>
          <w:tcPr>
            <w:tcW w:w="2140" w:type="dxa"/>
            <w:vAlign w:val="bottom"/>
            <w:gridSpan w:val="2"/>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35</w:t>
              </w:r>
            </w:hyperlink>
          </w:p>
        </w:tc>
        <w:tc>
          <w:tcPr>
            <w:tcW w:w="440" w:type="dxa"/>
            <w:vAlign w:val="bottom"/>
          </w:tcPr>
          <w:p>
            <w:pPr>
              <w:spacing w:after="0"/>
              <w:rPr>
                <w:sz w:val="19"/>
                <w:szCs w:val="19"/>
                <w:color w:val="auto"/>
              </w:rPr>
            </w:pPr>
          </w:p>
        </w:tc>
      </w:tr>
      <w:tr>
        <w:trPr>
          <w:trHeight w:val="230"/>
        </w:trPr>
        <w:tc>
          <w:tcPr>
            <w:tcW w:w="866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6. Exhibits</w:t>
              </w:r>
            </w:hyperlink>
          </w:p>
        </w:tc>
        <w:tc>
          <w:tcPr>
            <w:tcW w:w="2140" w:type="dxa"/>
            <w:vAlign w:val="bottom"/>
            <w:gridSpan w:val="2"/>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36</w:t>
              </w:r>
            </w:hyperlink>
          </w:p>
        </w:tc>
        <w:tc>
          <w:tcPr>
            <w:tcW w:w="440" w:type="dxa"/>
            <w:vAlign w:val="bottom"/>
          </w:tcPr>
          <w:p>
            <w:pPr>
              <w:spacing w:after="0"/>
              <w:rPr>
                <w:sz w:val="19"/>
                <w:szCs w:val="19"/>
                <w:color w:val="auto"/>
              </w:rPr>
            </w:pPr>
          </w:p>
        </w:tc>
      </w:tr>
      <w:tr>
        <w:trPr>
          <w:trHeight w:val="230"/>
        </w:trPr>
        <w:tc>
          <w:tcPr>
            <w:tcW w:w="8660" w:type="dxa"/>
            <w:vAlign w:val="bottom"/>
          </w:tcPr>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Signatures</w:t>
              </w:r>
            </w:hyperlink>
          </w:p>
        </w:tc>
        <w:tc>
          <w:tcPr>
            <w:tcW w:w="2140" w:type="dxa"/>
            <w:vAlign w:val="bottom"/>
            <w:gridSpan w:val="2"/>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37</w:t>
              </w:r>
            </w:hyperlink>
          </w:p>
        </w:tc>
        <w:tc>
          <w:tcPr>
            <w:tcW w:w="440" w:type="dxa"/>
            <w:vAlign w:val="bottom"/>
          </w:tcPr>
          <w:p>
            <w:pPr>
              <w:spacing w:after="0"/>
              <w:rPr>
                <w:sz w:val="20"/>
                <w:szCs w:val="20"/>
                <w:color w:val="auto"/>
              </w:rPr>
            </w:pPr>
          </w:p>
        </w:tc>
      </w:tr>
      <w:tr>
        <w:trPr>
          <w:trHeight w:val="1856"/>
        </w:trPr>
        <w:tc>
          <w:tcPr>
            <w:tcW w:w="86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UNIVERSAL ELECTRONICS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share-related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2020</w:t>
            </w:r>
          </w:p>
        </w:tc>
        <w:tc>
          <w:tcPr>
            <w:tcW w:w="180" w:type="dxa"/>
            <w:vAlign w:val="bottom"/>
          </w:tcPr>
          <w:p>
            <w:pPr>
              <w:spacing w:after="0"/>
              <w:rPr>
                <w:sz w:val="18"/>
                <w:szCs w:val="18"/>
                <w:color w:val="auto"/>
              </w:rPr>
            </w:pPr>
          </w:p>
        </w:tc>
        <w:tc>
          <w:tcPr>
            <w:tcW w:w="1640" w:type="dxa"/>
            <w:vAlign w:val="bottom"/>
          </w:tcPr>
          <w:p>
            <w:pPr>
              <w:jc w:val="right"/>
              <w:ind w:right="170"/>
              <w:spacing w:after="0"/>
              <w:rPr>
                <w:sz w:val="20"/>
                <w:szCs w:val="20"/>
                <w:color w:val="auto"/>
              </w:rPr>
            </w:pPr>
            <w:r>
              <w:rPr>
                <w:rFonts w:ascii="Arial" w:cs="Arial" w:eastAsia="Arial" w:hAnsi="Arial"/>
                <w:sz w:val="16"/>
                <w:szCs w:val="16"/>
                <w:b w:val="1"/>
                <w:bCs w:val="1"/>
                <w:color w:val="auto"/>
                <w:w w:val="94"/>
              </w:rPr>
              <w:t>December 31, 2019</w:t>
            </w:r>
          </w:p>
        </w:tc>
        <w:tc>
          <w:tcPr>
            <w:tcW w:w="0" w:type="dxa"/>
            <w:vAlign w:val="bottom"/>
          </w:tcPr>
          <w:p>
            <w:pPr>
              <w:spacing w:after="0"/>
              <w:rPr>
                <w:sz w:val="1"/>
                <w:szCs w:val="1"/>
                <w:color w:val="auto"/>
              </w:rPr>
            </w:pPr>
          </w:p>
        </w:tc>
      </w:tr>
      <w:tr>
        <w:trPr>
          <w:trHeight w:val="199"/>
        </w:trPr>
        <w:tc>
          <w:tcPr>
            <w:tcW w:w="7480" w:type="dxa"/>
            <w:vAlign w:val="bottom"/>
            <w:tcBorders>
              <w:top w:val="single" w:sz="8" w:color="CCEEFF"/>
            </w:tcBorders>
            <w:shd w:val="clear" w:color="auto" w:fill="CCEEFF"/>
          </w:tcPr>
          <w:p>
            <w:pPr>
              <w:ind w:left="34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74,302</w:t>
            </w:r>
          </w:p>
        </w:tc>
        <w:tc>
          <w:tcPr>
            <w:tcW w:w="0" w:type="dxa"/>
            <w:vAlign w:val="bottom"/>
          </w:tcPr>
          <w:p>
            <w:pPr>
              <w:spacing w:after="0"/>
              <w:rPr>
                <w:sz w:val="1"/>
                <w:szCs w:val="1"/>
                <w:color w:val="auto"/>
              </w:rPr>
            </w:pPr>
          </w:p>
        </w:tc>
      </w:tr>
      <w:tr>
        <w:trPr>
          <w:trHeight w:val="229"/>
        </w:trPr>
        <w:tc>
          <w:tcPr>
            <w:tcW w:w="748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128,094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139,198</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Contract assets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12,579</w:t>
            </w:r>
          </w:p>
        </w:tc>
        <w:tc>
          <w:tcPr>
            <w:tcW w:w="0" w:type="dxa"/>
            <w:vAlign w:val="bottom"/>
          </w:tcPr>
          <w:p>
            <w:pPr>
              <w:spacing w:after="0"/>
              <w:rPr>
                <w:sz w:val="1"/>
                <w:szCs w:val="1"/>
                <w:color w:val="auto"/>
              </w:rPr>
            </w:pPr>
          </w:p>
        </w:tc>
      </w:tr>
      <w:tr>
        <w:trPr>
          <w:trHeight w:val="229"/>
        </w:trPr>
        <w:tc>
          <w:tcPr>
            <w:tcW w:w="7480" w:type="dxa"/>
            <w:vAlign w:val="bottom"/>
          </w:tcPr>
          <w:p>
            <w:pPr>
              <w:ind w:left="34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115,750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145,135</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Income tax receivable</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378,752</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84,549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90,732</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48,447</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19,617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19,830</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19,826</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4,581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23"/>
        </w:trPr>
        <w:tc>
          <w:tcPr>
            <w:tcW w:w="7480" w:type="dxa"/>
            <w:vAlign w:val="bottom"/>
          </w:tcPr>
          <w:p>
            <w:pPr>
              <w:ind w:left="7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508,617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564,159</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shd w:val="clear" w:color="auto" w:fill="CCEEFF"/>
          </w:tcPr>
          <w:p>
            <w:pPr>
              <w:ind w:left="200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102,588</w:t>
            </w:r>
          </w:p>
        </w:tc>
        <w:tc>
          <w:tcPr>
            <w:tcW w:w="0" w:type="dxa"/>
            <w:vAlign w:val="bottom"/>
          </w:tcPr>
          <w:p>
            <w:pPr>
              <w:spacing w:after="0"/>
              <w:rPr>
                <w:sz w:val="1"/>
                <w:szCs w:val="1"/>
                <w:color w:val="auto"/>
              </w:rPr>
            </w:pPr>
          </w:p>
        </w:tc>
      </w:tr>
      <w:tr>
        <w:trPr>
          <w:trHeight w:val="230"/>
        </w:trPr>
        <w:tc>
          <w:tcPr>
            <w:tcW w:w="7480" w:type="dxa"/>
            <w:vAlign w:val="bottom"/>
          </w:tcPr>
          <w:p>
            <w:pPr>
              <w:ind w:left="340"/>
              <w:spacing w:after="0"/>
              <w:rPr>
                <w:sz w:val="20"/>
                <w:szCs w:val="20"/>
                <w:color w:val="auto"/>
              </w:rPr>
            </w:pPr>
            <w:r>
              <w:rPr>
                <w:rFonts w:ascii="Arial" w:cs="Arial" w:eastAsia="Arial" w:hAnsi="Arial"/>
                <w:sz w:val="16"/>
                <w:szCs w:val="16"/>
                <w:color w:val="auto"/>
              </w:rPr>
              <w:t>Line of credit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68,000</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compensation</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43,668</w:t>
            </w:r>
          </w:p>
        </w:tc>
        <w:tc>
          <w:tcPr>
            <w:tcW w:w="0" w:type="dxa"/>
            <w:vAlign w:val="bottom"/>
          </w:tcPr>
          <w:p>
            <w:pPr>
              <w:spacing w:after="0"/>
              <w:rPr>
                <w:sz w:val="1"/>
                <w:szCs w:val="1"/>
                <w:color w:val="auto"/>
              </w:rPr>
            </w:pPr>
          </w:p>
        </w:tc>
      </w:tr>
      <w:tr>
        <w:trPr>
          <w:trHeight w:val="230"/>
        </w:trPr>
        <w:tc>
          <w:tcPr>
            <w:tcW w:w="7480" w:type="dxa"/>
            <w:vAlign w:val="bottom"/>
          </w:tcPr>
          <w:p>
            <w:pPr>
              <w:ind w:left="340"/>
              <w:spacing w:after="0"/>
              <w:rPr>
                <w:sz w:val="20"/>
                <w:szCs w:val="20"/>
                <w:color w:val="auto"/>
              </w:rPr>
            </w:pPr>
            <w:r>
              <w:rPr>
                <w:rFonts w:ascii="Arial" w:cs="Arial" w:eastAsia="Arial" w:hAnsi="Arial"/>
                <w:sz w:val="16"/>
                <w:szCs w:val="16"/>
                <w:color w:val="auto"/>
              </w:rPr>
              <w:t>Accrued sales discounts, rebates and royalties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10,183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9,766</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income taxes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accrued liabilities</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35,445</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266,456</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obligations</w:t>
            </w: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15,639</w:t>
            </w:r>
          </w:p>
        </w:tc>
        <w:tc>
          <w:tcPr>
            <w:tcW w:w="0" w:type="dxa"/>
            <w:vAlign w:val="bottom"/>
          </w:tcPr>
          <w:p>
            <w:pPr>
              <w:spacing w:after="0"/>
              <w:rPr>
                <w:sz w:val="1"/>
                <w:szCs w:val="1"/>
                <w:color w:val="auto"/>
              </w:rPr>
            </w:pPr>
          </w:p>
        </w:tc>
      </w:tr>
      <w:tr>
        <w:trPr>
          <w:trHeight w:val="230"/>
        </w:trPr>
        <w:tc>
          <w:tcPr>
            <w:tcW w:w="7480" w:type="dxa"/>
            <w:vAlign w:val="bottom"/>
          </w:tcPr>
          <w:p>
            <w:pPr>
              <w:ind w:left="340"/>
              <w:spacing w:after="0"/>
              <w:rPr>
                <w:sz w:val="20"/>
                <w:szCs w:val="20"/>
                <w:color w:val="auto"/>
              </w:rPr>
            </w:pPr>
            <w:r>
              <w:rPr>
                <w:rFonts w:ascii="Arial" w:cs="Arial" w:eastAsia="Arial" w:hAnsi="Arial"/>
                <w:sz w:val="16"/>
                <w:szCs w:val="16"/>
                <w:color w:val="auto"/>
              </w:rPr>
              <w:t>Contingent consideration</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4,349</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30"/>
        </w:trPr>
        <w:tc>
          <w:tcPr>
            <w:tcW w:w="7480" w:type="dxa"/>
            <w:vAlign w:val="bottom"/>
          </w:tcPr>
          <w:p>
            <w:pPr>
              <w:ind w:left="340"/>
              <w:spacing w:after="0"/>
              <w:rPr>
                <w:sz w:val="20"/>
                <w:szCs w:val="20"/>
                <w:color w:val="auto"/>
              </w:rPr>
            </w:pPr>
            <w:r>
              <w:rPr>
                <w:rFonts w:ascii="Arial" w:cs="Arial" w:eastAsia="Arial" w:hAnsi="Arial"/>
                <w:sz w:val="16"/>
                <w:szCs w:val="16"/>
                <w:color w:val="auto"/>
              </w:rPr>
              <w:t>Income tax payable</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7480" w:type="dxa"/>
            <w:vAlign w:val="bottom"/>
          </w:tcPr>
          <w:p>
            <w:pPr>
              <w:ind w:left="78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212,062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289,760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18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6"/>
        </w:trPr>
        <w:tc>
          <w:tcPr>
            <w:tcW w:w="7480" w:type="dxa"/>
            <w:vAlign w:val="bottom"/>
          </w:tcPr>
          <w:p>
            <w:pPr>
              <w:ind w:left="360"/>
              <w:spacing w:after="0" w:line="166" w:lineRule="exact"/>
              <w:rPr>
                <w:sz w:val="20"/>
                <w:szCs w:val="20"/>
                <w:color w:val="auto"/>
              </w:rPr>
            </w:pPr>
            <w:r>
              <w:rPr>
                <w:rFonts w:ascii="Arial" w:cs="Arial" w:eastAsia="Arial" w:hAnsi="Arial"/>
                <w:sz w:val="16"/>
                <w:szCs w:val="16"/>
                <w:color w:val="auto"/>
                <w:w w:val="91"/>
              </w:rPr>
              <w:t>Common stock, $0.01 par value, 50,000,000 shares authorized; 24,292,657 and 24,118,088 shares issued on</w:t>
            </w:r>
          </w:p>
        </w:tc>
        <w:tc>
          <w:tcPr>
            <w:tcW w:w="18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2"/>
        </w:trPr>
        <w:tc>
          <w:tcPr>
            <w:tcW w:w="7480" w:type="dxa"/>
            <w:vAlign w:val="bottom"/>
          </w:tcPr>
          <w:p>
            <w:pPr>
              <w:ind w:left="360"/>
              <w:spacing w:after="0"/>
              <w:rPr>
                <w:sz w:val="20"/>
                <w:szCs w:val="20"/>
                <w:color w:val="auto"/>
              </w:rPr>
            </w:pPr>
            <w:r>
              <w:rPr>
                <w:rFonts w:ascii="Arial" w:cs="Arial" w:eastAsia="Arial" w:hAnsi="Arial"/>
                <w:sz w:val="16"/>
                <w:szCs w:val="16"/>
                <w:color w:val="auto"/>
              </w:rPr>
              <w:t>September 30, 2020 and December 31, 2019, respectively</w:t>
            </w:r>
          </w:p>
        </w:tc>
        <w:tc>
          <w:tcPr>
            <w:tcW w:w="1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Paid-in capital</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288,338</w:t>
            </w:r>
          </w:p>
        </w:tc>
        <w:tc>
          <w:tcPr>
            <w:tcW w:w="0" w:type="dxa"/>
            <w:vAlign w:val="bottom"/>
          </w:tcPr>
          <w:p>
            <w:pPr>
              <w:spacing w:after="0"/>
              <w:rPr>
                <w:sz w:val="1"/>
                <w:szCs w:val="1"/>
                <w:color w:val="auto"/>
              </w:rPr>
            </w:pPr>
          </w:p>
        </w:tc>
      </w:tr>
      <w:tr>
        <w:trPr>
          <w:trHeight w:val="166"/>
        </w:trPr>
        <w:tc>
          <w:tcPr>
            <w:tcW w:w="7480" w:type="dxa"/>
            <w:vAlign w:val="bottom"/>
          </w:tcPr>
          <w:p>
            <w:pPr>
              <w:ind w:left="360"/>
              <w:spacing w:after="0" w:line="166" w:lineRule="exact"/>
              <w:rPr>
                <w:sz w:val="20"/>
                <w:szCs w:val="20"/>
                <w:color w:val="auto"/>
              </w:rPr>
            </w:pPr>
            <w:r>
              <w:rPr>
                <w:rFonts w:ascii="Arial" w:cs="Arial" w:eastAsia="Arial" w:hAnsi="Arial"/>
                <w:sz w:val="16"/>
                <w:szCs w:val="16"/>
                <w:color w:val="auto"/>
                <w:w w:val="92"/>
              </w:rPr>
              <w:t>Treasury stock, at cost, 10,437,363 and 10,174,199 shares on September 30, 2020 and December 31, 2019,</w:t>
            </w:r>
          </w:p>
        </w:tc>
        <w:tc>
          <w:tcPr>
            <w:tcW w:w="18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(287,639)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(277,817)</w:t>
            </w:r>
          </w:p>
        </w:tc>
        <w:tc>
          <w:tcPr>
            <w:tcW w:w="0" w:type="dxa"/>
            <w:vAlign w:val="bottom"/>
          </w:tcPr>
          <w:p>
            <w:pPr>
              <w:spacing w:after="0"/>
              <w:rPr>
                <w:sz w:val="1"/>
                <w:szCs w:val="1"/>
                <w:color w:val="auto"/>
              </w:rPr>
            </w:pPr>
          </w:p>
        </w:tc>
      </w:tr>
      <w:tr>
        <w:trPr>
          <w:trHeight w:val="212"/>
        </w:trPr>
        <w:tc>
          <w:tcPr>
            <w:tcW w:w="7480" w:type="dxa"/>
            <w:vAlign w:val="bottom"/>
          </w:tcPr>
          <w:p>
            <w:pPr>
              <w:ind w:left="36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(22,781)</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312,832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286,418</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296,555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274,399</w:t>
            </w:r>
          </w:p>
        </w:tc>
        <w:tc>
          <w:tcPr>
            <w:tcW w:w="0" w:type="dxa"/>
            <w:vAlign w:val="bottom"/>
          </w:tcPr>
          <w:p>
            <w:pPr>
              <w:spacing w:after="0"/>
              <w:rPr>
                <w:sz w:val="1"/>
                <w:szCs w:val="1"/>
                <w:color w:val="auto"/>
              </w:rPr>
            </w:pPr>
          </w:p>
        </w:tc>
      </w:tr>
      <w:tr>
        <w:trPr>
          <w:trHeight w:val="223"/>
        </w:trPr>
        <w:tc>
          <w:tcPr>
            <w:tcW w:w="7480" w:type="dxa"/>
            <w:vAlign w:val="bottom"/>
          </w:tcPr>
          <w:p>
            <w:pPr>
              <w:ind w:left="7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508,617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564,159</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296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210"/>
        </w:trPr>
        <w:tc>
          <w:tcPr>
            <w:tcW w:w="46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r>
      <w:tr>
        <w:trPr>
          <w:trHeight w:val="22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578,783</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458,437</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120,346</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21,884</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94,598</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3,864</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Accrued social insurance adjustment</w:t>
            </w: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31,681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4"/>
        </w:trPr>
        <w:tc>
          <w:tcPr>
            <w:tcW w:w="4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660" w:type="dxa"/>
            <w:vAlign w:val="bottom"/>
          </w:tcPr>
          <w:p>
            <w:pPr>
              <w:ind w:left="320"/>
              <w:spacing w:after="0" w:line="203"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(0.25)</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4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Shares used in computing earnings (loss) per share:</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4660" w:type="dxa"/>
            <w:vAlign w:val="bottom"/>
          </w:tcPr>
          <w:p>
            <w:pPr>
              <w:ind w:left="3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13,861</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8"/>
        </w:trPr>
        <w:tc>
          <w:tcPr>
            <w:tcW w:w="4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13,861</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COMPREHENSIVE INCOME (LOSS) STATEMENTS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10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4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96"/>
        </w:trPr>
        <w:tc>
          <w:tcPr>
            <w:tcW w:w="50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8"/>
              </w:rPr>
              <w:t>2,669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26,414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foreign currency translation adjustment</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15"/>
              <w:spacing w:after="0"/>
              <w:rPr>
                <w:sz w:val="20"/>
                <w:szCs w:val="20"/>
                <w:color w:val="auto"/>
              </w:rPr>
            </w:pPr>
            <w:r>
              <w:rPr>
                <w:rFonts w:ascii="Arial" w:cs="Arial" w:eastAsia="Arial" w:hAnsi="Arial"/>
                <w:sz w:val="18"/>
                <w:szCs w:val="18"/>
                <w:color w:val="auto"/>
                <w:w w:val="91"/>
              </w:rPr>
              <w:t>(5,457)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4"/>
              </w:rPr>
              <w:t>(2,774)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11,173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415"/>
              <w:spacing w:after="0"/>
              <w:rPr>
                <w:sz w:val="20"/>
                <w:szCs w:val="20"/>
                <w:color w:val="auto"/>
              </w:rPr>
            </w:pPr>
            <w:r>
              <w:rPr>
                <w:rFonts w:ascii="Arial" w:cs="Arial" w:eastAsia="Arial" w:hAnsi="Arial"/>
                <w:sz w:val="18"/>
                <w:szCs w:val="18"/>
                <w:color w:val="auto"/>
                <w:w w:val="91"/>
              </w:rPr>
              <w:t>(2,788)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23,640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(8,954)</w:t>
            </w:r>
          </w:p>
        </w:tc>
      </w:tr>
      <w:tr>
        <w:trPr>
          <w:trHeight w:val="21"/>
        </w:trPr>
        <w:tc>
          <w:tcPr>
            <w:tcW w:w="5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changes in total equity for the three and nine months ended September 30, 2020: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84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186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86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600" w:type="dxa"/>
            <w:vAlign w:val="bottom"/>
          </w:tcPr>
          <w:p>
            <w:pPr>
              <w:spacing w:after="0"/>
              <w:rPr>
                <w:sz w:val="7"/>
                <w:szCs w:val="7"/>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Issued</w:t>
            </w: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780" w:type="dxa"/>
            <w:vAlign w:val="bottom"/>
            <w:gridSpan w:val="3"/>
            <w:vMerge w:val="restart"/>
          </w:tcPr>
          <w:p>
            <w:pPr>
              <w:jc w:val="right"/>
              <w:ind w:right="452"/>
              <w:spacing w:after="0"/>
              <w:rPr>
                <w:sz w:val="20"/>
                <w:szCs w:val="20"/>
                <w:color w:val="auto"/>
              </w:rPr>
            </w:pPr>
            <w:r>
              <w:rPr>
                <w:rFonts w:ascii="Arial" w:cs="Arial" w:eastAsia="Arial" w:hAnsi="Arial"/>
                <w:sz w:val="14"/>
                <w:szCs w:val="14"/>
                <w:b w:val="1"/>
                <w:bCs w:val="1"/>
                <w:color w:val="auto"/>
              </w:rPr>
              <w:t>in Treasury</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600" w:type="dxa"/>
            <w:vAlign w:val="bottom"/>
          </w:tcPr>
          <w:p>
            <w:pPr>
              <w:spacing w:after="0"/>
              <w:rPr>
                <w:sz w:val="9"/>
                <w:szCs w:val="9"/>
                <w:color w:val="auto"/>
              </w:rPr>
            </w:pPr>
          </w:p>
        </w:tc>
        <w:tc>
          <w:tcPr>
            <w:tcW w:w="1080" w:type="dxa"/>
            <w:vAlign w:val="bottom"/>
            <w:tcBorders>
              <w:bottom w:val="single" w:sz="8" w:color="auto"/>
            </w:tcBorders>
            <w:gridSpan w:val="3"/>
            <w:vMerge w:val="continue"/>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78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ind w:left="40"/>
              <w:spacing w:after="0" w:line="107" w:lineRule="exact"/>
              <w:rPr>
                <w:sz w:val="20"/>
                <w:szCs w:val="20"/>
                <w:color w:val="auto"/>
              </w:rPr>
            </w:pPr>
            <w:r>
              <w:rPr>
                <w:rFonts w:ascii="Arial" w:cs="Arial" w:eastAsia="Arial" w:hAnsi="Arial"/>
                <w:sz w:val="12"/>
                <w:szCs w:val="12"/>
                <w:b w:val="1"/>
                <w:bCs w:val="1"/>
                <w:color w:val="auto"/>
              </w:rPr>
              <w:t>Paid-in</w:t>
            </w:r>
          </w:p>
        </w:tc>
        <w:tc>
          <w:tcPr>
            <w:tcW w:w="1160" w:type="dxa"/>
            <w:vAlign w:val="bottom"/>
            <w:gridSpan w:val="3"/>
          </w:tcPr>
          <w:p>
            <w:pPr>
              <w:jc w:val="center"/>
              <w:ind w:right="80"/>
              <w:spacing w:after="0" w:line="107"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9"/>
                <w:szCs w:val="9"/>
                <w:color w:val="auto"/>
              </w:rPr>
            </w:pPr>
          </w:p>
        </w:tc>
        <w:tc>
          <w:tcPr>
            <w:tcW w:w="82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Retained</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w:t>
            </w: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700" w:type="dxa"/>
            <w:vAlign w:val="bottom"/>
          </w:tcPr>
          <w:p>
            <w:pPr>
              <w:jc w:val="right"/>
              <w:ind w:right="151"/>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24"/>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(10,174)</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$(277,817)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288,338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286,418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274,399</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5,846</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w:t>
            </w:r>
          </w:p>
        </w:tc>
        <w:tc>
          <w:tcPr>
            <w:tcW w:w="0" w:type="dxa"/>
            <w:vAlign w:val="bottom"/>
          </w:tcPr>
          <w:p>
            <w:pPr>
              <w:spacing w:after="0"/>
              <w:rPr>
                <w:sz w:val="1"/>
                <w:szCs w:val="1"/>
                <w:color w:val="auto"/>
              </w:rPr>
            </w:pPr>
          </w:p>
        </w:tc>
      </w:tr>
      <w:tr>
        <w:trPr>
          <w:trHeight w:val="166"/>
        </w:trPr>
        <w:tc>
          <w:tcPr>
            <w:tcW w:w="3600" w:type="dxa"/>
            <w:vAlign w:val="bottom"/>
          </w:tcPr>
          <w:p>
            <w:pPr>
              <w:ind w:left="20"/>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2"/>
        </w:trPr>
        <w:tc>
          <w:tcPr>
            <w:tcW w:w="360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treasury shares</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6"/>
                <w:szCs w:val="16"/>
                <w:color w:val="auto"/>
              </w:rPr>
              <w:t>Shares issued to directors</w:t>
            </w: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and director stock-based compensation</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Performance-based common stock warrants</w:t>
            </w: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291,350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292,264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269,959</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14,400</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166"/>
        </w:trPr>
        <w:tc>
          <w:tcPr>
            <w:tcW w:w="3600" w:type="dxa"/>
            <w:vAlign w:val="bottom"/>
          </w:tcPr>
          <w:p>
            <w:pPr>
              <w:ind w:left="20"/>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2"/>
        </w:trPr>
        <w:tc>
          <w:tcPr>
            <w:tcW w:w="360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treasury shares</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Arial" w:cs="Arial" w:eastAsia="Arial" w:hAnsi="Arial"/>
                <w:sz w:val="16"/>
                <w:szCs w:val="16"/>
                <w:color w:val="auto"/>
              </w:rPr>
              <w:t>Employee and director stock-based compensation</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Performance-based common stock warrants</w:t>
            </w: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Arial" w:cs="Arial" w:eastAsia="Arial" w:hAnsi="Arial"/>
                <w:sz w:val="16"/>
                <w:szCs w:val="16"/>
                <w:color w:val="auto"/>
              </w:rPr>
              <w:t>Balance at June 30, 2020</w:t>
            </w:r>
          </w:p>
        </w:tc>
        <w:tc>
          <w:tcPr>
            <w:tcW w:w="840" w:type="dxa"/>
            <w:vAlign w:val="bottom"/>
          </w:tcPr>
          <w:p>
            <w:pPr>
              <w:jc w:val="right"/>
              <w:spacing w:after="0"/>
              <w:rPr>
                <w:sz w:val="20"/>
                <w:szCs w:val="20"/>
                <w:color w:val="auto"/>
              </w:rPr>
            </w:pPr>
            <w:r>
              <w:rPr>
                <w:rFonts w:ascii="Arial" w:cs="Arial" w:eastAsia="Arial" w:hAnsi="Arial"/>
                <w:sz w:val="18"/>
                <w:szCs w:val="18"/>
                <w:color w:val="auto"/>
              </w:rPr>
              <w:t>24,269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(10,346)</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(284,222)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294,007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306,664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286,132</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166"/>
        </w:trPr>
        <w:tc>
          <w:tcPr>
            <w:tcW w:w="360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Arial" w:cs="Arial" w:eastAsia="Arial" w:hAnsi="Arial"/>
                <w:sz w:val="16"/>
                <w:szCs w:val="16"/>
                <w:color w:val="auto"/>
              </w:rPr>
              <w:t>Purchase of treasury shares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 to directors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6"/>
                <w:szCs w:val="16"/>
                <w:color w:val="auto"/>
              </w:rPr>
              <w:t>Employee and director stock-based compensation</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Performance-based common stock warrants</w:t>
            </w: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Arial" w:cs="Arial" w:eastAsia="Arial" w:hAnsi="Arial"/>
                <w:sz w:val="16"/>
                <w:szCs w:val="16"/>
                <w:color w:val="auto"/>
              </w:rPr>
              <w:t>Balance at September 30, 2020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(10,437)</w:t>
            </w:r>
          </w:p>
        </w:tc>
        <w:tc>
          <w:tcPr>
            <w:tcW w:w="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(287,639)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296,674</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312,832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296,555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changes in total equity for the three and nine months ended September 30, 2019:</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86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84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580" w:type="dxa"/>
            <w:vAlign w:val="bottom"/>
          </w:tcPr>
          <w:p>
            <w:pPr>
              <w:spacing w:after="0"/>
              <w:rPr>
                <w:sz w:val="4"/>
                <w:szCs w:val="4"/>
                <w:color w:val="auto"/>
              </w:rPr>
            </w:pPr>
          </w:p>
        </w:tc>
        <w:tc>
          <w:tcPr>
            <w:tcW w:w="1860" w:type="dxa"/>
            <w:vAlign w:val="bottom"/>
            <w:gridSpan w:val="5"/>
            <w:vMerge w:val="continue"/>
          </w:tcPr>
          <w:p>
            <w:pPr>
              <w:spacing w:after="0"/>
              <w:rPr>
                <w:sz w:val="4"/>
                <w:szCs w:val="4"/>
                <w:color w:val="auto"/>
              </w:rPr>
            </w:pPr>
          </w:p>
        </w:tc>
        <w:tc>
          <w:tcPr>
            <w:tcW w:w="18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580" w:type="dxa"/>
            <w:vAlign w:val="bottom"/>
          </w:tcPr>
          <w:p>
            <w:pPr>
              <w:spacing w:after="0"/>
              <w:rPr>
                <w:sz w:val="7"/>
                <w:szCs w:val="7"/>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Issued</w:t>
            </w: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760" w:type="dxa"/>
            <w:vAlign w:val="bottom"/>
            <w:gridSpan w:val="3"/>
            <w:vMerge w:val="restart"/>
          </w:tcPr>
          <w:p>
            <w:pPr>
              <w:jc w:val="right"/>
              <w:ind w:right="452"/>
              <w:spacing w:after="0"/>
              <w:rPr>
                <w:sz w:val="20"/>
                <w:szCs w:val="20"/>
                <w:color w:val="auto"/>
              </w:rPr>
            </w:pPr>
            <w:r>
              <w:rPr>
                <w:rFonts w:ascii="Arial" w:cs="Arial" w:eastAsia="Arial" w:hAnsi="Arial"/>
                <w:sz w:val="14"/>
                <w:szCs w:val="14"/>
                <w:b w:val="1"/>
                <w:bCs w:val="1"/>
                <w:color w:val="auto"/>
              </w:rPr>
              <w:t>in Treasury</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580" w:type="dxa"/>
            <w:vAlign w:val="bottom"/>
          </w:tcPr>
          <w:p>
            <w:pPr>
              <w:spacing w:after="0"/>
              <w:rPr>
                <w:sz w:val="9"/>
                <w:szCs w:val="9"/>
                <w:color w:val="auto"/>
              </w:rPr>
            </w:pPr>
          </w:p>
        </w:tc>
        <w:tc>
          <w:tcPr>
            <w:tcW w:w="1080" w:type="dxa"/>
            <w:vAlign w:val="bottom"/>
            <w:tcBorders>
              <w:bottom w:val="single" w:sz="8" w:color="auto"/>
            </w:tcBorders>
            <w:gridSpan w:val="3"/>
            <w:vMerge w:val="continue"/>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ind w:left="40"/>
              <w:spacing w:after="0" w:line="107" w:lineRule="exact"/>
              <w:rPr>
                <w:sz w:val="20"/>
                <w:szCs w:val="20"/>
                <w:color w:val="auto"/>
              </w:rPr>
            </w:pPr>
            <w:r>
              <w:rPr>
                <w:rFonts w:ascii="Arial" w:cs="Arial" w:eastAsia="Arial" w:hAnsi="Arial"/>
                <w:sz w:val="12"/>
                <w:szCs w:val="12"/>
                <w:b w:val="1"/>
                <w:bCs w:val="1"/>
                <w:color w:val="auto"/>
              </w:rPr>
              <w:t>Paid-in</w:t>
            </w:r>
          </w:p>
        </w:tc>
        <w:tc>
          <w:tcPr>
            <w:tcW w:w="1160" w:type="dxa"/>
            <w:vAlign w:val="bottom"/>
            <w:gridSpan w:val="3"/>
          </w:tcPr>
          <w:p>
            <w:pPr>
              <w:jc w:val="center"/>
              <w:ind w:right="80"/>
              <w:spacing w:after="0" w:line="107"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9"/>
                <w:szCs w:val="9"/>
                <w:color w:val="auto"/>
              </w:rPr>
            </w:pPr>
          </w:p>
        </w:tc>
        <w:tc>
          <w:tcPr>
            <w:tcW w:w="82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Retained</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w:t>
            </w: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700" w:type="dxa"/>
            <w:vAlign w:val="bottom"/>
          </w:tcPr>
          <w:p>
            <w:pPr>
              <w:jc w:val="right"/>
              <w:ind w:right="151"/>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24"/>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2018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(10,116)</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$(275,889)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276,103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282,788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262,960</w:t>
            </w: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6"/>
                <w:szCs w:val="16"/>
                <w:color w:val="auto"/>
              </w:rPr>
              <w:t>Net income (loss)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Currency translation adjustment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166"/>
        </w:trPr>
        <w:tc>
          <w:tcPr>
            <w:tcW w:w="3580" w:type="dxa"/>
            <w:vAlign w:val="bottom"/>
          </w:tcPr>
          <w:p>
            <w:pPr>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20"/>
                <w:szCs w:val="20"/>
                <w:color w:val="auto"/>
              </w:rPr>
            </w:pPr>
            <w:r>
              <w:rPr>
                <w:rFonts w:ascii="Arial" w:cs="Arial" w:eastAsia="Arial" w:hAnsi="Arial"/>
                <w:sz w:val="16"/>
                <w:szCs w:val="16"/>
                <w:color w:val="auto"/>
              </w:rPr>
              <w:t>compensation</w:t>
            </w: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Purchase of treasury shares</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6"/>
                <w:szCs w:val="16"/>
                <w:color w:val="auto"/>
              </w:rPr>
              <w:t>Shares issued to directors</w:t>
            </w: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Employee and director stock-based compensation</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Performance-based common stock warrants</w:t>
            </w: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Balance at March 31,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(10,159)</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278,801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281,783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265,172</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6"/>
                <w:szCs w:val="16"/>
                <w:color w:val="auto"/>
              </w:rPr>
              <w:t>Net income (loss)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(5,061)</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Currency translation adjustment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166"/>
        </w:trPr>
        <w:tc>
          <w:tcPr>
            <w:tcW w:w="3580" w:type="dxa"/>
            <w:vAlign w:val="bottom"/>
          </w:tcPr>
          <w:p>
            <w:pPr>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20"/>
                <w:szCs w:val="20"/>
                <w:color w:val="auto"/>
              </w:rPr>
            </w:pPr>
            <w:r>
              <w:rPr>
                <w:rFonts w:ascii="Arial" w:cs="Arial" w:eastAsia="Arial" w:hAnsi="Arial"/>
                <w:sz w:val="16"/>
                <w:szCs w:val="16"/>
                <w:color w:val="auto"/>
              </w:rPr>
              <w:t>compensation</w:t>
            </w: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Purchase of treasury shares</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6"/>
                <w:szCs w:val="16"/>
                <w:color w:val="auto"/>
              </w:rPr>
              <w:t>Shares issued to directors</w:t>
            </w: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Employee and director stock-based compensation</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Performance-based common stock warrants</w:t>
            </w: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Balance at June 30,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(10,164)</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281,583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276,722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260,871</w:t>
            </w: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6"/>
                <w:szCs w:val="16"/>
                <w:color w:val="auto"/>
              </w:rPr>
              <w:t>Net income (loss)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Currency translation adjustment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166"/>
        </w:trPr>
        <w:tc>
          <w:tcPr>
            <w:tcW w:w="3580" w:type="dxa"/>
            <w:vAlign w:val="bottom"/>
          </w:tcPr>
          <w:p>
            <w:pPr>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20"/>
                <w:szCs w:val="20"/>
                <w:color w:val="auto"/>
              </w:rPr>
            </w:pPr>
            <w:r>
              <w:rPr>
                <w:rFonts w:ascii="Arial" w:cs="Arial" w:eastAsia="Arial" w:hAnsi="Arial"/>
                <w:sz w:val="16"/>
                <w:szCs w:val="16"/>
                <w:color w:val="auto"/>
              </w:rPr>
              <w:t>compensation</w:t>
            </w: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Purchase of treasury shares</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6"/>
                <w:szCs w:val="16"/>
                <w:color w:val="auto"/>
              </w:rPr>
              <w:t>Stock options exercised</w:t>
            </w: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Shares issued to directors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6"/>
                <w:szCs w:val="16"/>
                <w:color w:val="auto"/>
              </w:rPr>
              <w:t>Employee and director stock-based compensation</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Performance-based common stock warrants</w:t>
            </w: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6"/>
                <w:szCs w:val="16"/>
                <w:color w:val="auto"/>
              </w:rPr>
              <w:t>Balance at September 30, 2019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(10,171)</w:t>
            </w: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(277,630)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285,487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279,391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261,651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for) operating activities: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6"/>
                <w:szCs w:val="16"/>
                <w:color w:val="auto"/>
              </w:rPr>
              <w:t>Net income (loss)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26,414</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(3,397)</w:t>
            </w: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(loss) to net cash provided by (used for)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7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23,734</w:t>
            </w:r>
          </w:p>
        </w:tc>
      </w:tr>
      <w:tr>
        <w:trPr>
          <w:trHeight w:val="230"/>
        </w:trPr>
        <w:tc>
          <w:tcPr>
            <w:tcW w:w="82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Provision for bad debts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29"/>
        </w:trPr>
        <w:tc>
          <w:tcPr>
            <w:tcW w:w="8240" w:type="dxa"/>
            <w:vAlign w:val="bottom"/>
          </w:tcPr>
          <w:p>
            <w:pPr>
              <w:ind w:left="78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2,273</w:t>
            </w:r>
          </w:p>
        </w:tc>
      </w:tr>
      <w:tr>
        <w:trPr>
          <w:trHeight w:val="230"/>
        </w:trPr>
        <w:tc>
          <w:tcPr>
            <w:tcW w:w="82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Shares issued for employee benefit plan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29"/>
        </w:trPr>
        <w:tc>
          <w:tcPr>
            <w:tcW w:w="8240" w:type="dxa"/>
            <w:vAlign w:val="bottom"/>
          </w:tcPr>
          <w:p>
            <w:pPr>
              <w:ind w:left="780"/>
              <w:spacing w:after="0"/>
              <w:rPr>
                <w:sz w:val="20"/>
                <w:szCs w:val="20"/>
                <w:color w:val="auto"/>
              </w:rPr>
            </w:pPr>
            <w:r>
              <w:rPr>
                <w:rFonts w:ascii="Arial" w:cs="Arial" w:eastAsia="Arial" w:hAnsi="Arial"/>
                <w:sz w:val="16"/>
                <w:szCs w:val="16"/>
                <w:color w:val="auto"/>
              </w:rPr>
              <w:t>Employee and director stock-based compensation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6,718</w:t>
            </w:r>
          </w:p>
        </w:tc>
      </w:tr>
      <w:tr>
        <w:trPr>
          <w:trHeight w:val="229"/>
        </w:trPr>
        <w:tc>
          <w:tcPr>
            <w:tcW w:w="82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Performance-based common stock warrants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r>
      <w:tr>
        <w:trPr>
          <w:trHeight w:val="230"/>
        </w:trPr>
        <w:tc>
          <w:tcPr>
            <w:tcW w:w="8240" w:type="dxa"/>
            <w:vAlign w:val="bottom"/>
          </w:tcPr>
          <w:p>
            <w:pPr>
              <w:ind w:left="780"/>
              <w:spacing w:after="0"/>
              <w:rPr>
                <w:sz w:val="20"/>
                <w:szCs w:val="20"/>
                <w:color w:val="auto"/>
              </w:rPr>
            </w:pPr>
            <w:r>
              <w:rPr>
                <w:rFonts w:ascii="Arial" w:cs="Arial" w:eastAsia="Arial" w:hAnsi="Arial"/>
                <w:sz w:val="16"/>
                <w:szCs w:val="16"/>
                <w:color w:val="auto"/>
              </w:rPr>
              <w:t>Impairment of long-term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Accrued social insurance adjustment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Pr>
          <w:p>
            <w:pPr>
              <w:ind w:left="780"/>
              <w:spacing w:after="0"/>
              <w:rPr>
                <w:sz w:val="20"/>
                <w:szCs w:val="20"/>
                <w:color w:val="auto"/>
              </w:rPr>
            </w:pPr>
            <w:r>
              <w:rPr>
                <w:rFonts w:ascii="Arial" w:cs="Arial" w:eastAsia="Arial" w:hAnsi="Arial"/>
                <w:sz w:val="16"/>
                <w:szCs w:val="16"/>
                <w:color w:val="auto"/>
              </w:rPr>
              <w:t>Loss on sale of Ohio call center</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1180"/>
              <w:spacing w:after="0"/>
              <w:rPr>
                <w:sz w:val="20"/>
                <w:szCs w:val="20"/>
                <w:color w:val="auto"/>
              </w:rPr>
            </w:pPr>
            <w:r>
              <w:rPr>
                <w:rFonts w:ascii="Arial" w:cs="Arial" w:eastAsia="Arial" w:hAnsi="Arial"/>
                <w:sz w:val="16"/>
                <w:szCs w:val="16"/>
                <w:color w:val="auto"/>
              </w:rPr>
              <w:t>Accounts receivable and contract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(11,117)</w:t>
            </w:r>
          </w:p>
        </w:tc>
      </w:tr>
      <w:tr>
        <w:trPr>
          <w:trHeight w:val="229"/>
        </w:trPr>
        <w:tc>
          <w:tcPr>
            <w:tcW w:w="824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r>
      <w:tr>
        <w:trPr>
          <w:trHeight w:val="230"/>
        </w:trPr>
        <w:tc>
          <w:tcPr>
            <w:tcW w:w="8240" w:type="dxa"/>
            <w:vAlign w:val="bottom"/>
          </w:tcPr>
          <w:p>
            <w:pPr>
              <w:ind w:left="118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5,507</w:t>
            </w:r>
          </w:p>
        </w:tc>
      </w:tr>
      <w:tr>
        <w:trPr>
          <w:trHeight w:val="229"/>
        </w:trPr>
        <w:tc>
          <w:tcPr>
            <w:tcW w:w="824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11,686</w:t>
            </w:r>
          </w:p>
        </w:tc>
      </w:tr>
      <w:tr>
        <w:trPr>
          <w:trHeight w:val="230"/>
        </w:trPr>
        <w:tc>
          <w:tcPr>
            <w:tcW w:w="8240" w:type="dxa"/>
            <w:vAlign w:val="bottom"/>
            <w:tcBorders>
              <w:bottom w:val="single" w:sz="8" w:color="CCEEFF"/>
            </w:tcBorders>
          </w:tcPr>
          <w:p>
            <w:pPr>
              <w:ind w:left="1180"/>
              <w:spacing w:after="0"/>
              <w:rPr>
                <w:sz w:val="20"/>
                <w:szCs w:val="20"/>
                <w:color w:val="auto"/>
              </w:rPr>
            </w:pPr>
            <w:r>
              <w:rPr>
                <w:rFonts w:ascii="Arial" w:cs="Arial" w:eastAsia="Arial" w:hAnsi="Arial"/>
                <w:sz w:val="16"/>
                <w:szCs w:val="16"/>
                <w:color w:val="auto"/>
              </w:rPr>
              <w:t>Accrued income taxes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w:t>
            </w:r>
          </w:p>
        </w:tc>
      </w:tr>
      <w:tr>
        <w:trPr>
          <w:trHeight w:val="209"/>
        </w:trPr>
        <w:tc>
          <w:tcPr>
            <w:tcW w:w="8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provided by (used for)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39,921</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Cash provided by (used for) investing activities: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3"/>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Acquisitions of property, plant and equipment</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(15,854)</w:t>
            </w:r>
          </w:p>
        </w:tc>
      </w:tr>
      <w:tr>
        <w:trPr>
          <w:trHeight w:val="230"/>
        </w:trPr>
        <w:tc>
          <w:tcPr>
            <w:tcW w:w="8240" w:type="dxa"/>
            <w:vAlign w:val="bottom"/>
          </w:tcPr>
          <w:p>
            <w:pPr>
              <w:ind w:left="340"/>
              <w:spacing w:after="0"/>
              <w:rPr>
                <w:sz w:val="20"/>
                <w:szCs w:val="20"/>
                <w:color w:val="auto"/>
              </w:rPr>
            </w:pPr>
            <w:r>
              <w:rPr>
                <w:rFonts w:ascii="Arial" w:cs="Arial" w:eastAsia="Arial" w:hAnsi="Arial"/>
                <w:sz w:val="16"/>
                <w:szCs w:val="16"/>
                <w:color w:val="auto"/>
              </w:rPr>
              <w:t>Acquisitions of intangible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(1,505)</w:t>
            </w: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 on sale of Ohio call center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7"/>
        </w:trPr>
        <w:tc>
          <w:tcPr>
            <w:tcW w:w="8240" w:type="dxa"/>
            <w:vAlign w:val="bottom"/>
          </w:tcPr>
          <w:p>
            <w:pPr>
              <w:ind w:left="540"/>
              <w:spacing w:after="0"/>
              <w:rPr>
                <w:sz w:val="20"/>
                <w:szCs w:val="20"/>
                <w:color w:val="auto"/>
              </w:rPr>
            </w:pPr>
            <w:r>
              <w:rPr>
                <w:rFonts w:ascii="Arial" w:cs="Arial" w:eastAsia="Arial" w:hAnsi="Arial"/>
                <w:sz w:val="16"/>
                <w:szCs w:val="16"/>
                <w:color w:val="auto"/>
              </w:rPr>
              <w:t>Net cash provided by (used for) investing activities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(16,618)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(17,359)</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for) financing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6"/>
                <w:szCs w:val="16"/>
                <w:color w:val="auto"/>
              </w:rPr>
              <w:t>Borrowings under line of credit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57,500</w:t>
            </w: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Repayments on line of credit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w:t>
            </w:r>
          </w:p>
        </w:tc>
      </w:tr>
      <w:tr>
        <w:trPr>
          <w:trHeight w:val="230"/>
        </w:trPr>
        <w:tc>
          <w:tcPr>
            <w:tcW w:w="8240" w:type="dxa"/>
            <w:vAlign w:val="bottom"/>
          </w:tcPr>
          <w:p>
            <w:pPr>
              <w:ind w:left="340"/>
              <w:spacing w:after="0"/>
              <w:rPr>
                <w:sz w:val="20"/>
                <w:szCs w:val="20"/>
                <w:color w:val="auto"/>
              </w:rPr>
            </w:pPr>
            <w:r>
              <w:rPr>
                <w:rFonts w:ascii="Arial" w:cs="Arial" w:eastAsia="Arial" w:hAnsi="Arial"/>
                <w:sz w:val="16"/>
                <w:szCs w:val="16"/>
                <w:color w:val="auto"/>
              </w:rPr>
              <w:t>Proceeds from stock options exercised</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Treasury stock purchased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r>
      <w:tr>
        <w:trPr>
          <w:trHeight w:val="229"/>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Contingent consideration payments in connection with business combinations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(4,251)</w:t>
            </w:r>
          </w:p>
        </w:tc>
      </w:tr>
      <w:tr>
        <w:trPr>
          <w:trHeight w:val="210"/>
        </w:trPr>
        <w:tc>
          <w:tcPr>
            <w:tcW w:w="82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provided by (used for) financing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(19,081)</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w:t>
            </w: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53,207</w:t>
            </w:r>
          </w:p>
        </w:tc>
      </w:tr>
      <w:tr>
        <w:trPr>
          <w:trHeight w:val="23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67,146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54,729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6"/>
                <w:szCs w:val="16"/>
                <w:color w:val="auto"/>
              </w:rPr>
              <w:t>Income taxes paid</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3,242</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5,608</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w:t>
            </w:r>
          </w:p>
        </w:tc>
      </w:tr>
    </w:tbl>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and certain reclassifications have been made to prior year amounts in order to conform to the current year presentation.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("SEC"). As used herein, the terms "Company," "we," "us," and "our" refer to Universal Electronics Inc. and its subsidiaries, unless the context indicates to the contrary.</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and nine months ended September 30, 2020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Judgments and Assumptions</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bad debts; inventory valuation; our review for impairment of long-lived assets, intangible assets and goodwill; leases; business combinations; income taxes; stock-based compensation expense and performance-based common stock warrants.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recent coronavirus ("COVID-19") pandemic and the mitigation efforts by governments to attempt to control its spread have created uncertainties and disruptions in the economic and financial markets. While we are not currently aware of events or circumstances that would require an update to our estimates, judgments or adjustments to the carrying values of our assets or liabilities, these estimates may change as developments occur and we obtain additional information. These future developments are highly uncertain and the outcomes are unpredictable. Actual results may differ from those estimates, and such differences may be material to the financial statements.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2019 for a summary of our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2016, the Financial Accounting Standards Board ("FASB") issued ASU 2016-13, "Measurement of Credit Losses on Financial Instruments", which updates existing guidance for measuring and recording credit losses on financial assets measured at amortized cost by replacing the incurred loss impairment model with an expected loss impairment model. Accordingly, financial assets are presented at amortized costs net of an allowance for expected credit losses over the lifetime of the assets. We adopted this new guidance on January 1, 2020 using the modified retrospective method. The adoption did not require an implementation adjustment and did not materially impact our consolidated statement of financial position, results of operations and cash flows. See Note 3 for further discussion on our allowance for bad debts.</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January 2017, the FASB issued ASU 2017-04, "Simplifying the Test for Goodwill Impairment", which simplifies how an entity is required to test goodwill for impairment by eliminating Step 2 from the goodwill impairment test. Instead, if the carrying amount of a reporting unit exceeds its fair value, an impairment loss will be recognized in an amount equal to that excess, limited to the total amount of goodwill allocated to the reporting unit. Our adoption on January 1, 2020 did not have a material impact on our consolidated statement of financial position, results of operations and cash flows.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2019, the FASB issued ASU 2019-08, "Improvements - Share-based Consideration Payable to a Customer", which clarifies the accounting for share-based payments issued as sales incentives to customers. The guidance requires that stock-based compensation expense is recorded as a reduction in the transaction price on the basis of the grant-date fair value. The grant-date fair value is calculated using the provisions defined under Accounting Standards Codification "Stock Compensation". The transition provisions require that equity-classified awards be measured at the adoption date fair value if the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measurement date has not been established prior to the adoption date. This guidance impacts the measurement date of our performance-based common stock warrants. The measurement periods for the first two successive two-year periods of our outstanding performance-based common stock warrants were completed prior to adoption and were not impacted by this updated guidance. The measurement period for the final two-year period began on January 1, 2020, and accordingly, we measured the fair value of the award as of our adoption date on January 1, 2020. We adopted this guidance using the modified retrospective method. Our adoption did not result in a cumulative adjustment in our consolidated statement of financial position. See Note 15 for further discussion on the performance-based common stock warrants.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Updates Not Yet Effective</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2019, the FASB issued ASU 2019-12, "Simplifying the Accounting for Income Taxes", which, among other provisions, eliminates certain exceptions to existing guidance related to the approach for intra-period tax allocation, the methodology for calculating income taxes in an interim period and the recognition of deferred tax liabilities for outside basis differences. This guidance also requires an entity to reflect the effect of an enacted change in tax laws or rates in its effective income tax rate in the first interim period that includes the enactment date of the new legislation, aligning the timing of recognition of the effects from enacted tax law changes on the effective income tax rate with the effects on deferred income tax assets and liabilities. Under existing guidance, an entity recognizes the effects of the enacted tax law change on the effective income tax rate in the period that includes the effective date of the tax law. The guidance is effective for interim and annual periods beginning after December 15, 2020, with early adoption permitted. We are currently evaluating the impact of this guidance on our consolidated statement of financial position, results of operations and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122" w:lineRule="exact"/>
        <w:rPr>
          <w:sz w:val="20"/>
          <w:szCs w:val="20"/>
          <w:color w:val="auto"/>
        </w:rPr>
      </w:pPr>
    </w:p>
    <w:p>
      <w:pPr>
        <w:ind w:left="20"/>
        <w:spacing w:after="0"/>
        <w:tabs>
          <w:tab w:leader="none" w:pos="7860" w:val="left"/>
          <w:tab w:leader="none" w:pos="9760" w:val="left"/>
        </w:tabs>
        <w:rPr>
          <w:sz w:val="20"/>
          <w:szCs w:val="20"/>
          <w:color w:val="auto"/>
        </w:rPr>
      </w:pPr>
      <w:r>
        <w:rPr>
          <w:rFonts w:ascii="Arial" w:cs="Arial" w:eastAsia="Arial" w:hAnsi="Arial"/>
          <w:sz w:val="14"/>
          <w:szCs w:val="14"/>
          <w:b w:val="1"/>
          <w:bCs w:val="1"/>
          <w:color w:val="auto"/>
        </w:rPr>
        <w:t>(In thousands)</w:t>
      </w:r>
      <w:r>
        <w:rPr>
          <w:sz w:val="20"/>
          <w:szCs w:val="20"/>
          <w:color w:val="auto"/>
        </w:rPr>
        <w:tab/>
      </w:r>
      <w:r>
        <w:rPr>
          <w:rFonts w:ascii="Arial" w:cs="Arial" w:eastAsia="Arial" w:hAnsi="Arial"/>
          <w:sz w:val="14"/>
          <w:szCs w:val="14"/>
          <w:b w:val="1"/>
          <w:bCs w:val="1"/>
          <w:color w:val="auto"/>
        </w:rPr>
        <w:t>September 30, 2020</w:t>
      </w:r>
      <w:r>
        <w:rPr>
          <w:sz w:val="20"/>
          <w:szCs w:val="20"/>
          <w:color w:val="auto"/>
        </w:rPr>
        <w:tab/>
      </w:r>
      <w:r>
        <w:rPr>
          <w:rFonts w:ascii="Arial" w:cs="Arial" w:eastAsia="Arial" w:hAnsi="Arial"/>
          <w:sz w:val="12"/>
          <w:szCs w:val="12"/>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North America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People's Republic of China ("PRC")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Asia (excluding the PRC)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Europe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South America</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cash and cash equivalents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Revenue and Accounts Receivable, Net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Details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 pattern of revenue recognition was as follows:</w:t>
      </w:r>
    </w:p>
    <w:p>
      <w:pPr>
        <w:spacing w:after="0" w:line="200" w:lineRule="exact"/>
        <w:rPr>
          <w:sz w:val="20"/>
          <w:szCs w:val="20"/>
          <w:color w:val="auto"/>
        </w:rPr>
      </w:pPr>
    </w:p>
    <w:p>
      <w:pPr>
        <w:spacing w:after="0" w:line="24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2240" w:type="dxa"/>
        <w:tblCellMar>
          <w:top w:w="0" w:type="dxa"/>
          <w:left w:w="0" w:type="dxa"/>
          <w:bottom w:w="0" w:type="dxa"/>
          <w:right w:w="0" w:type="dxa"/>
        </w:tblCellMar>
      </w:tblPr>
      <w:tr>
        <w:trPr>
          <w:trHeight w:val="234"/>
        </w:trPr>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14,693</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16,751</w:t>
            </w:r>
          </w:p>
        </w:tc>
      </w:tr>
      <w:tr>
        <w:trPr>
          <w:trHeight w:val="230"/>
        </w:trPr>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15,054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13,700</w:t>
            </w:r>
          </w:p>
        </w:tc>
      </w:tr>
      <w:tr>
        <w:trPr>
          <w:trHeight w:val="230"/>
        </w:trPr>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12,291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21,691</w:t>
            </w:r>
          </w:p>
        </w:tc>
      </w:tr>
      <w:tr>
        <w:trPr>
          <w:trHeight w:val="229"/>
        </w:trPr>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16,802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9,081</w:t>
            </w:r>
          </w:p>
        </w:tc>
      </w:tr>
      <w:tr>
        <w:trPr>
          <w:trHeight w:val="230"/>
        </w:trPr>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8,306</w:t>
            </w: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13,079</w:t>
            </w:r>
          </w:p>
        </w:tc>
      </w:tr>
      <w:tr>
        <w:trPr>
          <w:trHeight w:val="223"/>
        </w:trPr>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67,146</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74,302</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-624840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-334010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gridSpan w:val="3"/>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28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Nine Months Ended September 30,</w:t>
            </w:r>
          </w:p>
        </w:tc>
      </w:tr>
      <w:tr>
        <w:trPr>
          <w:trHeight w:val="186"/>
        </w:trPr>
        <w:tc>
          <w:tcPr>
            <w:tcW w:w="142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44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4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44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bl>
    <w:p>
      <w:pPr>
        <w:spacing w:after="0" w:line="1" w:lineRule="exact"/>
        <w:rPr>
          <w:sz w:val="20"/>
          <w:szCs w:val="20"/>
          <w:color w:val="auto"/>
        </w:rPr>
      </w:pPr>
    </w:p>
    <w:p>
      <w:pPr>
        <w:sectPr>
          <w:pgSz w:w="11900" w:h="16838" w:orient="portrait"/>
          <w:cols w:equalWidth="0" w:num="2">
            <w:col w:w="4640" w:space="720"/>
            <w:col w:w="58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60" w:type="dxa"/>
            <w:vAlign w:val="bottom"/>
          </w:tcPr>
          <w:p>
            <w:pPr>
              <w:spacing w:after="0"/>
              <w:rPr>
                <w:sz w:val="19"/>
                <w:szCs w:val="19"/>
                <w:color w:val="auto"/>
              </w:rPr>
            </w:pPr>
          </w:p>
        </w:tc>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Goods and services transferred at a point in time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127,657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152,453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365,902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429,461</w:t>
            </w:r>
          </w:p>
        </w:tc>
        <w:tc>
          <w:tcPr>
            <w:tcW w:w="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Goods and services transferred over time</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149,322</w:t>
            </w:r>
          </w:p>
        </w:tc>
        <w:tc>
          <w:tcPr>
            <w:tcW w:w="40" w:type="dxa"/>
            <w:vAlign w:val="bottom"/>
          </w:tcPr>
          <w:p>
            <w:pPr>
              <w:spacing w:after="0"/>
              <w:rPr>
                <w:sz w:val="19"/>
                <w:szCs w:val="19"/>
                <w:color w:val="auto"/>
              </w:rPr>
            </w:pPr>
          </w:p>
        </w:tc>
      </w:tr>
      <w:tr>
        <w:trPr>
          <w:trHeight w:val="248"/>
        </w:trPr>
        <w:tc>
          <w:tcPr>
            <w:tcW w:w="6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578,783</w:t>
            </w:r>
          </w:p>
        </w:tc>
        <w:tc>
          <w:tcPr>
            <w:tcW w:w="4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78"/>
        </w:trPr>
        <w:tc>
          <w:tcPr>
            <w:tcW w:w="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930"/>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5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8"/>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24"/>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313,029</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Asia (excluding PRC)</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86,043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79,157</w:t>
            </w: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69,510</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63,653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66,465</w:t>
            </w: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26,187</w:t>
            </w:r>
          </w:p>
        </w:tc>
      </w:tr>
      <w:tr>
        <w:trPr>
          <w:trHeight w:val="22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24,435</w:t>
            </w:r>
          </w:p>
        </w:tc>
      </w:tr>
      <w:tr>
        <w:trPr>
          <w:trHeight w:val="248"/>
        </w:trPr>
        <w:tc>
          <w:tcPr>
            <w:tcW w:w="5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578,783</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Specific identification of the customer billing location was the basis used for attributing revenues from external customers to geographic areas.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87"/>
        </w:trPr>
        <w:tc>
          <w:tcPr>
            <w:tcW w:w="42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20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83"/>
        </w:trPr>
        <w:tc>
          <w:tcPr>
            <w:tcW w:w="4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91"/>
              </w:rPr>
              <w:t>$ (thousands)</w:t>
            </w:r>
          </w:p>
        </w:tc>
        <w:tc>
          <w:tcPr>
            <w:tcW w:w="1280" w:type="dxa"/>
            <w:vAlign w:val="bottom"/>
          </w:tcPr>
          <w:p>
            <w:pPr>
              <w:jc w:val="right"/>
              <w:ind w:right="233"/>
              <w:spacing w:after="0"/>
              <w:rPr>
                <w:sz w:val="20"/>
                <w:szCs w:val="20"/>
                <w:color w:val="auto"/>
              </w:rPr>
            </w:pPr>
            <w:r>
              <w:rPr>
                <w:rFonts w:ascii="Arial" w:cs="Arial" w:eastAsia="Arial" w:hAnsi="Arial"/>
                <w:sz w:val="14"/>
                <w:szCs w:val="14"/>
                <w:b w:val="1"/>
                <w:bCs w:val="1"/>
                <w:color w:val="auto"/>
                <w:w w:val="99"/>
              </w:rPr>
              <w:t>% of Net Sales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 (thousands)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3"/>
          </w:tcPr>
          <w:p>
            <w:pPr>
              <w:ind w:left="200"/>
              <w:spacing w:after="0"/>
              <w:rPr>
                <w:sz w:val="20"/>
                <w:szCs w:val="20"/>
                <w:color w:val="auto"/>
              </w:rPr>
            </w:pPr>
            <w:r>
              <w:rPr>
                <w:rFonts w:ascii="Arial" w:cs="Arial" w:eastAsia="Arial" w:hAnsi="Arial"/>
                <w:sz w:val="14"/>
                <w:szCs w:val="14"/>
                <w:b w:val="1"/>
                <w:bCs w:val="1"/>
                <w:color w:val="auto"/>
              </w:rPr>
              <w:t>% of Net Sales</w:t>
            </w:r>
          </w:p>
        </w:tc>
      </w:tr>
      <w:tr>
        <w:trPr>
          <w:trHeight w:val="224"/>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32,533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Sony Corporation</w:t>
            </w: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4"/>
              <w:spacing w:after="0"/>
              <w:rPr>
                <w:sz w:val="20"/>
                <w:szCs w:val="20"/>
                <w:color w:val="auto"/>
              </w:rPr>
            </w:pPr>
            <w:r>
              <w:rPr>
                <w:rFonts w:ascii="Arial" w:cs="Arial" w:eastAsia="Arial" w:hAnsi="Arial"/>
                <w:sz w:val="18"/>
                <w:szCs w:val="18"/>
                <w:color w:val="auto"/>
              </w:rPr>
              <w:t>15,927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ind w:left="88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 xml:space="preserve"> (1)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3"/>
          </w:tcPr>
          <w:p>
            <w:pPr>
              <w:ind w:left="980"/>
              <w:spacing w:after="0"/>
              <w:rPr>
                <w:sz w:val="20"/>
                <w:szCs w:val="20"/>
                <w:color w:val="auto"/>
              </w:rPr>
            </w:pPr>
            <w:r>
              <w:rPr>
                <w:rFonts w:ascii="Arial" w:cs="Arial" w:eastAsia="Arial" w:hAnsi="Arial"/>
                <w:sz w:val="26"/>
                <w:szCs w:val="26"/>
                <w:color w:val="auto"/>
                <w:w w:val="95"/>
                <w:vertAlign w:val="subscript"/>
              </w:rPr>
              <w:t>—</w:t>
            </w:r>
            <w:r>
              <w:rPr>
                <w:rFonts w:ascii="Arial" w:cs="Arial" w:eastAsia="Arial" w:hAnsi="Arial"/>
                <w:sz w:val="12"/>
                <w:szCs w:val="12"/>
                <w:color w:val="auto"/>
                <w:w w:val="95"/>
              </w:rPr>
              <w:t>(1)</w:t>
            </w: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Ring L.L.C.</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5"/>
            <w:shd w:val="clear" w:color="auto" w:fill="CCEEFF"/>
          </w:tcPr>
          <w:p>
            <w:pPr>
              <w:jc w:val="right"/>
              <w:ind w:right="40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 xml:space="preserve"> (1)</w:t>
            </w:r>
          </w:p>
        </w:tc>
        <w:tc>
          <w:tcPr>
            <w:tcW w:w="1620" w:type="dxa"/>
            <w:vAlign w:val="bottom"/>
            <w:gridSpan w:val="3"/>
            <w:shd w:val="clear" w:color="auto" w:fill="CCEEFF"/>
          </w:tcPr>
          <w:p>
            <w:pPr>
              <w:ind w:left="880"/>
              <w:spacing w:after="0"/>
              <w:rPr>
                <w:sz w:val="20"/>
                <w:szCs w:val="20"/>
                <w:color w:val="auto"/>
              </w:rPr>
            </w:pPr>
            <w:r>
              <w:rPr>
                <w:rFonts w:ascii="Arial" w:cs="Arial" w:eastAsia="Arial" w:hAnsi="Arial"/>
                <w:sz w:val="26"/>
                <w:szCs w:val="26"/>
                <w:color w:val="auto"/>
                <w:w w:val="95"/>
                <w:vertAlign w:val="subscript"/>
              </w:rPr>
              <w:t>—</w:t>
            </w:r>
            <w:r>
              <w:rPr>
                <w:rFonts w:ascii="Arial" w:cs="Arial" w:eastAsia="Arial" w:hAnsi="Arial"/>
                <w:sz w:val="12"/>
                <w:szCs w:val="12"/>
                <w:color w:val="auto"/>
                <w:w w:val="95"/>
              </w:rPr>
              <w:t>(1)</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439"/>
        </w:trPr>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187"/>
        </w:trPr>
        <w:tc>
          <w:tcPr>
            <w:tcW w:w="4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16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83"/>
        </w:trPr>
        <w:tc>
          <w:tcPr>
            <w:tcW w:w="4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 (thousands)</w:t>
            </w:r>
          </w:p>
        </w:tc>
        <w:tc>
          <w:tcPr>
            <w:tcW w:w="14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of Net Sales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ind w:left="120"/>
              <w:spacing w:after="0"/>
              <w:rPr>
                <w:sz w:val="20"/>
                <w:szCs w:val="20"/>
                <w:color w:val="auto"/>
              </w:rPr>
            </w:pPr>
            <w:r>
              <w:rPr>
                <w:rFonts w:ascii="Arial" w:cs="Arial" w:eastAsia="Arial" w:hAnsi="Arial"/>
                <w:sz w:val="14"/>
                <w:szCs w:val="14"/>
                <w:b w:val="1"/>
                <w:bCs w:val="1"/>
                <w:color w:val="auto"/>
              </w:rPr>
              <w:t>$ (thousands)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3"/>
          </w:tcPr>
          <w:p>
            <w:pPr>
              <w:ind w:left="320"/>
              <w:spacing w:after="0"/>
              <w:rPr>
                <w:sz w:val="20"/>
                <w:szCs w:val="20"/>
                <w:color w:val="auto"/>
              </w:rPr>
            </w:pPr>
            <w:r>
              <w:rPr>
                <w:rFonts w:ascii="Arial" w:cs="Arial" w:eastAsia="Arial" w:hAnsi="Arial"/>
                <w:sz w:val="14"/>
                <w:szCs w:val="14"/>
                <w:b w:val="1"/>
                <w:bCs w:val="1"/>
                <w:color w:val="auto"/>
              </w:rPr>
              <w:t>% of Net Sales</w:t>
            </w:r>
          </w:p>
        </w:tc>
      </w:tr>
      <w:tr>
        <w:trPr>
          <w:trHeight w:val="224"/>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95,014</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20.7 %</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91,058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gridSpan w:val="2"/>
            <w:shd w:val="clear" w:color="auto" w:fill="CCEEFF"/>
          </w:tcPr>
          <w:p>
            <w:pPr>
              <w:spacing w:after="0"/>
              <w:rPr>
                <w:sz w:val="19"/>
                <w:szCs w:val="19"/>
                <w:color w:val="auto"/>
              </w:rPr>
            </w:pPr>
          </w:p>
        </w:tc>
        <w:tc>
          <w:tcPr>
            <w:tcW w:w="1520" w:type="dxa"/>
            <w:vAlign w:val="bottom"/>
            <w:tcBorders>
              <w:top w:val="single" w:sz="8" w:color="auto"/>
            </w:tcBorders>
            <w:gridSpan w:val="2"/>
            <w:shd w:val="clear" w:color="auto" w:fill="CCEEFF"/>
          </w:tcPr>
          <w:p>
            <w:pPr>
              <w:ind w:left="980"/>
              <w:spacing w:after="0"/>
              <w:rPr>
                <w:sz w:val="20"/>
                <w:szCs w:val="20"/>
                <w:color w:val="auto"/>
              </w:rPr>
            </w:pPr>
            <w:r>
              <w:rPr>
                <w:rFonts w:ascii="Arial" w:cs="Arial" w:eastAsia="Arial" w:hAnsi="Arial"/>
                <w:sz w:val="18"/>
                <w:szCs w:val="18"/>
                <w:color w:val="auto"/>
                <w:w w:val="92"/>
              </w:rPr>
              <w:t>15.7 %</w:t>
            </w:r>
          </w:p>
        </w:tc>
        <w:tc>
          <w:tcPr>
            <w:tcW w:w="200" w:type="dxa"/>
            <w:vAlign w:val="bottom"/>
            <w:tcBorders>
              <w:top w:val="single" w:sz="8" w:color="CCEEFF"/>
            </w:tcBorders>
            <w:shd w:val="clear" w:color="auto" w:fill="CCEEFF"/>
          </w:tcPr>
          <w:p>
            <w:pPr>
              <w:spacing w:after="0"/>
              <w:rPr>
                <w:sz w:val="19"/>
                <w:szCs w:val="19"/>
                <w:color w:val="auto"/>
              </w:rPr>
            </w:pPr>
          </w:p>
        </w:tc>
      </w:tr>
    </w:tbl>
    <w:p>
      <w:pPr>
        <w:spacing w:after="0" w:line="181"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Net sales to this customer did not total more than 10% of our total net sales in the indicated period.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29"/>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receivables, gross</w:t>
            </w:r>
          </w:p>
        </w:tc>
        <w:tc>
          <w:tcPr>
            <w:tcW w:w="37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122,882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130,888</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Allowance for bad debts</w:t>
            </w:r>
          </w:p>
        </w:tc>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sales returns</w:t>
            </w:r>
          </w:p>
        </w:tc>
        <w:tc>
          <w:tcPr>
            <w:tcW w:w="37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3"/>
        </w:trPr>
        <w:tc>
          <w:tcPr>
            <w:tcW w:w="3820" w:type="dxa"/>
            <w:vAlign w:val="bottom"/>
          </w:tcPr>
          <w:p>
            <w:pPr>
              <w:ind w:left="340"/>
              <w:spacing w:after="0"/>
              <w:rPr>
                <w:sz w:val="20"/>
                <w:szCs w:val="20"/>
                <w:color w:val="auto"/>
              </w:rPr>
            </w:pPr>
            <w:r>
              <w:rPr>
                <w:rFonts w:ascii="Arial" w:cs="Arial" w:eastAsia="Arial" w:hAnsi="Arial"/>
                <w:sz w:val="18"/>
                <w:szCs w:val="18"/>
                <w:color w:val="auto"/>
              </w:rPr>
              <w:t>Net trade receivables</w:t>
            </w:r>
          </w:p>
        </w:tc>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120,467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128,773</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7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0" w:type="dxa"/>
            <w:vAlign w:val="bottom"/>
          </w:tcPr>
          <w:p>
            <w:pPr>
              <w:spacing w:after="0"/>
              <w:rPr>
                <w:sz w:val="1"/>
                <w:szCs w:val="1"/>
                <w:color w:val="auto"/>
              </w:rPr>
            </w:pPr>
          </w:p>
        </w:tc>
      </w:tr>
      <w:tr>
        <w:trPr>
          <w:trHeight w:val="223"/>
        </w:trPr>
        <w:tc>
          <w:tcPr>
            <w:tcW w:w="38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37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128,094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139,198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780" w:type="dxa"/>
            <w:vAlign w:val="bottom"/>
            <w:vMerge w:val="restart"/>
          </w:tcPr>
          <w:p>
            <w:pPr>
              <w:jc w:val="right"/>
              <w:ind w:right="179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82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Bad Debts</w:t>
      </w:r>
    </w:p>
    <w:p>
      <w:pPr>
        <w:sectPr>
          <w:pgSz w:w="11900" w:h="16838" w:orient="portrait"/>
          <w:cols w:equalWidth="0" w:num="1">
            <w:col w:w="11240"/>
          </w:cols>
          <w:pgMar w:left="320" w:top="118"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allowance for bad debts were as follows:</w:t>
      </w:r>
    </w:p>
    <w:p>
      <w:pPr>
        <w:spacing w:after="0" w:line="38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beginning of period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Additions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Write-offs/Foreign exchange effects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056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r>
      <w:tr>
        <w:trPr>
          <w:trHeight w:val="228"/>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1,121</w:t>
            </w:r>
          </w:p>
        </w:tc>
      </w:tr>
      <w:tr>
        <w:trPr>
          <w:trHeight w:val="230"/>
        </w:trPr>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30"/>
        </w:trPr>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80" w:space="720"/>
            <w:col w:w="3640"/>
          </w:cols>
          <w:pgMar w:left="320" w:top="118" w:right="33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these significant customers that totaled more than 10% of our accounts receivable, net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4"/>
                <w:szCs w:val="14"/>
                <w:b w:val="1"/>
                <w:bCs w:val="1"/>
                <w:color w:val="auto"/>
              </w:rPr>
              <w:t>September 30, 2020</w:t>
            </w: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4"/>
                <w:szCs w:val="14"/>
                <w:b w:val="1"/>
                <w:bCs w:val="1"/>
                <w:color w:val="auto"/>
                <w:w w:val="91"/>
              </w:rPr>
              <w:t>December 31, 2019</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(thousands)</w:t>
            </w:r>
          </w:p>
        </w:tc>
        <w:tc>
          <w:tcPr>
            <w:tcW w:w="1460" w:type="dxa"/>
            <w:vAlign w:val="bottom"/>
          </w:tcPr>
          <w:p>
            <w:pPr>
              <w:jc w:val="right"/>
              <w:ind w:right="199"/>
              <w:spacing w:after="0" w:line="135" w:lineRule="exact"/>
              <w:rPr>
                <w:sz w:val="20"/>
                <w:szCs w:val="20"/>
                <w:color w:val="auto"/>
              </w:rPr>
            </w:pPr>
            <w:r>
              <w:rPr>
                <w:rFonts w:ascii="Arial" w:cs="Arial" w:eastAsia="Arial" w:hAnsi="Arial"/>
                <w:sz w:val="14"/>
                <w:szCs w:val="14"/>
                <w:b w:val="1"/>
                <w:bCs w:val="1"/>
                <w:color w:val="auto"/>
              </w:rPr>
              <w:t>% of Accounts</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(thousands)</w:t>
            </w:r>
          </w:p>
        </w:tc>
        <w:tc>
          <w:tcPr>
            <w:tcW w:w="1460" w:type="dxa"/>
            <w:vAlign w:val="bottom"/>
          </w:tcPr>
          <w:p>
            <w:pPr>
              <w:jc w:val="right"/>
              <w:ind w:right="199"/>
              <w:spacing w:after="0" w:line="135" w:lineRule="exact"/>
              <w:rPr>
                <w:sz w:val="20"/>
                <w:szCs w:val="20"/>
                <w:color w:val="auto"/>
              </w:rPr>
            </w:pPr>
            <w:r>
              <w:rPr>
                <w:rFonts w:ascii="Arial" w:cs="Arial" w:eastAsia="Arial" w:hAnsi="Arial"/>
                <w:sz w:val="14"/>
                <w:szCs w:val="14"/>
                <w:b w:val="1"/>
                <w:bCs w:val="1"/>
                <w:color w:val="auto"/>
              </w:rPr>
              <w:t>% of Accounts</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60" w:type="dxa"/>
            <w:vAlign w:val="bottom"/>
          </w:tcPr>
          <w:p>
            <w:pPr>
              <w:jc w:val="right"/>
              <w:ind w:right="179"/>
              <w:spacing w:after="0"/>
              <w:rPr>
                <w:sz w:val="20"/>
                <w:szCs w:val="20"/>
                <w:color w:val="auto"/>
              </w:rPr>
            </w:pPr>
            <w:r>
              <w:rPr>
                <w:rFonts w:ascii="Arial" w:cs="Arial" w:eastAsia="Arial" w:hAnsi="Arial"/>
                <w:sz w:val="14"/>
                <w:szCs w:val="14"/>
                <w:b w:val="1"/>
                <w:bCs w:val="1"/>
                <w:color w:val="auto"/>
              </w:rPr>
              <w:t>Receivable, Net</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60" w:type="dxa"/>
            <w:vAlign w:val="bottom"/>
          </w:tcPr>
          <w:p>
            <w:pPr>
              <w:jc w:val="right"/>
              <w:ind w:right="179"/>
              <w:spacing w:after="0"/>
              <w:rPr>
                <w:sz w:val="20"/>
                <w:szCs w:val="20"/>
                <w:color w:val="auto"/>
              </w:rPr>
            </w:pPr>
            <w:r>
              <w:rPr>
                <w:rFonts w:ascii="Arial" w:cs="Arial" w:eastAsia="Arial" w:hAnsi="Arial"/>
                <w:sz w:val="14"/>
                <w:szCs w:val="14"/>
                <w:b w:val="1"/>
                <w:bCs w:val="1"/>
                <w:color w:val="auto"/>
              </w:rPr>
              <w:t>Receivable, Net</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25,390</w:t>
            </w:r>
          </w:p>
        </w:tc>
        <w:tc>
          <w:tcPr>
            <w:tcW w:w="3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3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4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DISH Network Corporation</w:t>
            </w:r>
          </w:p>
        </w:tc>
        <w:tc>
          <w:tcPr>
            <w:tcW w:w="160" w:type="dxa"/>
            <w:vAlign w:val="bottom"/>
          </w:tcPr>
          <w:p>
            <w:pPr>
              <w:spacing w:after="0"/>
              <w:rPr>
                <w:sz w:val="20"/>
                <w:szCs w:val="20"/>
                <w:color w:val="auto"/>
              </w:rPr>
            </w:pPr>
          </w:p>
        </w:tc>
        <w:tc>
          <w:tcPr>
            <w:tcW w:w="1460" w:type="dxa"/>
            <w:vAlign w:val="bottom"/>
            <w:gridSpan w:val="2"/>
          </w:tcPr>
          <w:p>
            <w:pPr>
              <w:ind w:left="8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c>
          <w:tcPr>
            <w:tcW w:w="146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14,677</w:t>
            </w:r>
          </w:p>
        </w:tc>
        <w:tc>
          <w:tcPr>
            <w:tcW w:w="3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10.5 %</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Trade receivables associated with this customer did not total more than 10% of our accounts receivable, net at the dates set forth.</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and Significant Suppliers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2019</w:t>
            </w:r>
          </w:p>
        </w:tc>
      </w:tr>
      <w:tr>
        <w:trPr>
          <w:trHeight w:val="22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56,352</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Components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17,215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24,599</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57,676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62,658</w:t>
            </w:r>
          </w:p>
        </w:tc>
      </w:tr>
      <w:tr>
        <w:trPr>
          <w:trHeight w:val="248"/>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145,135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purchase integrated circuits, components and finished goods from multiple sources. Purchases from the following supplier totaled more than 10% of our total inventory purchases: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center"/>
              <w:ind w:left="404"/>
              <w:spacing w:after="0"/>
              <w:rPr>
                <w:sz w:val="20"/>
                <w:szCs w:val="20"/>
                <w:color w:val="auto"/>
              </w:rPr>
            </w:pPr>
            <w:r>
              <w:rPr>
                <w:rFonts w:ascii="Arial" w:cs="Arial" w:eastAsia="Arial" w:hAnsi="Arial"/>
                <w:sz w:val="14"/>
                <w:szCs w:val="14"/>
                <w:b w:val="1"/>
                <w:bCs w:val="1"/>
                <w:color w:val="auto"/>
                <w:w w:val="93"/>
              </w:rPr>
              <w:t>Three Months Ended September 30,</w:t>
            </w: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1184"/>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 of Total Inventory</w:t>
            </w:r>
          </w:p>
        </w:tc>
        <w:tc>
          <w:tcPr>
            <w:tcW w:w="1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ind w:left="80"/>
              <w:spacing w:after="0" w:line="130" w:lineRule="exact"/>
              <w:rPr>
                <w:sz w:val="20"/>
                <w:szCs w:val="20"/>
                <w:color w:val="auto"/>
              </w:rPr>
            </w:pPr>
            <w:r>
              <w:rPr>
                <w:rFonts w:ascii="Arial" w:cs="Arial" w:eastAsia="Arial" w:hAnsi="Arial"/>
                <w:sz w:val="14"/>
                <w:szCs w:val="14"/>
                <w:b w:val="1"/>
                <w:bCs w:val="1"/>
                <w:color w:val="auto"/>
              </w:rPr>
              <w:t>% of Total</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89"/>
              </w:rPr>
              <w:t>(thousands)</w:t>
            </w:r>
          </w:p>
        </w:tc>
        <w:tc>
          <w:tcPr>
            <w:tcW w:w="2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2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(thousands)</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ind w:left="100"/>
              <w:spacing w:after="0" w:line="135" w:lineRule="exact"/>
              <w:rPr>
                <w:sz w:val="20"/>
                <w:szCs w:val="20"/>
                <w:color w:val="auto"/>
              </w:rPr>
            </w:pPr>
            <w:r>
              <w:rPr>
                <w:rFonts w:ascii="Arial" w:cs="Arial" w:eastAsia="Arial" w:hAnsi="Arial"/>
                <w:sz w:val="14"/>
                <w:szCs w:val="14"/>
                <w:b w:val="1"/>
                <w:bCs w:val="1"/>
                <w:color w:val="auto"/>
              </w:rPr>
              <w:t>Inventory</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12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Purchases</w:t>
            </w:r>
          </w:p>
        </w:tc>
        <w:tc>
          <w:tcPr>
            <w:tcW w:w="1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Purchases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Qorvo International Pte Ltd.</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2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2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w w:val="81"/>
              </w:rPr>
              <w:t>(1)</w:t>
            </w: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385"/>
        </w:trPr>
        <w:tc>
          <w:tcPr>
            <w:tcW w:w="5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center"/>
              <w:ind w:left="404"/>
              <w:spacing w:after="0"/>
              <w:rPr>
                <w:sz w:val="20"/>
                <w:szCs w:val="20"/>
                <w:color w:val="auto"/>
              </w:rPr>
            </w:pPr>
            <w:r>
              <w:rPr>
                <w:rFonts w:ascii="Arial" w:cs="Arial" w:eastAsia="Arial" w:hAnsi="Arial"/>
                <w:sz w:val="14"/>
                <w:szCs w:val="14"/>
                <w:b w:val="1"/>
                <w:bCs w:val="1"/>
                <w:color w:val="auto"/>
                <w:w w:val="92"/>
              </w:rPr>
              <w:t>Nine Months Ended September 30,</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1184"/>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 of Total Inventory</w:t>
            </w:r>
          </w:p>
        </w:tc>
        <w:tc>
          <w:tcPr>
            <w:tcW w:w="1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ind w:left="80"/>
              <w:spacing w:after="0" w:line="130" w:lineRule="exact"/>
              <w:rPr>
                <w:sz w:val="20"/>
                <w:szCs w:val="20"/>
                <w:color w:val="auto"/>
              </w:rPr>
            </w:pPr>
            <w:r>
              <w:rPr>
                <w:rFonts w:ascii="Arial" w:cs="Arial" w:eastAsia="Arial" w:hAnsi="Arial"/>
                <w:sz w:val="14"/>
                <w:szCs w:val="14"/>
                <w:b w:val="1"/>
                <w:bCs w:val="1"/>
                <w:color w:val="auto"/>
              </w:rPr>
              <w:t>% of Total</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89"/>
              </w:rPr>
              <w:t>(thousands)</w:t>
            </w:r>
          </w:p>
        </w:tc>
        <w:tc>
          <w:tcPr>
            <w:tcW w:w="2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2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(thousands)</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ind w:left="100"/>
              <w:spacing w:after="0" w:line="135" w:lineRule="exact"/>
              <w:rPr>
                <w:sz w:val="20"/>
                <w:szCs w:val="20"/>
                <w:color w:val="auto"/>
              </w:rPr>
            </w:pPr>
            <w:r>
              <w:rPr>
                <w:rFonts w:ascii="Arial" w:cs="Arial" w:eastAsia="Arial" w:hAnsi="Arial"/>
                <w:sz w:val="14"/>
                <w:szCs w:val="14"/>
                <w:b w:val="1"/>
                <w:bCs w:val="1"/>
                <w:color w:val="auto"/>
              </w:rPr>
              <w:t>Inventory</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12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Purchases</w:t>
            </w:r>
          </w:p>
        </w:tc>
        <w:tc>
          <w:tcPr>
            <w:tcW w:w="1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Purchases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Qorvo International Pte Ltd.</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29,679</w:t>
            </w:r>
          </w:p>
        </w:tc>
        <w:tc>
          <w:tcPr>
            <w:tcW w:w="2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2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w w:val="81"/>
              </w:rPr>
              <w:t>(1)</w:t>
            </w: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540" w:right="1680" w:hanging="5208"/>
        <w:spacing w:after="0" w:line="899" w:lineRule="auto"/>
        <w:tabs>
          <w:tab w:leader="none" w:pos="65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Purchases associated with this supplier did not total more than 10% of our total inventory purchases for the indicated period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supplier that totaled more than 10% of our accounts payable,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140" w:type="dxa"/>
            <w:vAlign w:val="bottom"/>
            <w:gridSpan w:val="4"/>
          </w:tcPr>
          <w:p>
            <w:pPr>
              <w:jc w:val="right"/>
              <w:ind w:right="1062"/>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6"/>
                <w:szCs w:val="16"/>
                <w:color w:val="auto"/>
              </w:rPr>
            </w:pPr>
          </w:p>
        </w:tc>
        <w:tc>
          <w:tcPr>
            <w:tcW w:w="2660" w:type="dxa"/>
            <w:vAlign w:val="bottom"/>
            <w:gridSpan w:val="3"/>
          </w:tcPr>
          <w:p>
            <w:pPr>
              <w:jc w:val="right"/>
              <w:ind w:right="74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4"/>
        </w:trPr>
        <w:tc>
          <w:tcPr>
            <w:tcW w:w="5280" w:type="dxa"/>
            <w:vAlign w:val="bottom"/>
          </w:tcPr>
          <w:p>
            <w:pPr>
              <w:spacing w:after="0"/>
              <w:rPr>
                <w:sz w:val="11"/>
                <w:szCs w:val="11"/>
                <w:color w:val="auto"/>
              </w:rPr>
            </w:pPr>
          </w:p>
        </w:tc>
        <w:tc>
          <w:tcPr>
            <w:tcW w:w="1240" w:type="dxa"/>
            <w:vAlign w:val="bottom"/>
            <w:tcBorders>
              <w:top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 (thousands)</w:t>
            </w:r>
          </w:p>
        </w:tc>
        <w:tc>
          <w:tcPr>
            <w:tcW w:w="3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 of Accounts</w:t>
            </w: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 (thousands)</w:t>
            </w:r>
          </w:p>
        </w:tc>
        <w:tc>
          <w:tcPr>
            <w:tcW w:w="14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 of Accounts</w:t>
            </w:r>
          </w:p>
        </w:tc>
        <w:tc>
          <w:tcPr>
            <w:tcW w:w="0" w:type="dxa"/>
            <w:vAlign w:val="bottom"/>
          </w:tcPr>
          <w:p>
            <w:pPr>
              <w:spacing w:after="0"/>
              <w:rPr>
                <w:sz w:val="1"/>
                <w:szCs w:val="1"/>
                <w:color w:val="auto"/>
              </w:rPr>
            </w:pPr>
          </w:p>
        </w:tc>
      </w:tr>
      <w:tr>
        <w:trPr>
          <w:trHeight w:val="188"/>
        </w:trPr>
        <w:tc>
          <w:tcPr>
            <w:tcW w:w="5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2"/>
          </w:tcPr>
          <w:p>
            <w:pPr>
              <w:jc w:val="center"/>
              <w:ind w:right="282"/>
              <w:spacing w:after="0"/>
              <w:rPr>
                <w:sz w:val="20"/>
                <w:szCs w:val="20"/>
                <w:color w:val="auto"/>
              </w:rPr>
            </w:pPr>
            <w:r>
              <w:rPr>
                <w:rFonts w:ascii="Arial" w:cs="Arial" w:eastAsia="Arial" w:hAnsi="Arial"/>
                <w:sz w:val="14"/>
                <w:szCs w:val="14"/>
                <w:b w:val="1"/>
                <w:bCs w:val="1"/>
                <w:color w:val="auto"/>
                <w:w w:val="94"/>
              </w:rPr>
              <w:t>Payable</w:t>
            </w: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Payable</w:t>
            </w:r>
          </w:p>
        </w:tc>
        <w:tc>
          <w:tcPr>
            <w:tcW w:w="0" w:type="dxa"/>
            <w:vAlign w:val="bottom"/>
          </w:tcPr>
          <w:p>
            <w:pPr>
              <w:spacing w:after="0"/>
              <w:rPr>
                <w:sz w:val="1"/>
                <w:szCs w:val="1"/>
                <w:color w:val="auto"/>
              </w:rPr>
            </w:pPr>
          </w:p>
        </w:tc>
      </w:tr>
      <w:tr>
        <w:trPr>
          <w:trHeight w:val="224"/>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Zhejiang Zhen You Electronics Co. Ltd.</w:t>
            </w: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81"/>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11,394</w:t>
            </w:r>
          </w:p>
        </w:tc>
        <w:tc>
          <w:tcPr>
            <w:tcW w:w="2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Accounts payable associated with this supplier did not total more than 10% of our accounts payable at the dates set forth.</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entered into various operating lease agreements for automobiles, offices and manufacturing facilities throughout the world. At September 30, 2020, our operating leases had remaining lease terms of up to 40 years.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Lease balances within our consolidated balance sheet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16"/>
                <w:szCs w:val="16"/>
                <w:color w:val="auto"/>
              </w:rPr>
            </w:pPr>
          </w:p>
        </w:tc>
        <w:tc>
          <w:tcPr>
            <w:tcW w:w="156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 2019</w:t>
            </w:r>
          </w:p>
        </w:tc>
      </w:tr>
      <w:tr>
        <w:trPr>
          <w:trHeight w:val="215"/>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7600" w:type="dxa"/>
            <w:vAlign w:val="bottom"/>
          </w:tcPr>
          <w:p>
            <w:pPr>
              <w:ind w:left="3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19,826</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7"/>
        </w:trPr>
        <w:tc>
          <w:tcPr>
            <w:tcW w:w="7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30"/>
        </w:trPr>
        <w:tc>
          <w:tcPr>
            <w:tcW w:w="7600" w:type="dxa"/>
            <w:vAlign w:val="bottom"/>
          </w:tcPr>
          <w:p>
            <w:pPr>
              <w:ind w:left="340"/>
              <w:spacing w:after="0"/>
              <w:rPr>
                <w:sz w:val="20"/>
                <w:szCs w:val="20"/>
                <w:color w:val="auto"/>
              </w:rPr>
            </w:pPr>
            <w:r>
              <w:rPr>
                <w:rFonts w:ascii="Arial" w:cs="Arial" w:eastAsia="Arial" w:hAnsi="Arial"/>
                <w:sz w:val="18"/>
                <w:szCs w:val="18"/>
                <w:color w:val="auto"/>
              </w:rPr>
              <w:t>Other accrued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5,802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4,903</w:t>
            </w:r>
          </w:p>
        </w:tc>
      </w:tr>
      <w:tr>
        <w:trPr>
          <w:trHeight w:val="229"/>
        </w:trPr>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operating lease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15,639</w:t>
            </w:r>
          </w:p>
        </w:tc>
      </w:tr>
      <w:tr>
        <w:trPr>
          <w:trHeight w:val="223"/>
        </w:trPr>
        <w:tc>
          <w:tcPr>
            <w:tcW w:w="7600" w:type="dxa"/>
            <w:vAlign w:val="bottom"/>
          </w:tcPr>
          <w:p>
            <w:pPr>
              <w:ind w:left="760"/>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20,542</w:t>
            </w: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lease expense, including variable and short-term lease costs which were insignificant to the total, operating lease cash flows and supplemental cash flow information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700" w:type="dxa"/>
            <w:vAlign w:val="bottom"/>
            <w:gridSpan w:val="7"/>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2,994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lease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20"/>
              <w:spacing w:after="0" w:line="203" w:lineRule="exact"/>
              <w:rPr>
                <w:sz w:val="20"/>
                <w:szCs w:val="20"/>
                <w:color w:val="auto"/>
              </w:rPr>
            </w:pPr>
            <w:r>
              <w:rPr>
                <w:rFonts w:ascii="Arial" w:cs="Arial" w:eastAsia="Arial" w:hAnsi="Arial"/>
                <w:sz w:val="18"/>
                <w:szCs w:val="18"/>
                <w:color w:val="auto"/>
              </w:rPr>
              <w:t>Operating cash outflows from operating leases</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4,685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3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Operating lease right-of-use assets obtained in exchange for lease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2,121</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obligations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360" w:type="dxa"/>
            <w:vAlign w:val="bottom"/>
            <w:gridSpan w:val="8"/>
          </w:tcPr>
          <w:p>
            <w:pPr>
              <w:spacing w:after="0"/>
              <w:rPr>
                <w:sz w:val="20"/>
                <w:szCs w:val="20"/>
                <w:color w:val="auto"/>
              </w:rPr>
            </w:pPr>
            <w:r>
              <w:rPr>
                <w:rFonts w:ascii="Arial" w:cs="Arial" w:eastAsia="Arial" w:hAnsi="Arial"/>
                <w:sz w:val="18"/>
                <w:szCs w:val="18"/>
                <w:color w:val="auto"/>
                <w:w w:val="96"/>
              </w:rPr>
              <w:t>The weighted average remaining lease liability term and the weighted average discount rate were as follows: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 2020</w:t>
            </w:r>
          </w:p>
        </w:tc>
        <w:tc>
          <w:tcPr>
            <w:tcW w:w="200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lease liability term (in years)</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4.18 %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75"/>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table reconciles the undiscounted cash flows for each of the first five years and thereafter to the operating lease liabilities recognized in our consolidated balance sheet at September 30, 2020. The reconciliation excludes short-term leases that are not recorded on the balance sheet.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September 30, 2020</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(remaining 3 months)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6,671</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2,835</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w:t>
            </w:r>
          </w:p>
        </w:tc>
      </w:tr>
      <w:tr>
        <w:trPr>
          <w:trHeight w:val="223"/>
        </w:trPr>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20,685</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w:t>
            </w:r>
          </w:p>
        </w:tc>
      </w:tr>
      <w:tr>
        <w:trPr>
          <w:trHeight w:val="248"/>
        </w:trPr>
        <w:tc>
          <w:tcPr>
            <w:tcW w:w="9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2020, we had one operating lease with a five-year term that had not yet commenced. The total initial lease liability, which is immaterial to the balance sheet, is not reflected within the above maturity schedule.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48,447</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Foreign exchange effects</w:t>
            </w: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48,526</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Intangible Assets, Net</w:t>
            </w: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3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420" w:type="dxa"/>
            <w:vAlign w:val="bottom"/>
            <w:gridSpan w:val="4"/>
          </w:tcPr>
          <w:p>
            <w:pPr>
              <w:spacing w:after="0"/>
              <w:rPr>
                <w:sz w:val="20"/>
                <w:szCs w:val="20"/>
                <w:color w:val="auto"/>
              </w:rPr>
            </w:pPr>
            <w:r>
              <w:rPr>
                <w:rFonts w:ascii="Arial" w:cs="Arial" w:eastAsia="Arial" w:hAnsi="Arial"/>
                <w:sz w:val="18"/>
                <w:szCs w:val="18"/>
                <w:color w:val="auto"/>
                <w:w w:val="95"/>
              </w:rPr>
              <w:t>The components of intangible assets, net were as follows: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2020</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2019</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18"/>
                <w:szCs w:val="18"/>
                <w:b w:val="1"/>
                <w:bCs w:val="1"/>
                <w:color w:val="auto"/>
                <w:vertAlign w:val="superscript"/>
              </w:rPr>
              <w:t>(1)</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1"/>
                <w:szCs w:val="11"/>
                <w:color w:val="auto"/>
              </w:rPr>
            </w:pP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1"/>
                <w:szCs w:val="11"/>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18"/>
                <w:szCs w:val="18"/>
                <w:b w:val="1"/>
                <w:bCs w:val="1"/>
                <w:color w:val="auto"/>
                <w:vertAlign w:val="superscript"/>
              </w:rPr>
              <w:t>(1)</w:t>
            </w:r>
          </w:p>
        </w:tc>
        <w:tc>
          <w:tcPr>
            <w:tcW w:w="140" w:type="dxa"/>
            <w:vAlign w:val="bottom"/>
          </w:tcPr>
          <w:p>
            <w:pPr>
              <w:spacing w:after="0"/>
              <w:rPr>
                <w:sz w:val="11"/>
                <w:szCs w:val="11"/>
                <w:color w:val="auto"/>
              </w:rPr>
            </w:pPr>
          </w:p>
        </w:tc>
        <w:tc>
          <w:tcPr>
            <w:tcW w:w="128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1"/>
                <w:szCs w:val="11"/>
                <w:color w:val="auto"/>
              </w:rPr>
            </w:pP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9"/>
        </w:trPr>
        <w:tc>
          <w:tcPr>
            <w:tcW w:w="3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92"/>
              </w:rPr>
              <w:t xml:space="preserve">Amortization </w:t>
            </w:r>
            <w:r>
              <w:rPr>
                <w:rFonts w:ascii="Arial" w:cs="Arial" w:eastAsia="Arial" w:hAnsi="Arial"/>
                <w:sz w:val="18"/>
                <w:szCs w:val="18"/>
                <w:b w:val="1"/>
                <w:bCs w:val="1"/>
                <w:color w:val="auto"/>
                <w:w w:val="92"/>
                <w:vertAlign w:val="superscript"/>
              </w:rPr>
              <w:t>(1)</w:t>
            </w:r>
          </w:p>
        </w:tc>
        <w:tc>
          <w:tcPr>
            <w:tcW w:w="3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center"/>
              <w:ind w:right="240"/>
              <w:spacing w:after="0" w:line="189" w:lineRule="exact"/>
              <w:rPr>
                <w:sz w:val="20"/>
                <w:szCs w:val="20"/>
                <w:color w:val="auto"/>
              </w:rPr>
            </w:pPr>
            <w:r>
              <w:rPr>
                <w:rFonts w:ascii="Arial" w:cs="Arial" w:eastAsia="Arial" w:hAnsi="Arial"/>
                <w:sz w:val="14"/>
                <w:szCs w:val="14"/>
                <w:b w:val="1"/>
                <w:bCs w:val="1"/>
                <w:color w:val="auto"/>
                <w:w w:val="92"/>
              </w:rPr>
              <w:t xml:space="preserve">Amortization </w:t>
            </w:r>
            <w:r>
              <w:rPr>
                <w:rFonts w:ascii="Arial" w:cs="Arial" w:eastAsia="Arial" w:hAnsi="Arial"/>
                <w:sz w:val="18"/>
                <w:szCs w:val="18"/>
                <w:b w:val="1"/>
                <w:bCs w:val="1"/>
                <w:color w:val="auto"/>
                <w:w w:val="92"/>
                <w:vertAlign w:val="superscript"/>
              </w:rPr>
              <w:t>(1)</w:t>
            </w:r>
          </w:p>
        </w:tc>
        <w:tc>
          <w:tcPr>
            <w:tcW w:w="3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Distribution rights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Arial" w:cs="Arial" w:eastAsia="Arial" w:hAnsi="Arial"/>
                <w:sz w:val="16"/>
                <w:szCs w:val="16"/>
                <w:color w:val="auto"/>
              </w:rPr>
              <w:t>Patents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20,962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16,587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(6,491)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Trademarks and trade names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Arial" w:cs="Arial" w:eastAsia="Arial" w:hAnsi="Arial"/>
                <w:sz w:val="16"/>
                <w:szCs w:val="16"/>
                <w:color w:val="auto"/>
              </w:rPr>
              <w:t>Developed and core technology</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(10,016)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Customer relationships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31,233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(27,093)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32,534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(25,956)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intangible assets,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59,651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(40,034)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19,617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64,708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(44,878)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60" w:hanging="328"/>
        <w:spacing w:after="0" w:line="277" w:lineRule="auto"/>
        <w:tabs>
          <w:tab w:leader="none" w:pos="65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table excludes the gross value of fully amortized intangible assets totaling $17.6 million and $7.4 million at September 30,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which was recognized in selling, general and administrative expenses, was $1.8 million and $1.8 million during the three months ended September 30, 2020 and 2019, respectively. Amortization expense, which was recognized in selling, general and administrative expenses, was $5.5 million and $5.4 million during the nine months ended September 30, 2020 and 2019,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expense related to our intangible assets at September 30, 2020,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5"/>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(remaining 3 months)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3,391</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2,999</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w:t>
            </w:r>
          </w:p>
        </w:tc>
      </w:tr>
      <w:tr>
        <w:trPr>
          <w:trHeight w:val="248"/>
        </w:trPr>
        <w:tc>
          <w:tcPr>
            <w:tcW w:w="9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Line of Credit</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Second Amended and Restated Credit Agreement ("Second Amended Credit Agreement") with U.S. Bank National Association ("U.S. Bank") provides for a $125.0 million revolving line of credit ("Credit Line") that expires on November 1, 2021.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September 30, 2020.</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 in effect at September 30, 2020 was 1.39%. There are no commitment fees or unused line fees under the Second Amended Credit Agreement.</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At September 30, 2020, we were in compliance with the covenants and conditions of the Second Amended Credit Agreement.</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2020, we had $50.0 million outstanding under the Credit Line. Our total interest expense on borrowings was $0.3 million and $0.9 million during the three months ended September 30, 2020 and 2019, respectively. Our total interest expense on borrowings was $1.4 million and $3.4 million during the nine months ended September 30, 2020 and 2019,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rate and multiplying it by the year-to-date pre-tax book income.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income tax expense of $2.2 million and $2.5 million for the three months ended September 30, 2020 and 2019, respectively. We recorded income tax expense of $5.3 million and $3.7 million for the nine months ended September 30, 2020 and 2019, respectively. The income tax expense for the nine months ended September 30, 2020 increased primarily due to an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increase in global pre-tax income and the mix of pre-tax income among jurisdictions, including losses not benefited as a result of a valuation allowance.</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2019, we assessed the realizability of our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At December 31, 2019, we had a three-year cumulative operating loss for our U.S. operations and accordingly, have provided a full valuation allowance on our U.S. federal and state deferred tax assets. During the nine months ended September 30, 2020, there was no change to our valuation allowance position.</w:t>
      </w:r>
    </w:p>
    <w:p>
      <w:pPr>
        <w:spacing w:after="0" w:line="15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September 30, 2020, we had gross unrecognized tax benefits of $3.1 million, including interest and penalties, of which approximately $3.1 million of this amount, if not for the state Research and Experimentation income tax credit valuation allowance, would affect the annual effective tax rate if these tax benefits are realized. Further, we are unaware of any positions for which it is reasonably possible that the total amounts of unrecognized tax benefits will significantly increase within the next twelve months. However, based on federal, state and foreign statute expirations in various jurisdictions, we anticipate a decrease in unrecognized tax benefits of approximately $0.2 million within the next twelve months based on federal, state, and foreign statute expirations in various jurisdictions. We have classified uncertain tax positions as non-current income tax liabilities unless they are expected to be paid within one year.</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$0.2 million at September 30, 2020 and $0.2 million at December 31, 2019 are included in the unrecognized tax benefits.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18, 2020 and March 27, 2020, the Families First Coronavirus Response ("FFCR") Act and the Coronavirus Aid, Relief and Economic Security ("CARES") Act, respectively, were enacted in response to the COVID-19 pandemic. The FFCR Act and the CARES Act contain numerous income tax provisions, such as relaxing limitations on the deductibility of interest and the use of net operating losses arising in taxable years beginning after December 31, 2017. We are currently evaluating the impact of this legislation on our consolidated financial position, results of operations, and cash flows. Future regulatory guidance under the FFCR and CARES Acts (as well as under the Tax Cuts and Jobs Act) remains forthcoming and such guidance may ultimately increase or decrease their impact on our business and financial condition. It is also possible that Congress will enact additional legislation in connection with the COVID-19 pandemic, some of which may impact us.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2020, recent interpretations of a German law relating to withholding taxes on intellectual property rights emerged. We are currently evaluating this law and any related impact to our financial position and results of operations.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Accrued Compensation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2018, we sold our Guangzhou entity via a stock deal and the terms of the agreement included a two-year indemnification period. In June 2020, the indemnification period expired and we determined we were no longer legally liable for any liabilities associated with our Guangzhou entity. Accordingly, we reversed the accrued social insurance by the amount associated with the Guangzhou entity, which was approximately $9.5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2019</w:t>
            </w:r>
          </w:p>
        </w:tc>
      </w:tr>
      <w:tr>
        <w:trPr>
          <w:trHeight w:val="229"/>
        </w:trPr>
        <w:tc>
          <w:tcPr>
            <w:tcW w:w="760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16,588</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Accrued salary/wages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7,465</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vacation/holiday</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Accrued bonus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13,965</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commission</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compensation</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r>
      <w:tr>
        <w:trPr>
          <w:trHeight w:val="248"/>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accrued compensation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660" w:hanging="328"/>
        <w:spacing w:after="0" w:line="238" w:lineRule="auto"/>
        <w:tabs>
          <w:tab w:leader="none" w:pos="64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PRC employers are required by law to remit the applicable social insurance payments to their local government. Social insurance is comprised of various components such as pension, medical insurance, job industry insurance, unemployment insurance, and a housing assistance fund, and is administered in a manner similar to social security in the United States. This amount represents our estimate of the amounts due to the PRC government for social insurance at September 30, 2020 and December 31,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Accrued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liabilities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 2019</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Duties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3,731</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 and handling fees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4,903</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warranty claims costs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2,833</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value added taxes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Short-term contingent consideration</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5,428</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7,501</w:t>
            </w:r>
          </w:p>
        </w:tc>
      </w:tr>
      <w:tr>
        <w:trPr>
          <w:trHeight w:val="223"/>
        </w:trPr>
        <w:tc>
          <w:tcPr>
            <w:tcW w:w="7840" w:type="dxa"/>
            <w:vAlign w:val="bottom"/>
          </w:tcPr>
          <w:p>
            <w:pPr>
              <w:ind w:left="340"/>
              <w:spacing w:after="0"/>
              <w:rPr>
                <w:sz w:val="20"/>
                <w:szCs w:val="20"/>
                <w:color w:val="auto"/>
              </w:rPr>
            </w:pPr>
            <w:r>
              <w:rPr>
                <w:rFonts w:ascii="Arial" w:cs="Arial" w:eastAsia="Arial" w:hAnsi="Arial"/>
                <w:sz w:val="18"/>
                <w:szCs w:val="18"/>
                <w:color w:val="auto"/>
              </w:rPr>
              <w:t>Total other accrued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35,445</w:t>
            </w:r>
          </w:p>
        </w:tc>
      </w:tr>
      <w:tr>
        <w:trPr>
          <w:trHeight w:val="20"/>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claims costs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 September 30,</w:t>
            </w:r>
          </w:p>
        </w:tc>
      </w:tr>
      <w:tr>
        <w:trPr>
          <w:trHeight w:val="23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2019</w:t>
            </w:r>
          </w:p>
        </w:tc>
      </w:tr>
      <w:tr>
        <w:trPr>
          <w:trHeight w:val="22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(in cash or in kind) during the period/Foreign exchange effects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r>
      <w:tr>
        <w:trPr>
          <w:trHeight w:val="21"/>
        </w:trPr>
        <w:tc>
          <w:tcPr>
            <w:tcW w:w="7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Roku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Lawsuit</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5, 2018, we filed a lawsuit against Roku, Inc. ("Roku") in the United States District Court, Central District of California,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 components therefore and certain universal control devices, including but not limited to the Roku App, Roku TV, Roku Express, Roku Streaming Stick, Roku Ultra, Roku Premiere, Roku 4, Roku 3, Roku 2, Roku Enhanced Remote and any other Roku product that provides for the remote control of an external device such as a TV, audiovisual receiver, sound bar or Roku TV Wireless Speakers. In October 2019, the Court stayed this lawsuit pending action by the Patent Trial and Appeals Board (the "PTAB") with respect to Roku's Inter Partes Review requests (see discussion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Trade Commission Investigation of Roku, TCL, Hisense and Funai</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16, 2020, we filed a complaint with the International Trade Commission (the "ITC") against Roku, TCL Electronics Holding Limited and related entities (collectively, "TCL"), Hisense Co., Ltd. and related entities (collectively, "Hisense"), and Funai Electric Company, Ltd. and related entities (collectively, "Funai") claiming that certain of their televisions, set-top boxes, remote control devices, human interface devices, streaming devices, and sound bars infringe certain of our patents. We asked the ITC to issue a permanent limited exclusion order prohibiting the importation of these infringing products into the United States and a cease and desist order to stop these parties from continuing their infringing activities. On May 18, 2020, the ITC announced that it instituted its investigation as requested by us. We are in the discovery phase of this investigation which is set to end in early November 2020.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 Partes Reviews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and October 2019, Roku filed Inter Partes Review ("IPR") requests with the PTAB on the nine patents at issue in the 2018 Lawsuit (see discussion above). To date, the PTAB has denied Roku's request with respect to three of the nine patents and granted Roku's request with respect to six of the nine patents. As for those IPRs for which the PTAB granted Roku's request for review, we will vigorously defend our patents. In May and June 2020, Roku filed four IPR requests against three patents asserted in the ITC investigation. UEI has responded to these requests and we are awaiting the PTAB decision in early to mid 2021.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Federal District Court Actions against each of Roku, TCL, Hisense, and Funai related to the ITC Matter</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9, 2020, we filed separate actions against each of Roku, TCL, Hisense, and Funai in the United States District Court, Central District of California, alleging that Roku is willfully infringing five of our patents and TCL, Hisense, and Funai are willfully infringing six of our patents by incorporating our patented technology into certain of their televisions, set-top boxes, remote control devices, human interface devices, streaming devices, and sound bars. These matters have been stayed pending the results of the ITC investigation mentioned above.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Court of International Trade Action against the United States of America, et. al.</w:t>
      </w:r>
    </w:p>
    <w:p>
      <w:pPr>
        <w:spacing w:after="0" w:line="6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9, 2020, Universal Electronics Inc. ("UEI") and our subsidiaries, Ecolink Intelligent Technology, Inc. ("Ecolink") and RCS Technology, LLC ("RCS") filed an amended complaint (20-cv-00670) in the Court of International Trade (the "CIT") against the United States of America; the Office of the United States Trade Representative; Robert E. Lighthizer, U.S. Trade Representative; U.S. Customs &amp; Border Protection; and Mark A. Morgan, U.S. Customs &amp; Border Protection Acting Commissioner, challenging both the substantive and procedural processes followed by the United States Trade Representative ("USTR") when instituting Section 301 Tariffs on imports from China under Lists 3 and 4A.</w:t>
      </w:r>
    </w:p>
    <w:p>
      <w:pPr>
        <w:spacing w:after="0" w:line="1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By this complaint, UEI, Ecolink and RCS are alleging that USTR's institution of Lists 3 and 4A tariffs violated the Trade Act of 1974 (the "Trade Act") on the grounds that the USTR failed to make a determination or finding that there was an unfair trade practice that required a remedy and moreover, that Lists 3 and 4A tariffs were instituted beyond the 12-month time limit provided for in the governing statute. UEI, Ecolink and RCS also allege that the manner in which the Lists 3 and 4A tariff actions were implemented violated the Administrative Procedures Act (the "APA") by failing to provide adequate opportunity for comments, failed to consider relevant factors when making its decision and failed to connect the record facts to the choices it made by not explaining how the comments received by USTR came to shape the final implementation of Lists 3 and 4A.</w:t>
      </w:r>
    </w:p>
    <w:p>
      <w:pPr>
        <w:spacing w:after="0" w:line="9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UEI, Ecolink and RCS are asking the CIT to declare that Defendants' actions resulting in the tariffs on products covered by Lists 3 and 4A are unauthorized by and contrary to the Trade Act and was arbitrarily and unlawfully promulgated in violation of the APA; to vacate the Lists 3 and 4A tariffs; to order a refund (with interest) of any Lists 3 and 4A duties paid by UEI, Ecolink and RCS; to permanently enjoin the U.S. government from applying Lists 3 and 4A duties against UEI, Ecolink and RCS; and award UEI, Ecolink and RCS their costs and reasonable attorney fees.</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Government has requested an automatic stay of all pending cases challenging the List 3 and List 4A tariffs except for one or more "test cases." It proposed the first-filed case—the case filed by HMTX—as the test case. The government also asked the court to appoint a "steering committee" consisting of several lead counsel for the plaintiffs to direct the litigation. The government proposed a bifurcated briefing schedule, under which the parties would first brief the government's upcoming motion to dismiss before briefing the merits of plaintiffs' claims. We will agree to a stay in our case. HMTX has filed a response agreeing to the stay and to being the test case but opposed the Government's proposed briefing schedule</w:t>
      </w:r>
      <w:r>
        <w:rPr>
          <w:rFonts w:ascii="Arial" w:cs="Arial" w:eastAsia="Arial" w:hAnsi="Arial"/>
          <w:sz w:val="17"/>
          <w:szCs w:val="17"/>
          <w:color w:val="1F497D"/>
        </w:rPr>
        <w:t>.</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1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Treasury Stock</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From time to time, our Board of Directors authorizes management to repurchase shares of our issued and outstanding common stock. On September 15, 2020, our Board of Directors authorized a share repurchase program (the "September 2020 Program"), which replaced in its entirety the previous repurchase program. Pursuant to the September 2020 Program, we may repurchase up to 300,000 shares of our common stock. At September 30, 2020, we had 213,075 shares of common stock authorized for repurchase remaining under the September 2020 Program. Subsequent to September 30, 2020, we repurchased an additional 113,075 shares under the September 2020 Program at a cost of $4.4 million. On October 28, 2020, our Board terminated the September 2020 Program and replaced it with a new share repurchase program with an effective date of November 10, 2020 (the "November 2020 Program"). Pursuant to the November 2020 Program, we may, from time to time until February 18, 2021, repurchase up to 500,000 shares of our common stock. We may repurchase shares of common stock in privately negotiated and/or open-market transactions, including pursuant to plans complying with Rule 10b5-1 promulgated under the Securities Exchange Act of 1934.</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Cost of shares repurchased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9,822</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1,741</w:t>
            </w:r>
          </w:p>
        </w:tc>
      </w:tr>
    </w:tbl>
    <w:p>
      <w:pPr>
        <w:spacing w:after="0" w:line="1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Long-lived Tangible Assets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Long-lived tangible assets by geographic area, which include property, plant, and equipment, net and operating lease right-of-use assets,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2019</w:t>
            </w:r>
          </w:p>
        </w:tc>
      </w:tr>
      <w:tr>
        <w:trPr>
          <w:trHeight w:val="22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19,938</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61,320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67,625</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16,644</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countries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6,351</w:t>
            </w:r>
          </w:p>
        </w:tc>
      </w:tr>
      <w:tr>
        <w:trPr>
          <w:trHeight w:val="248"/>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long-lived tangible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110,558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each employee and director is presented in the same statement of operations caption as their cash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statement of operations caption and the related income tax benefit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34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8"/>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24"/>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809</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16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5,005</w:t>
            </w:r>
          </w:p>
        </w:tc>
      </w:tr>
      <w:tr>
        <w:trPr>
          <w:trHeight w:val="229"/>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 employee and director stock-based compensation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6,718</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4"/>
        </w:trPr>
        <w:tc>
          <w:tcPr>
            <w:tcW w:w="6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Weighted-Average</w:t>
            </w:r>
          </w:p>
        </w:tc>
        <w:tc>
          <w:tcPr>
            <w:tcW w:w="1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3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9"/>
              </w:rPr>
              <w:t>Number of Options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Contractual Term</w:t>
            </w:r>
          </w:p>
        </w:tc>
        <w:tc>
          <w:tcPr>
            <w:tcW w:w="180" w:type="dxa"/>
            <w:vAlign w:val="bottom"/>
          </w:tcPr>
          <w:p>
            <w:pPr>
              <w:spacing w:after="0"/>
              <w:rPr>
                <w:sz w:val="11"/>
                <w:szCs w:val="11"/>
                <w:color w:val="auto"/>
              </w:rPr>
            </w:pPr>
          </w:p>
        </w:tc>
        <w:tc>
          <w:tcPr>
            <w:tcW w:w="120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8"/>
        </w:trPr>
        <w:tc>
          <w:tcPr>
            <w:tcW w:w="5380" w:type="dxa"/>
            <w:vAlign w:val="bottom"/>
          </w:tcPr>
          <w:p>
            <w:pPr>
              <w:spacing w:after="0"/>
              <w:rPr>
                <w:sz w:val="16"/>
                <w:szCs w:val="16"/>
                <w:color w:val="auto"/>
              </w:rPr>
            </w:pPr>
          </w:p>
        </w:tc>
        <w:tc>
          <w:tcPr>
            <w:tcW w:w="1380" w:type="dxa"/>
            <w:vAlign w:val="bottom"/>
          </w:tcPr>
          <w:p>
            <w:pPr>
              <w:jc w:val="right"/>
              <w:ind w:right="17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Exercise Price</w:t>
            </w: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46.17</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Forfeited/canceled/expired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Outstanding at September 30, 2020 </w:t>
            </w:r>
            <w:r>
              <w:rPr>
                <w:rFonts w:ascii="Arial" w:cs="Arial" w:eastAsia="Arial" w:hAnsi="Arial"/>
                <w:sz w:val="23"/>
                <w:szCs w:val="23"/>
                <w:color w:val="auto"/>
                <w:vertAlign w:val="superscript"/>
              </w:rPr>
              <w:t>(1)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 xml:space="preserve">Vested and expected to vest at September 30, 2020 </w:t>
            </w:r>
            <w:r>
              <w:rPr>
                <w:rFonts w:ascii="Arial" w:cs="Arial" w:eastAsia="Arial" w:hAnsi="Arial"/>
                <w:sz w:val="23"/>
                <w:szCs w:val="23"/>
                <w:color w:val="auto"/>
                <w:vertAlign w:val="superscript"/>
              </w:rPr>
              <w:t>(1)</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42.29</w:t>
            </w: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line="20" w:lineRule="exact"/>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854</w:t>
            </w:r>
          </w:p>
        </w:tc>
        <w:tc>
          <w:tcPr>
            <w:tcW w:w="22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Exercisable at September 30, 2020 </w:t>
            </w:r>
            <w:r>
              <w:rPr>
                <w:rFonts w:ascii="Arial" w:cs="Arial" w:eastAsia="Arial" w:hAnsi="Arial"/>
                <w:sz w:val="23"/>
                <w:szCs w:val="23"/>
                <w:color w:val="auto"/>
                <w:vertAlign w:val="superscript"/>
              </w:rPr>
              <w:t>(1)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660" w:hanging="328"/>
        <w:spacing w:after="0" w:line="249" w:lineRule="auto"/>
        <w:tabs>
          <w:tab w:leader="none" w:pos="64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third quarter of 2020 and the exercise price, multiplied by the number of in-the-money options) that would have been received by the option holders had they all exercised their options on September 30, 2020. This amount will change based on the fair market value of our stock.</w:t>
      </w:r>
    </w:p>
    <w:p>
      <w:pPr>
        <w:spacing w:after="0" w:line="14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10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87"/>
        </w:trPr>
        <w:tc>
          <w:tcPr>
            <w:tcW w:w="506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r>
      <w:tr>
        <w:trPr>
          <w:trHeight w:val="224"/>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fair value of grants</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17.70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10.28</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96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2.49 %</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41.64 %</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9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w:t>
            </w:r>
          </w:p>
        </w:tc>
      </w:tr>
    </w:tbl>
    <w:p>
      <w:pPr>
        <w:spacing w:after="0" w:line="2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2020, we expect to recognize $2.7 million of total unrecognized pre-tax stock-based compensation expense related to non-vested stock options over a remaining weighted-average life of 1.9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00" w:type="dxa"/>
            <w:vAlign w:val="bottom"/>
          </w:tcPr>
          <w:p>
            <w:pPr>
              <w:jc w:val="center"/>
              <w:ind w:left="388"/>
              <w:spacing w:after="0"/>
              <w:rPr>
                <w:sz w:val="20"/>
                <w:szCs w:val="20"/>
                <w:color w:val="auto"/>
              </w:rPr>
            </w:pPr>
            <w:r>
              <w:rPr>
                <w:rFonts w:ascii="Arial" w:cs="Arial" w:eastAsia="Arial" w:hAnsi="Arial"/>
                <w:sz w:val="14"/>
                <w:szCs w:val="14"/>
                <w:b w:val="1"/>
                <w:bCs w:val="1"/>
                <w:color w:val="auto"/>
                <w:w w:val="89"/>
              </w:rPr>
              <w:t>Shares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right"/>
              <w:ind w:right="295"/>
              <w:spacing w:after="0"/>
              <w:rPr>
                <w:sz w:val="20"/>
                <w:szCs w:val="20"/>
                <w:color w:val="auto"/>
              </w:rPr>
            </w:pPr>
            <w:r>
              <w:rPr>
                <w:rFonts w:ascii="Arial" w:cs="Arial" w:eastAsia="Arial" w:hAnsi="Arial"/>
                <w:sz w:val="14"/>
                <w:szCs w:val="14"/>
                <w:b w:val="1"/>
                <w:bCs w:val="1"/>
                <w:color w:val="auto"/>
              </w:rPr>
              <w:t>Weighted-Average</w:t>
            </w:r>
          </w:p>
        </w:tc>
      </w:tr>
      <w:tr>
        <w:trPr>
          <w:trHeight w:val="188"/>
        </w:trPr>
        <w:tc>
          <w:tcPr>
            <w:tcW w:w="73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89"/>
              </w:rPr>
              <w:t>(in thousands)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Grant Date Fair Value</w:t>
            </w: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2019</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r>
      <w:tr>
        <w:trPr>
          <w:trHeight w:val="229"/>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36.83</w:t>
            </w: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w:t>
            </w:r>
          </w:p>
        </w:tc>
      </w:tr>
      <w:tr>
        <w:trPr>
          <w:trHeight w:val="230"/>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44.31</w:t>
            </w:r>
          </w:p>
        </w:tc>
      </w:tr>
      <w:tr>
        <w:trPr>
          <w:trHeight w:val="248"/>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2020</w:t>
            </w:r>
          </w:p>
        </w:tc>
        <w:tc>
          <w:tcPr>
            <w:tcW w:w="140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34.75</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2020, we expect to recognize $10.2 million of total unrecognized pre-tax stock-based compensation expense related to non-vested restricted stock awards over a weighted-average life of 1.9 years.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Performance-Based Common Stock Warrants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9, 2016, we issued common stock purchase warrants to Comcast Corporation ("Comcast") to purchase up to 725,000 shares of our common stock at a price of $54.55 per share. The right to exercise the warrants is subject to vesting over three successive two-year periods (with the first two-year period commencing on January 1, 2016) based on the level of purchases of goods and services from us by Comcast and its affiliates, as defined in the warrants. The table below presents the purchase levels and potential number of warrants to vest in each period based upon achieving the purchase levels.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Aggregate Level of Purchases by Comcast and Affiliates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$260 million</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$300 million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$340 million</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Maximum Potential Warrants Earned by Comcast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Potential Warrants To Vest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760" w:type="dxa"/>
            <w:vAlign w:val="bottom"/>
            <w:tcBorders>
              <w:top w:val="single" w:sz="8" w:color="auto"/>
            </w:tcBorders>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January 1, 2016 -</w:t>
            </w:r>
          </w:p>
        </w:tc>
        <w:tc>
          <w:tcPr>
            <w:tcW w:w="1760" w:type="dxa"/>
            <w:vAlign w:val="bottom"/>
            <w:tcBorders>
              <w:top w:val="single" w:sz="8" w:color="auto"/>
            </w:tcBorders>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January 1, 2018 -</w:t>
            </w:r>
          </w:p>
        </w:tc>
        <w:tc>
          <w:tcPr>
            <w:tcW w:w="1640" w:type="dxa"/>
            <w:vAlign w:val="bottom"/>
            <w:tcBorders>
              <w:top w:val="single" w:sz="8" w:color="auto"/>
            </w:tcBorders>
          </w:tcPr>
          <w:p>
            <w:pPr>
              <w:jc w:val="right"/>
              <w:ind w:right="196"/>
              <w:spacing w:after="0" w:line="141" w:lineRule="exact"/>
              <w:rPr>
                <w:sz w:val="20"/>
                <w:szCs w:val="20"/>
                <w:color w:val="auto"/>
              </w:rPr>
            </w:pPr>
            <w:r>
              <w:rPr>
                <w:rFonts w:ascii="Arial" w:cs="Arial" w:eastAsia="Arial" w:hAnsi="Arial"/>
                <w:sz w:val="14"/>
                <w:szCs w:val="14"/>
                <w:b w:val="1"/>
                <w:bCs w:val="1"/>
                <w:color w:val="auto"/>
              </w:rPr>
              <w:t>January 1, 2020 -</w:t>
            </w:r>
          </w:p>
        </w:tc>
      </w:tr>
      <w:tr>
        <w:trPr>
          <w:trHeight w:val="188"/>
        </w:trPr>
        <w:tc>
          <w:tcPr>
            <w:tcW w:w="1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2019</w:t>
            </w:r>
          </w:p>
        </w:tc>
        <w:tc>
          <w:tcPr>
            <w:tcW w:w="1640" w:type="dxa"/>
            <w:vAlign w:val="bottom"/>
          </w:tcPr>
          <w:p>
            <w:pPr>
              <w:jc w:val="right"/>
              <w:ind w:right="156"/>
              <w:spacing w:after="0"/>
              <w:rPr>
                <w:sz w:val="20"/>
                <w:szCs w:val="20"/>
                <w:color w:val="auto"/>
              </w:rPr>
            </w:pPr>
            <w:r>
              <w:rPr>
                <w:rFonts w:ascii="Arial" w:cs="Arial" w:eastAsia="Arial" w:hAnsi="Arial"/>
                <w:sz w:val="14"/>
                <w:szCs w:val="14"/>
                <w:b w:val="1"/>
                <w:bCs w:val="1"/>
                <w:color w:val="auto"/>
              </w:rPr>
              <w:t>December 31, 2021</w:t>
            </w:r>
          </w:p>
        </w:tc>
      </w:tr>
      <w:tr>
        <w:trPr>
          <w:trHeight w:val="224"/>
        </w:trPr>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w:t>
            </w:r>
          </w:p>
        </w:tc>
      </w:tr>
      <w:tr>
        <w:trPr>
          <w:trHeight w:val="229"/>
        </w:trPr>
        <w:tc>
          <w:tcPr>
            <w:tcW w:w="166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30"/>
        </w:trPr>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r>
      <w:tr>
        <w:trPr>
          <w:trHeight w:val="223"/>
        </w:trPr>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225,000</w:t>
            </w:r>
          </w:p>
        </w:tc>
      </w:tr>
      <w:tr>
        <w:trPr>
          <w:trHeight w:val="21"/>
        </w:trPr>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-633730</wp:posOffset>
            </wp:positionV>
            <wp:extent cx="711517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-334010</wp:posOffset>
            </wp:positionV>
            <wp:extent cx="711517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180"/>
          </w:cols>
          <w:pgMar w:left="320" w:top="118" w:right="339" w:bottom="1440" w:gutter="0" w:footer="0" w:header="0"/>
          <w:type w:val="continuous"/>
        </w:sectPr>
      </w:pPr>
    </w:p>
    <w:p>
      <w:pPr>
        <w:spacing w:after="0" w:line="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total aggregate purchases by Comcast and its affiliates are below $260 million in any of the two-year periods above, no warrants will vest related to that two-year period. If total aggregate purchases of goods and services by Comcast and its affiliates exceed $340 million during either the first or second two-year period, the amount of any such excess would count toward aggregate purchases in the following two-year period. This threshold was not met in either the first or second two-year period. For the two-year period ended December 31, 2017, Comcast earned and vested in 175,000 out of the maximum potential 250,000 warrants. For the two-year period ended December 31, 2019, Comcast earned and vested in 100,000 out of the maximum potential 250,000 warrants. At September 30, 2020, 275,000 vested warrants were outstanding. To fully vest in the rights to purchase all of the remaining unearned 225,000 underlying shares, Comcast and its affiliates must purchase an aggregate of $340 million in goods and services from us during the period January 1, 2020 through December 31, 2021.</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warrants that vest will expire on January 1, 2023. The warrants provide for certain adjustments that may be made to the exercise price and the number of shares issuable upon exercise due to customary anti-dilution provisions. Additionally, in connection with the common stock purchase warrants, we have also entered into a registration rights agreement with Comcast under which Comcast may from time to time request that we register the shares of common stock underlying vested warrants with the SEC.</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the warrants contain performance criteria under which Comcast must achieve specified aggregate purchase levels for the warrants to vest, as detailed above, the measurement date for the warrants for the first two-year successive periods was the date on which the warrants vested.</w:t>
      </w:r>
    </w:p>
    <w:p>
      <w:pPr>
        <w:spacing w:after="0" w:line="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FASB issued guidance in November 2019 that clarifies the accounting for share-based payments issued as sales incentives to customers. The guidance requires that stock-based compensation expense be recorded as a reduction in the transaction price on the basis of the grant-date fair value. The transition provisions require that equity-classified awards be measured at the adoption date fair value if the measurement date has not been established prior to the adoption date. The measurement periods for the first two successive two-year periods of our outstanding performance-based common stock warrants were completed prior to adoption and were not impacted by this updated guidance. The measurement period for the final two-year period began on January 1, 2020, and, accordingly, we measured the fair value of the award as of our adoption date on January 1, 2020 using the Black-Scholes option pricing model. Through September 30, 2020, none of the warrants had vested for the two-year period beginning January 1, 2020.</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grant-date fair value of the warrants as of January 1, 2020 were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54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17.19</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Price of Universal Electronics Inc. common stock</w:t>
            </w:r>
          </w:p>
        </w:tc>
        <w:tc>
          <w:tcPr>
            <w:tcW w:w="54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52.21</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5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48.86 %</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5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958"/>
        </w:trPr>
        <w:tc>
          <w:tcPr>
            <w:tcW w:w="4580" w:type="dxa"/>
            <w:vAlign w:val="bottom"/>
          </w:tcPr>
          <w:p>
            <w:pPr>
              <w:spacing w:after="0"/>
              <w:rPr>
                <w:sz w:val="24"/>
                <w:szCs w:val="24"/>
                <w:color w:val="auto"/>
              </w:rPr>
            </w:pPr>
          </w:p>
        </w:tc>
        <w:tc>
          <w:tcPr>
            <w:tcW w:w="5440" w:type="dxa"/>
            <w:vAlign w:val="bottom"/>
          </w:tcPr>
          <w:p>
            <w:pPr>
              <w:jc w:val="right"/>
              <w:ind w:right="4210"/>
              <w:spacing w:after="0"/>
              <w:rPr>
                <w:sz w:val="20"/>
                <w:szCs w:val="20"/>
                <w:color w:val="auto"/>
              </w:rPr>
            </w:pPr>
            <w:r>
              <w:rPr>
                <w:rFonts w:ascii="Arial" w:cs="Arial" w:eastAsia="Arial" w:hAnsi="Arial"/>
                <w:sz w:val="18"/>
                <w:szCs w:val="18"/>
                <w:color w:val="auto"/>
              </w:rPr>
              <w:t>22</w:t>
            </w:r>
          </w:p>
        </w:tc>
        <w:tc>
          <w:tcPr>
            <w:tcW w:w="1220" w:type="dxa"/>
            <w:vAlign w:val="bottom"/>
          </w:tcPr>
          <w:p>
            <w:pPr>
              <w:spacing w:after="0"/>
              <w:rPr>
                <w:sz w:val="24"/>
                <w:szCs w:val="24"/>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Prior to the adoption of the new guidance on January 1, 2020, we adjusted the estimated weighted average fair value of the warrants each period. The assumptions we utilized in the Black-Scholes option pricing model and the resulting weighted average fair value of the warrants were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660" w:type="dxa"/>
            <w:vAlign w:val="bottom"/>
          </w:tcPr>
          <w:p>
            <w:pPr>
              <w:jc w:val="right"/>
              <w:ind w:right="235"/>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7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2019</w:t>
            </w:r>
          </w:p>
        </w:tc>
        <w:tc>
          <w:tcPr>
            <w:tcW w:w="220" w:type="dxa"/>
            <w:vAlign w:val="bottom"/>
          </w:tcPr>
          <w:p>
            <w:pPr>
              <w:spacing w:after="0"/>
              <w:rPr>
                <w:sz w:val="16"/>
                <w:szCs w:val="16"/>
                <w:color w:val="auto"/>
              </w:rPr>
            </w:pPr>
          </w:p>
        </w:tc>
        <w:tc>
          <w:tcPr>
            <w:tcW w:w="1660" w:type="dxa"/>
            <w:vAlign w:val="bottom"/>
          </w:tcPr>
          <w:p>
            <w:pPr>
              <w:jc w:val="right"/>
              <w:ind w:right="255"/>
              <w:spacing w:after="0"/>
              <w:rPr>
                <w:sz w:val="20"/>
                <w:szCs w:val="20"/>
                <w:color w:val="auto"/>
              </w:rPr>
            </w:pPr>
            <w:r>
              <w:rPr>
                <w:rFonts w:ascii="Arial" w:cs="Arial" w:eastAsia="Arial" w:hAnsi="Arial"/>
                <w:sz w:val="14"/>
                <w:szCs w:val="14"/>
                <w:b w:val="1"/>
                <w:bCs w:val="1"/>
                <w:color w:val="auto"/>
                <w:w w:val="99"/>
              </w:rPr>
              <w:t>September 30, 2019</w:t>
            </w:r>
          </w:p>
        </w:tc>
      </w:tr>
      <w:tr>
        <w:trPr>
          <w:trHeight w:val="224"/>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16.78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16.78</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Price of Universal Electronics Inc. common stock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135"/>
              <w:spacing w:after="0"/>
              <w:rPr>
                <w:sz w:val="20"/>
                <w:szCs w:val="20"/>
                <w:color w:val="auto"/>
              </w:rPr>
            </w:pPr>
            <w:r>
              <w:rPr>
                <w:rFonts w:ascii="Arial" w:cs="Arial" w:eastAsia="Arial" w:hAnsi="Arial"/>
                <w:sz w:val="18"/>
                <w:szCs w:val="18"/>
                <w:color w:val="auto"/>
              </w:rPr>
              <w:t>51.09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35"/>
              <w:spacing w:after="0"/>
              <w:rPr>
                <w:sz w:val="20"/>
                <w:szCs w:val="20"/>
                <w:color w:val="auto"/>
              </w:rPr>
            </w:pPr>
            <w:r>
              <w:rPr>
                <w:rFonts w:ascii="Arial" w:cs="Arial" w:eastAsia="Arial" w:hAnsi="Arial"/>
                <w:sz w:val="18"/>
                <w:szCs w:val="18"/>
                <w:color w:val="auto"/>
              </w:rPr>
              <w:t>51.09</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1.56 %</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47.82 %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47.82 %</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impact to net sales recorded in connection with the warrants and the related income tax benefit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98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4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8"/>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224"/>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to net sales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345</w:t>
            </w:r>
          </w:p>
        </w:tc>
      </w:tr>
    </w:tbl>
    <w:p>
      <w:pPr>
        <w:spacing w:after="0" w:line="2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estimate the number of warrants that will vest based on projected future purchases that will be made by Comcast and its affiliates. These estimates may increase or decrease based on actual future purchases. The aggregate estimated fair value of the warrants is recognized as a reduction to revenue over the related two-year vesting period. At September 30, 2020, the aggregate unrecognized estimated fair value of warrants we estimate will vest was $0.8 million.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Other Income (Expense), Net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4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8"/>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51"/>
        </w:trPr>
        <w:tc>
          <w:tcPr>
            <w:tcW w:w="5380" w:type="dxa"/>
            <w:vAlign w:val="bottom"/>
            <w:shd w:val="clear" w:color="auto" w:fill="CCEEFF"/>
          </w:tcPr>
          <w:p>
            <w:pPr>
              <w:ind w:left="20"/>
              <w:spacing w:after="0" w:line="252"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554"/>
              <w:spacing w:after="0"/>
              <w:rPr>
                <w:sz w:val="20"/>
                <w:szCs w:val="20"/>
                <w:color w:val="auto"/>
              </w:rPr>
            </w:pPr>
            <w:r>
              <w:rPr>
                <w:rFonts w:ascii="Arial" w:cs="Arial" w:eastAsia="Arial" w:hAnsi="Arial"/>
                <w:sz w:val="18"/>
                <w:szCs w:val="18"/>
                <w:color w:val="auto"/>
                <w:w w:val="93"/>
              </w:rPr>
              <w:t>368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Net gain (loss) on foreign currency exchange transactions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center"/>
              <w:ind w:left="514"/>
              <w:spacing w:after="0"/>
              <w:rPr>
                <w:sz w:val="20"/>
                <w:szCs w:val="20"/>
                <w:color w:val="auto"/>
              </w:rPr>
            </w:pPr>
            <w:r>
              <w:rPr>
                <w:rFonts w:ascii="Arial" w:cs="Arial" w:eastAsia="Arial" w:hAnsi="Arial"/>
                <w:sz w:val="18"/>
                <w:szCs w:val="18"/>
                <w:color w:val="auto"/>
                <w:w w:val="95"/>
              </w:rPr>
              <w:t>(689)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54"/>
              <w:spacing w:after="0"/>
              <w:rPr>
                <w:sz w:val="20"/>
                <w:szCs w:val="20"/>
                <w:color w:val="auto"/>
              </w:rPr>
            </w:pPr>
            <w:r>
              <w:rPr>
                <w:rFonts w:ascii="Arial" w:cs="Arial" w:eastAsia="Arial" w:hAnsi="Arial"/>
                <w:sz w:val="18"/>
                <w:szCs w:val="18"/>
                <w:color w:val="auto"/>
                <w:w w:val="93"/>
              </w:rPr>
              <w:t>173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center"/>
              <w:ind w:left="514"/>
              <w:spacing w:after="0"/>
              <w:rPr>
                <w:sz w:val="20"/>
                <w:szCs w:val="20"/>
                <w:color w:val="auto"/>
              </w:rPr>
            </w:pPr>
            <w:r>
              <w:rPr>
                <w:rFonts w:ascii="Arial" w:cs="Arial" w:eastAsia="Arial" w:hAnsi="Arial"/>
                <w:sz w:val="18"/>
                <w:szCs w:val="18"/>
                <w:color w:val="auto"/>
                <w:w w:val="95"/>
              </w:rPr>
              <w:t>(148)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r>
      <w:tr>
        <w:trPr>
          <w:trHeight w:val="21"/>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This represents the gains (losses) incurred on foreign currency hedging derivatives (see Note 18 for further details).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22"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(Loss)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was calculated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per-share amounts)</w:t>
            </w:r>
          </w:p>
        </w:tc>
        <w:tc>
          <w:tcPr>
            <w:tcW w:w="2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13,861</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Basic earnings (loss) per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DILUTED</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common shares outstanding for basic</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13,928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13,894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13,935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13,861</w:t>
            </w:r>
          </w:p>
        </w:tc>
        <w:tc>
          <w:tcPr>
            <w:tcW w:w="0" w:type="dxa"/>
            <w:vAlign w:val="bottom"/>
          </w:tcPr>
          <w:p>
            <w:pPr>
              <w:spacing w:after="0"/>
              <w:rPr>
                <w:sz w:val="1"/>
                <w:szCs w:val="1"/>
                <w:color w:val="auto"/>
              </w:rPr>
            </w:pPr>
          </w:p>
        </w:tc>
      </w:tr>
      <w:tr>
        <w:trPr>
          <w:trHeight w:val="175"/>
        </w:trPr>
        <w:tc>
          <w:tcPr>
            <w:tcW w:w="5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Dilutive effect of stock options, restricted stock and common stock</w:t>
            </w: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Weighted-average common shares outstanding on a diluted basis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13,861</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number of stock options, shares of restricted stock and common stock warrants were excluded from the computation of diluted earnings per common share as their inclusion would have been anti-dilutive: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12"/>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9"/>
          </w:tcPr>
          <w:p>
            <w:pPr>
              <w:jc w:val="right"/>
              <w:ind w:right="276"/>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88"/>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2019</w:t>
            </w:r>
          </w:p>
        </w:tc>
        <w:tc>
          <w:tcPr>
            <w:tcW w:w="54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511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Restricted stock awards</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Performance-based warrants</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275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729"/>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Note 18 — Derivatives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80" w:type="dxa"/>
            <w:vAlign w:val="bottom"/>
            <w:gridSpan w:val="6"/>
          </w:tcPr>
          <w:p>
            <w:pPr>
              <w:spacing w:after="0"/>
              <w:rPr>
                <w:sz w:val="20"/>
                <w:szCs w:val="20"/>
                <w:color w:val="auto"/>
              </w:rPr>
            </w:pPr>
            <w:r>
              <w:rPr>
                <w:rFonts w:ascii="Arial" w:cs="Arial" w:eastAsia="Arial" w:hAnsi="Arial"/>
                <w:sz w:val="18"/>
                <w:szCs w:val="18"/>
                <w:color w:val="auto"/>
                <w:w w:val="93"/>
              </w:rPr>
              <w:t>The following table sets forth the total net fair value of derivatives: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ind w:right="102"/>
              <w:spacing w:after="0"/>
              <w:rPr>
                <w:sz w:val="20"/>
                <w:szCs w:val="20"/>
                <w:color w:val="auto"/>
              </w:rPr>
            </w:pPr>
            <w:r>
              <w:rPr>
                <w:rFonts w:ascii="Arial" w:cs="Arial" w:eastAsia="Arial" w:hAnsi="Arial"/>
                <w:sz w:val="14"/>
                <w:szCs w:val="14"/>
                <w:b w:val="1"/>
                <w:bCs w:val="1"/>
                <w:color w:val="auto"/>
                <w:w w:val="99"/>
              </w:rPr>
              <w:t>September 30, 2020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6"/>
              </w:rPr>
              <w:t>December 31, 2019</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8"/>
          </w:tcPr>
          <w:p>
            <w:pPr>
              <w:jc w:val="center"/>
              <w:ind w:right="22"/>
              <w:spacing w:after="0"/>
              <w:rPr>
                <w:sz w:val="20"/>
                <w:szCs w:val="20"/>
                <w:color w:val="auto"/>
              </w:rPr>
            </w:pPr>
            <w:r>
              <w:rPr>
                <w:rFonts w:ascii="Arial" w:cs="Arial" w:eastAsia="Arial" w:hAnsi="Arial"/>
                <w:sz w:val="14"/>
                <w:szCs w:val="14"/>
                <w:b w:val="1"/>
                <w:bCs w:val="1"/>
                <w:color w:val="auto"/>
                <w:w w:val="94"/>
              </w:rPr>
              <w:t>Fair Value Measurement Using</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9"/>
          </w:tcPr>
          <w:p>
            <w:pPr>
              <w:ind w:left="240"/>
              <w:spacing w:after="0"/>
              <w:rPr>
                <w:sz w:val="20"/>
                <w:szCs w:val="20"/>
                <w:color w:val="auto"/>
              </w:rPr>
            </w:pPr>
            <w:r>
              <w:rPr>
                <w:rFonts w:ascii="Arial" w:cs="Arial" w:eastAsia="Arial" w:hAnsi="Arial"/>
                <w:sz w:val="14"/>
                <w:szCs w:val="14"/>
                <w:b w:val="1"/>
                <w:bCs w:val="1"/>
                <w:color w:val="auto"/>
              </w:rPr>
              <w:t>Fair Value Measurement Using</w:t>
            </w: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4"/>
                <w:szCs w:val="4"/>
                <w:color w:val="auto"/>
              </w:rPr>
            </w:pPr>
          </w:p>
        </w:tc>
        <w:tc>
          <w:tcPr>
            <w:tcW w:w="920" w:type="dxa"/>
            <w:vAlign w:val="bottom"/>
            <w:gridSpan w:val="3"/>
            <w:vMerge w:val="restart"/>
          </w:tcPr>
          <w:p>
            <w:pPr>
              <w:jc w:val="right"/>
              <w:ind w:right="370"/>
              <w:spacing w:after="0"/>
              <w:rPr>
                <w:sz w:val="20"/>
                <w:szCs w:val="20"/>
                <w:color w:val="auto"/>
              </w:rPr>
            </w:pPr>
            <w:r>
              <w:rPr>
                <w:rFonts w:ascii="Arial" w:cs="Arial" w:eastAsia="Arial" w:hAnsi="Arial"/>
                <w:sz w:val="14"/>
                <w:szCs w:val="14"/>
                <w:b w:val="1"/>
                <w:bCs w:val="1"/>
                <w:color w:val="auto"/>
                <w:w w:val="92"/>
              </w:rPr>
              <w:t>Level 1</w:t>
            </w:r>
          </w:p>
        </w:tc>
        <w:tc>
          <w:tcPr>
            <w:tcW w:w="7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4"/>
                <w:szCs w:val="4"/>
                <w:color w:val="auto"/>
              </w:rPr>
            </w:pPr>
          </w:p>
        </w:tc>
        <w:tc>
          <w:tcPr>
            <w:tcW w:w="60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w w:val="96"/>
              </w:rPr>
              <w:t>Level 3</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Pr>
          <w:p>
            <w:pPr>
              <w:spacing w:after="0"/>
              <w:rPr>
                <w:sz w:val="4"/>
                <w:szCs w:val="4"/>
                <w:color w:val="auto"/>
              </w:rPr>
            </w:pPr>
          </w:p>
        </w:tc>
        <w:tc>
          <w:tcPr>
            <w:tcW w:w="90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76"/>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held foreign currency exchange contracts, which resulted in a net pre-tax loss of $0.1 million and a net pre-tax gain of $0.4 million for the three months ended September 30, 2020 and 2019, respectively. For the nine months ended September 30, 2020 and 2019, we had a net pre-tax loss of $0.5 million and $8.0 thousand, respectively (see Note 16).</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Gain/(Loss)</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9"/>
              </w:rPr>
              <w:t>Recorded at Balance</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Notional Value</w:t>
            </w: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Sheet</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Date Held</w:t>
            </w:r>
          </w:p>
        </w:tc>
        <w:tc>
          <w:tcPr>
            <w:tcW w:w="248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Currency</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Position Held</w:t>
            </w:r>
          </w:p>
        </w:tc>
        <w:tc>
          <w:tcPr>
            <w:tcW w:w="1220" w:type="dxa"/>
            <w:vAlign w:val="bottom"/>
            <w:gridSpan w:val="3"/>
            <w:vMerge w:val="continue"/>
          </w:tcPr>
          <w:p>
            <w:pPr>
              <w:spacing w:after="0"/>
              <w:rPr>
                <w:sz w:val="11"/>
                <w:szCs w:val="11"/>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Forward Rate</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Date</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89"/>
        </w:trPr>
        <w:tc>
          <w:tcPr>
            <w:tcW w:w="198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line="189" w:lineRule="exact"/>
              <w:rPr>
                <w:sz w:val="20"/>
                <w:szCs w:val="20"/>
                <w:color w:val="auto"/>
              </w:rPr>
            </w:pPr>
            <w:r>
              <w:rPr>
                <w:rFonts w:ascii="Arial" w:cs="Arial" w:eastAsia="Arial" w:hAnsi="Arial"/>
                <w:sz w:val="14"/>
                <w:szCs w:val="14"/>
                <w:b w:val="1"/>
                <w:bCs w:val="1"/>
                <w:color w:val="auto"/>
                <w:w w:val="88"/>
              </w:rPr>
              <w:t>(in thousands)</w:t>
            </w:r>
            <w:r>
              <w:rPr>
                <w:rFonts w:ascii="Arial" w:cs="Arial" w:eastAsia="Arial" w:hAnsi="Arial"/>
                <w:sz w:val="18"/>
                <w:szCs w:val="18"/>
                <w:b w:val="1"/>
                <w:bCs w:val="1"/>
                <w:color w:val="auto"/>
                <w:w w:val="88"/>
                <w:vertAlign w:val="superscript"/>
              </w:rPr>
              <w:t>(1)</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USD/Chinese Yuan Renminbi</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CNY</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30, 2020</w:t>
            </w:r>
          </w:p>
        </w:tc>
        <w:tc>
          <w:tcPr>
            <w:tcW w:w="0" w:type="dxa"/>
            <w:vAlign w:val="bottom"/>
          </w:tcPr>
          <w:p>
            <w:pPr>
              <w:spacing w:after="0"/>
              <w:rPr>
                <w:sz w:val="1"/>
                <w:szCs w:val="1"/>
                <w:color w:val="auto"/>
              </w:rPr>
            </w:pPr>
          </w:p>
        </w:tc>
      </w:tr>
      <w:tr>
        <w:trPr>
          <w:trHeight w:val="229"/>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September 30, 2020</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USD/Euro</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1.1685</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October 30, 2020</w:t>
            </w:r>
          </w:p>
        </w:tc>
        <w:tc>
          <w:tcPr>
            <w:tcW w:w="0" w:type="dxa"/>
            <w:vAlign w:val="bottom"/>
          </w:tcPr>
          <w:p>
            <w:pPr>
              <w:spacing w:after="0"/>
              <w:rPr>
                <w:sz w:val="1"/>
                <w:szCs w:val="1"/>
                <w:color w:val="auto"/>
              </w:rPr>
            </w:pPr>
          </w:p>
        </w:tc>
      </w:tr>
      <w:tr>
        <w:trPr>
          <w:trHeight w:val="230"/>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USD/Brazilian Real</w:t>
            </w: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30, 2020</w:t>
            </w:r>
          </w:p>
        </w:tc>
        <w:tc>
          <w:tcPr>
            <w:tcW w:w="0" w:type="dxa"/>
            <w:vAlign w:val="bottom"/>
          </w:tcPr>
          <w:p>
            <w:pPr>
              <w:spacing w:after="0"/>
              <w:rPr>
                <w:sz w:val="1"/>
                <w:szCs w:val="1"/>
                <w:color w:val="auto"/>
              </w:rPr>
            </w:pPr>
          </w:p>
        </w:tc>
      </w:tr>
      <w:tr>
        <w:trPr>
          <w:trHeight w:val="229"/>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September 30, 2020</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USD/Mexican Peso</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22.1285</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October 30, 2020</w:t>
            </w:r>
          </w:p>
        </w:tc>
        <w:tc>
          <w:tcPr>
            <w:tcW w:w="0" w:type="dxa"/>
            <w:vAlign w:val="bottom"/>
          </w:tcPr>
          <w:p>
            <w:pPr>
              <w:spacing w:after="0"/>
              <w:rPr>
                <w:sz w:val="1"/>
                <w:szCs w:val="1"/>
                <w:color w:val="auto"/>
              </w:rPr>
            </w:pPr>
          </w:p>
        </w:tc>
      </w:tr>
      <w:tr>
        <w:trPr>
          <w:trHeight w:val="229"/>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USD/Chinese Yuan Renminbi</w:t>
            </w: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23, 2020</w:t>
            </w:r>
          </w:p>
        </w:tc>
        <w:tc>
          <w:tcPr>
            <w:tcW w:w="0" w:type="dxa"/>
            <w:vAlign w:val="bottom"/>
          </w:tcPr>
          <w:p>
            <w:pPr>
              <w:spacing w:after="0"/>
              <w:rPr>
                <w:sz w:val="1"/>
                <w:szCs w:val="1"/>
                <w:color w:val="auto"/>
              </w:rPr>
            </w:pPr>
          </w:p>
        </w:tc>
      </w:tr>
      <w:tr>
        <w:trPr>
          <w:trHeight w:val="230"/>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December 31, 2019</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USD/Brazilian Real</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4.0560</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January 24, 2020</w:t>
            </w:r>
          </w:p>
        </w:tc>
        <w:tc>
          <w:tcPr>
            <w:tcW w:w="0" w:type="dxa"/>
            <w:vAlign w:val="bottom"/>
          </w:tcPr>
          <w:p>
            <w:pPr>
              <w:spacing w:after="0"/>
              <w:rPr>
                <w:sz w:val="1"/>
                <w:szCs w:val="1"/>
                <w:color w:val="auto"/>
              </w:rPr>
            </w:pPr>
          </w:p>
        </w:tc>
      </w:tr>
      <w:tr>
        <w:trPr>
          <w:trHeight w:val="229"/>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24, 2020</w:t>
            </w:r>
          </w:p>
        </w:tc>
        <w:tc>
          <w:tcPr>
            <w:tcW w:w="0" w:type="dxa"/>
            <w:vAlign w:val="bottom"/>
          </w:tcPr>
          <w:p>
            <w:pPr>
              <w:spacing w:after="0"/>
              <w:rPr>
                <w:sz w:val="1"/>
                <w:szCs w:val="1"/>
                <w:color w:val="auto"/>
              </w:rPr>
            </w:pPr>
          </w:p>
        </w:tc>
      </w:tr>
      <w:tr>
        <w:trPr>
          <w:trHeight w:val="230"/>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December 31, 2019</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USD/Brazilian Real</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4.0870</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January 24, 2020</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60" w:right="180" w:hanging="328"/>
        <w:spacing w:after="0" w:line="227" w:lineRule="auto"/>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We design, develop, manufacture and ship control and sensor technology solutions and a broad line of pre-programmed and universal control products, audio-video ("AV") accessories, and intelligent wireless security and smart home products that are used by the world's leading brands in the consumer electronics, subscription broadcast, home entertainment, automation, security, hospitality and climate control markets. Our offerings include:</w:t>
      </w:r>
    </w:p>
    <w:p>
      <w:pPr>
        <w:spacing w:after="0" w:line="1" w:lineRule="exact"/>
        <w:rPr>
          <w:sz w:val="20"/>
          <w:szCs w:val="20"/>
          <w:color w:val="auto"/>
        </w:rPr>
      </w:pPr>
    </w:p>
    <w:p>
      <w:pPr>
        <w:jc w:val="both"/>
        <w:ind w:left="980" w:hanging="324"/>
        <w:spacing w:after="0" w:line="263"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easy-to-use, pre-programmed universal infrared ("IR") and radio frequency ("RF") remote controls that are sold primarily to subscription broadcast providers (cable, satellite and Internet Protocol television ("IPTV") and Over the Top services), original equipment manufacturers ("OEMs"), retailers, and private label customers;</w:t>
      </w:r>
    </w:p>
    <w:p>
      <w:pPr>
        <w:spacing w:after="0" w:line="21"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integrated circuits, on which our software and universal device control database is embedded, sold primarily to OEMs, subscription broadcast providers, and private label customers;</w:t>
      </w:r>
    </w:p>
    <w:p>
      <w:pPr>
        <w:spacing w:after="0" w:line="8"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software, firmware and technology solutions that can enable devices such as TVs, set-top boxes, audio systems, smartphones, tablets, game controllers and other consumer electronic devices to wirelessly connect and interact with home networks and interactive services to control and deliver digital entertainment and information;</w:t>
      </w:r>
    </w:p>
    <w:p>
      <w:pPr>
        <w:spacing w:after="0" w:line="21"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intellectual property, which we license primarily to OEMs, software development companies, private label customers, and subscription broadcast providers;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proprietary and standards-based RF sensors designed for residential security, safety and automation applications;</w:t>
      </w:r>
    </w:p>
    <w:p>
      <w:pPr>
        <w:spacing w:after="0" w:line="63"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wall-mount and handheld thermostat controllers and connected accessories for intelligent energy management systems, primarily to OEM customers as well as hospitality system integrators;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 accessories sold, directly and indirectly, to consumers.</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our beginning in 1986, we have compiled an extensive device control knowledge library that includes over 12,000 brands comprising over 920,000 device models across AV and smart home platforms, supported by many common smart home protocols, including IR, HDMI-CEC, Zigbee, and Home Network or Cloud Control.</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device knowledge graph is backed by our unique device fingerprinting technology, which includes nearly 6.9 million unique device fingerprints across both AV and smart home devices.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technology also includes other remote controlled home entertainment devices and home automation control modules, as well as wired Consumer Electronics Control ("CEC") and wireless Internet Protocol ("IP") control protocols commonly found on many of the latest HDMI and internet connected devices. Our proprietary software automatically detects, identifies and enables the appropriate control commands for any given home entertainment, automation and air conditioning device in the home. Our libraries are continuously updated with device control codes used in newly introduced AV and Internet of Things ("IoT") devices. These control codes are captured directly from original remote control devices or from the manufacturer's written specifications to ensure the accuracy and integrity of the library. Our proprietary software and know-how permit us to offer a device control code database that is more robust and efficient than similarly priced products of our competitors.</w:t>
      </w:r>
    </w:p>
    <w:p>
      <w:pPr>
        <w:spacing w:after="0" w:line="1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developed a comprehensive patent portfolio of over 580 issued and pending U.S. patents related to remote control, home security, safety and automation as well as hundreds of foreign counterpart patents and applications in various territories around the world.</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as one business segment. We have 2 domestic subsidiaries and 25 international subsidiaries located in Argentina, Brazil, British Virgin Islands, Cayman Islands, France, Germany, Hong Kong (3), India, Italy, Japan, Korea, Mexico, the Netherlands, People's Republic of China (the "PRC") (7), Singapore, Spain and the United Kingdom.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September 30, 2020:</w:t>
      </w:r>
    </w:p>
    <w:p>
      <w:pPr>
        <w:spacing w:after="0" w:line="63" w:lineRule="exact"/>
        <w:rPr>
          <w:sz w:val="20"/>
          <w:szCs w:val="20"/>
          <w:color w:val="auto"/>
        </w:rPr>
      </w:pPr>
    </w:p>
    <w:p>
      <w:pPr>
        <w:ind w:left="980" w:right="2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sales decreased 23.5% to $153.5 million for the three months ended September 30, 2020 from $200.7 million for the three months ended September 30, 2019.</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gross margin percentage increased to 28.8% for the three months ended September 30, 2020 from 23.2% for the three months ended September 30, 2019.</w:t>
      </w:r>
    </w:p>
    <w:p>
      <w:pPr>
        <w:spacing w:after="0" w:line="8"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expenses, as a percentage of net sales, increased to 22.1% for the three months ended September 30, 2020 from 20.2% for the three months ended September 30, 2019.</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980" w:hanging="324"/>
        <w:spacing w:after="0" w:line="263"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operating income increased to $10.2 million for the three months ended September 30, 2020 from $6.1 million for the three months ended September 30, 2019. Our operating income percentage increased to 6.7% for the three months ended September 30, 2020 from 3.0% for the three months ended September 30, 2019.</w:t>
      </w:r>
    </w:p>
    <w:p>
      <w:pPr>
        <w:spacing w:after="0" w:line="21"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Income tax expense decreased to $2.2 million for the three months ended September 30, 2020 from $2.5 million for the three months ended September 30,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2020 include the following:</w:t>
      </w:r>
    </w:p>
    <w:p>
      <w:pPr>
        <w:spacing w:after="0" w:line="63"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develop and market the advanced remote control products and technologies that our customer base is adopting;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broaden our home control and automation product offerings;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further penetrate international subscription broadcast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pandemic has caused, and is expected to continue to cause, a global slowdown of economic activity (including the decrease in demand for goods and services), and significant volatility in and disruption to financial markets. Because the severity, magnitude and duration of the COVID-19 pandemic are uncertain, rapidly changing and difficult to predict, the pandemic's impact on our operations and financial performance, as well as its impact on our ability to successfully execute our business strategy and initiatives, remains uncertain. As COVID-19 has spread to other jurisdictions and has been declared a global pandemic, the full extent of this outbreak and the related governmental, business and travel restrictions in order to contain COVID-19 are continuing to evolve globally. In response, we have created a COVID-19 taskforce, which includes a cross-functional group of senior level executives, to manage and respond to the everchanging health and safety requirements across the globe and communicate our response to the pandemic to our global factory and office leaders.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Local government mandates required us, in the first quarter of 2020, to keep our China factories closed for a period of approximately two weeks beyond the end of the Chinese Lunar New Year. Our Mexico factory was closed for more than one week due to local health ordinance requirements during the second quarter of 2020. As a part of our response to this pandemic, our COVID-19 taskforce has developed and we have implemented additional safety measures for all factory employees across the globe including temperature scans upon entry, hand sanitizer stations located throughout the facilities, mandatory mask wearing, social distancing measures in gathering places and restricting all visitor access. All factories are up to or near labor capacity as of the issuance of this report.</w:t>
      </w:r>
    </w:p>
    <w:p>
      <w:pPr>
        <w:spacing w:after="0" w:line="1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also taken measures to safeguard the health and well-being of our employees in our office locations throughout the world including implementing work from home arrangements and a moratorium on all travel, except where essential and approved in advance. We have implemented enhanced safety measures upon the reopening of our office locations including more frequent office sanitation, temperature scans upon arrival, mandatory mask wearing, additional hand sanitizer locations, social distancing measures throughout locations and restricted visitor access. The reopening of our offices continues to follow suggested guidelines by the Centers for Disease Control and Prevention, the World Health Organization, and local governmental orders and recommendations. The continued safety and welfare of our employees will remain at the forefront of all decision-making.</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anticipate that these actions and the global health crisis caused by COVID-19 will continue to negatively impact business activity across the globe, including our business. We expect our sales demand to be negatively impacted for the remainder of 2020 given the global reach and economic impact of COVID-19 and the various quarantine and social distancing measures put in place to contain the spread of COVID-19. We have also seen some disruptions in our supply chain that, if continued, may cause us difficulty in fulfilling customer orders. A closure of one of our factories for a sustained period of time would, in the short run, impact our ability to meet customer demand and would negatively impact our results.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continue to actively monitor the situation and may take further actions altering our business operations as necessary or as required by federal, state, or local authorities. The potential effects of any such alterations or modifications may have a material adverse impact on our business for the remainder of 2020 or future periods.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bad debts; inventory valuation; our review for impairment of long-lived assets, intangible assets and goodwill; leases; business combinations; income taxes; stock-based compensation expense and performance-based common stock warrants.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9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nine months ended September 30, 2020 to the items that we disclosed as our critical accounting policies and estimates in Item 7, "Management's Discussion and Analysis of Financial Condition and Results of Operations" contained in our Annual Report on Form 10-K for our fiscal year ended December 31,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reported results of operations expressed as a percentage of net sales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14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3040" w:type="dxa"/>
            <w:vAlign w:val="bottom"/>
            <w:gridSpan w:val="3"/>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502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4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71.2</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79.2</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20.8</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3.8</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16.3</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0.7</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4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(0.5)</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Accrued social insurance adjustment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4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(0.1)</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Income (loss) before provision for income taxes</w:t>
            </w: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0.1</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0.6</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19"/>
                <w:szCs w:val="19"/>
                <w:color w:val="auto"/>
              </w:rPr>
            </w:pPr>
          </w:p>
        </w:tc>
        <w:tc>
          <w:tcPr>
            <w:tcW w:w="14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4"/>
              </w:rPr>
              <w:t>(0.5)%</w:t>
            </w:r>
          </w:p>
        </w:tc>
      </w:tr>
      <w:tr>
        <w:trPr>
          <w:trHeight w:val="20"/>
        </w:trPr>
        <w:tc>
          <w:tcPr>
            <w:tcW w:w="50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2020 versus Three Months Ended September 30, 2019</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three months ended September 30, 2020 were $153.5 million, a decrease of 23.5% compared to $200.7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2019. The decrease in net sales occurred primarily with our traditional home entertainment and security customers. The COVID-19 pandemic had an adverse effect on demand, which ultimately resulted in a decrease in net sales. We expect the COVID-19 pandemic to continue to negatively impact our net sales in the fourth quarter.</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for the three months ended September 30, 2020 was $44.2 million compared to $46.5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2019. Gross profit as a percentage of sales increased to 28.8% for the three months ended September 30, 2020 from 23.2% for the three months ended September 30, 2019. Gross profit as a percentage of sales was favorably impacted by a reduction in U.S. tariff expense, improved operational efficiencies in our Mexico-based manufacturing facility as it was no longer in a start-up phase, and an increase in royalty revenue as certain consumer electronic companies are embedding our technology in their devices. The potential impact of the COVID-19 pandemic on our gross profit as a percentage of net sales in future periods is unknown to us at this time; however, the temporary closure of any of our factories may result in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excess manufacturing costs, additional tariffs if we were to import goods from China into North America and additional expenses to meet the demand of our customers.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remained relatively consistent at $7.7 million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compared to $7.9 million for the three months ended September 30, 2019.</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Selling, general and administrative ("SG&amp;A") expenses. </w:t>
      </w:r>
      <w:r>
        <w:rPr>
          <w:rFonts w:ascii="Arial" w:cs="Arial" w:eastAsia="Arial" w:hAnsi="Arial"/>
          <w:sz w:val="17"/>
          <w:szCs w:val="17"/>
          <w:color w:val="auto"/>
        </w:rPr>
        <w:t>SG&amp;A expenses decreased to $26.2 million for the three months ended September 30, 2020 from</w:t>
      </w:r>
      <w:r>
        <w:rPr>
          <w:rFonts w:ascii="Arial" w:cs="Arial" w:eastAsia="Arial" w:hAnsi="Arial"/>
          <w:sz w:val="17"/>
          <w:szCs w:val="17"/>
          <w:i w:val="1"/>
          <w:iCs w:val="1"/>
          <w:color w:val="auto"/>
        </w:rPr>
        <w:t xml:space="preserve"> </w:t>
      </w:r>
      <w:r>
        <w:rPr>
          <w:rFonts w:ascii="Arial" w:cs="Arial" w:eastAsia="Arial" w:hAnsi="Arial"/>
          <w:sz w:val="17"/>
          <w:szCs w:val="17"/>
          <w:color w:val="auto"/>
        </w:rPr>
        <w:t>$32.4 million for the three months ended September 30, 2019, primarily due to a reduction in incentive compensation expense and a decrease in contingent consideration recorded in connection with our acquisition of the net assets of Ecolink Intelligent Technology, Inc. ("Ecolink"). We also reduced certain discretionary expenses as a result of the COVID-19 pandemic and expect this to continue through the remainder of the year.</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decreased to $0.3 million for the three months ended September 30, 2020 from $0.8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2019 as a result of a lower average quarterly loan balance and a lower interest rate.</w:t>
      </w:r>
    </w:p>
    <w:p>
      <w:pPr>
        <w:spacing w:after="0" w:line="11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Net other expense was $1.6 million for the three months ended September 30, 2020 as a result of net foreign currency losses,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expense of $0.1 million for the three months ended September 30, 2019, as a result of net foreign currency losses.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$2.2 million for the three months ended September 30, 2020, representing an effective tax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26.0% compared to an income tax expense of $2.5 million for the three months ended September 30, 2019, representing an effective tax rate of 48.6%. The decrease in the effective tax rate is due primarily to the U.S. incurring a larger pre-tax loss in 2019 which was not benefited because of the recording of a full valuation allowance.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2020 versus Nine Months Ended September 30, 2019</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for the nine months ended September 30, 2020 were $458.4 million, a decrease of 20.8% compared to $578.8 million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2019. The decrease in net sales occurred primarily with our traditional home entertainment and security customers as we experienced supply, production and demand disruptions caused by the COVID-19 pandemic. Our China-based manufacturing facilities were delayed in re-opening after the Lunar New Year holiday, certain of our key suppliers were ordered to close by local authorities, and certain customers reduced order quantities. We expect the COVID-19 pandemic to negatively impact our net sales in the fourth quarter.</w:t>
      </w:r>
    </w:p>
    <w:p>
      <w:pPr>
        <w:spacing w:after="0" w:line="1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for the nine months ended September 30, 2020 was $125.2 million compared to $120.3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2019. Gross profit as a percent of sales increased to 27.3% for the nine months ended September 30, 2020 from 20.8% for the nine months ended September 30, 2019. Gross profit as a percent of sales was favorably impacted by a reduction in U.S. tariff expense, improved operational efficiencies in our Mexico-based manufacturing facility as it was no longer in a start-up phase, an increase in royalty revenue as certain consumer electronic companies are embedding our technology in their devices, and the strengthening of the U.S. Dollar versus the Chinese Yuan Renminbi and the Mexican Peso. Partially offsetting these favorable items are costs associated with the COVID-19 pandemic. Our China-based manufacturing facilities were delayed in re-opening after the Lunar New Year holiday and our Mexico-based manufacturing facility experienced a more than one-week closure during the second quarter of 2020. The potential impact of the COVID-19 pandemic on our gross profit as a percentage of net sales in future periods is unknown to us at this time; however, the temporary closure of any of our factories may result in excess manufacturing costs, additional tariffs if we were to import goods from China into North America and additional expenses to meet the demand of our customers.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R&amp;D expenses increased 5.0% to $23.0 million for the nine months ended September 30, 2020 from $21.9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2019 primarily due to our continued investment in the development of new products that enhance the user experience in home entertainment and home automation.</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decreased to $77.4 million for the nine months ended September 30, 2020 from $94.6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nine months ended September 30, 2019, primarily due to a reduction in incentive compensation expense, a decrease in contingent consideration recorded in connection with our acquisition of the net assets of Ecolink and a decrease in freight costs. We also reduced certain discretionary expenses as a result of the COVID-19 pandemic and expect this to continue for the remainder of the year.</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decreased to $1.3 million for the nine months ended September 30, 2020 from $3.1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2019 as a result of a lower average loan balance and a lower interest rate.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Accrued social insurance adjustment. </w:t>
      </w:r>
      <w:r>
        <w:rPr>
          <w:rFonts w:ascii="Arial" w:cs="Arial" w:eastAsia="Arial" w:hAnsi="Arial"/>
          <w:sz w:val="17"/>
          <w:szCs w:val="17"/>
          <w:color w:val="auto"/>
        </w:rPr>
        <w:t>During the nine months ended September 30, 2019, we reversed approximately $9.5 million of accrued social</w:t>
      </w:r>
      <w:r>
        <w:rPr>
          <w:rFonts w:ascii="Arial" w:cs="Arial" w:eastAsia="Arial" w:hAnsi="Arial"/>
          <w:sz w:val="17"/>
          <w:szCs w:val="17"/>
          <w:i w:val="1"/>
          <w:iCs w:val="1"/>
          <w:color w:val="auto"/>
        </w:rPr>
        <w:t xml:space="preserve"> </w:t>
      </w:r>
      <w:r>
        <w:rPr>
          <w:rFonts w:ascii="Arial" w:cs="Arial" w:eastAsia="Arial" w:hAnsi="Arial"/>
          <w:sz w:val="17"/>
          <w:szCs w:val="17"/>
          <w:color w:val="auto"/>
        </w:rPr>
        <w:t>insurance. In June 2018, we sold our Guangzhou entity via a stock deal and the terms of the agreement included a two-year indemnification period. In June 2020, the indemnification period expired and we determined we were no longer legally liable for any liabilities associated with our Guangzhou entity. Accordingly, we reversed the accrued social insurance amount associated with the Guangzhou entity, which was approximately $9.5 million.</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Net other expense was $1.3 million for the nine months ended September 30, 2020, as a result of net foreign currency losses,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expense of $0.4 million for the nine months ended September 30, 2019, as a result of net foreign currency losses.</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$5.3 million for the nine months ended September 30, 2020, representing an effective tax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16.6%. During this period, we received two incentive tax refunds in China totaling approximately $1.1 million. In addition, we reversed a tax reserve of approximately $1.3 million that was no longer required. Income tax expense was $3.7 million for the nine months ended September 30, 2019 on pre-tax income of $0.4 million. This period includes significant losses not benefited in the U.S. as a result of a full valuation allowance and the net effect (expense) of a remeasurement of deferred taxes at our Yangzhou entity in China resulting from a lower tax rate that was achieved via the High Technology Exemption ("HTE") approval.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Increase</w:t>
            </w:r>
          </w:p>
        </w:tc>
        <w:tc>
          <w:tcPr>
            <w:tcW w:w="180" w:type="dxa"/>
            <w:vAlign w:val="bottom"/>
          </w:tcPr>
          <w:p>
            <w:pPr>
              <w:spacing w:after="0"/>
              <w:rPr>
                <w:sz w:val="14"/>
                <w:szCs w:val="14"/>
                <w:color w:val="auto"/>
              </w:rPr>
            </w:pPr>
          </w:p>
        </w:tc>
        <w:tc>
          <w:tcPr>
            <w:tcW w:w="158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8"/>
        </w:trPr>
        <w:tc>
          <w:tcPr>
            <w:tcW w:w="5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320" w:type="dxa"/>
            <w:vAlign w:val="bottom"/>
          </w:tcPr>
          <w:p>
            <w:pPr>
              <w:spacing w:after="0"/>
              <w:rPr>
                <w:sz w:val="16"/>
                <w:szCs w:val="16"/>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6"/>
                <w:szCs w:val="16"/>
                <w:color w:val="auto"/>
              </w:rPr>
            </w:pPr>
          </w:p>
        </w:tc>
        <w:tc>
          <w:tcPr>
            <w:tcW w:w="158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224"/>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(used for)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39,921</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Cash provided by (used for) investing activities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(16,618)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(17,359)</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for) financing activities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(19,081)</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4"/>
                <w:szCs w:val="24"/>
                <w:color w:val="auto"/>
              </w:rPr>
            </w:pPr>
          </w:p>
        </w:tc>
        <w:tc>
          <w:tcPr>
            <w:tcW w:w="1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2020</w:t>
            </w:r>
          </w:p>
        </w:tc>
        <w:tc>
          <w:tcPr>
            <w:tcW w:w="320" w:type="dxa"/>
            <w:vAlign w:val="bottom"/>
          </w:tcPr>
          <w:p>
            <w:pPr>
              <w:spacing w:after="0"/>
              <w:rPr>
                <w:sz w:val="24"/>
                <w:szCs w:val="2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Increase</w:t>
            </w:r>
          </w:p>
        </w:tc>
        <w:tc>
          <w:tcPr>
            <w:tcW w:w="180" w:type="dxa"/>
            <w:vAlign w:val="bottom"/>
          </w:tcPr>
          <w:p>
            <w:pPr>
              <w:spacing w:after="0"/>
              <w:rPr>
                <w:sz w:val="24"/>
                <w:szCs w:val="24"/>
                <w:color w:val="auto"/>
              </w:rPr>
            </w:pPr>
          </w:p>
        </w:tc>
        <w:tc>
          <w:tcPr>
            <w:tcW w:w="15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88"/>
        </w:trPr>
        <w:tc>
          <w:tcPr>
            <w:tcW w:w="5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67,146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74,302</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135,679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23,383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112,296</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Net cash provided by operating activities </w:t>
      </w:r>
      <w:r>
        <w:rPr>
          <w:rFonts w:ascii="Arial" w:cs="Arial" w:eastAsia="Arial" w:hAnsi="Arial"/>
          <w:sz w:val="17"/>
          <w:szCs w:val="17"/>
          <w:color w:val="auto"/>
        </w:rPr>
        <w:t>was $43.8 million during the nine months ended September 30, 2020 compared to $39.9 million during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2019. Net income was $26.4 million for the nine months ended September 30, 2020 compared to a net loss of $3.4 million for the nine months ended September 30, 2019. Accounts payable and accrued liabilities resulted in net cash outflows of $50.5 million during the nine months ended September 30, 2020 compared to cash inflows of $11.7 million during the nine months ended September 30, 2019, largely as a result of a significant decrease in inventories as well as payments relating to accrued compensation and contingent consideration. Inventories decreased by $30.5 million during the nine months ended September 30, 2020 compared to a decrease of $4.4 million during the nine months ended September 30, 2019 as a result of lower sales volume in 2020. Inventory turns were 3.4 turns at September 30, 2020 compared to 3.5 turns at September 30, 2019. Accounts receivable and contract assets decreased by $11.6 million during the nine months ended September 30, 2020 compared to an increase of $11.1 million during the nine months ended September 30, 2019 largely as a result of a decrease in net sales. Days sales outstanding were 75 days at September 30, 2020 compared to 67 days at September 30, 2019.</w:t>
      </w:r>
    </w:p>
    <w:p>
      <w:pPr>
        <w:spacing w:after="0" w:line="1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Net cash used for investing activities </w:t>
      </w:r>
      <w:r>
        <w:rPr>
          <w:rFonts w:ascii="Arial" w:cs="Arial" w:eastAsia="Arial" w:hAnsi="Arial"/>
          <w:sz w:val="16"/>
          <w:szCs w:val="16"/>
          <w:color w:val="auto"/>
        </w:rPr>
        <w:t>during the nine months ended September 30, 2020 was $16.6 million, of which $10.9 million and $5.3 million was</w:t>
      </w:r>
      <w:r>
        <w:rPr>
          <w:rFonts w:ascii="Arial" w:cs="Arial" w:eastAsia="Arial" w:hAnsi="Arial"/>
          <w:sz w:val="16"/>
          <w:szCs w:val="16"/>
          <w:i w:val="1"/>
          <w:iCs w:val="1"/>
          <w:color w:val="auto"/>
        </w:rPr>
        <w:t xml:space="preserve"> </w:t>
      </w:r>
      <w:r>
        <w:rPr>
          <w:rFonts w:ascii="Arial" w:cs="Arial" w:eastAsia="Arial" w:hAnsi="Arial"/>
          <w:sz w:val="16"/>
          <w:szCs w:val="16"/>
          <w:color w:val="auto"/>
        </w:rPr>
        <w:t>used for capital expenditures and the development of patents, respectively. Net cash used for investing activities during the nine months ended September 30, 2019 was $17.4 million of which $15.9 million and $1.5 million was used for capital expenditures and the development of patents, respectively.</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used for financing activities </w:t>
      </w:r>
      <w:r>
        <w:rPr>
          <w:rFonts w:ascii="Arial" w:cs="Arial" w:eastAsia="Arial" w:hAnsi="Arial"/>
          <w:sz w:val="18"/>
          <w:szCs w:val="18"/>
          <w:color w:val="auto"/>
        </w:rPr>
        <w:t>was $30.9 million during the nine months ended September 30, 2020 compared to $19.1 million during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2019. The increase in cash used for financing activities was driven primarily by borrowing and repayment activity on our line of credit. During the nine months ended September 30, 2020 we had net repayments of $18.0 million compared to net repayments of $13.5 million during the nine months ended September 30, 2019.</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2020, we repurchased 263,164 shares of our common stock at a cost of $9.8 million compared to our repurchase of 54,503 shares at a cost of $1.7 million during the nine months ended September 30, 2019. We hold these shares as treasury stock and they are available for reissue. Presently, we have no plans to distribute these shares, although we may change these plans if necessary to fulfill our on-going business objectives. See Note 12 contained in "Notes to Consolidated Financial Statements" for further information regarding our share repurchase programs.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2"/>
              </w:rPr>
              <w:t>Payments Due by Period</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940" w:type="dxa"/>
            <w:vAlign w:val="bottom"/>
          </w:tcPr>
          <w:p>
            <w:pPr>
              <w:jc w:val="right"/>
              <w:ind w:right="156"/>
              <w:spacing w:after="0" w:line="135"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jc w:val="center"/>
              <w:ind w:right="196"/>
              <w:spacing w:after="0" w:line="135"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376"/>
              <w:spacing w:after="0" w:line="135" w:lineRule="exact"/>
              <w:rPr>
                <w:sz w:val="20"/>
                <w:szCs w:val="20"/>
                <w:color w:val="auto"/>
              </w:rPr>
            </w:pPr>
            <w:r>
              <w:rPr>
                <w:rFonts w:ascii="Arial" w:cs="Arial" w:eastAsia="Arial" w:hAnsi="Arial"/>
                <w:sz w:val="14"/>
                <w:szCs w:val="14"/>
                <w:b w:val="1"/>
                <w:bCs w:val="1"/>
                <w:color w:val="auto"/>
              </w:rPr>
              <w:t>4 - 5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356"/>
              <w:spacing w:after="0" w:line="135"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88"/>
        </w:trPr>
        <w:tc>
          <w:tcPr>
            <w:tcW w:w="47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1 year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years</w:t>
            </w:r>
          </w:p>
        </w:tc>
        <w:tc>
          <w:tcPr>
            <w:tcW w:w="28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960" w:type="dxa"/>
            <w:vAlign w:val="bottom"/>
          </w:tcPr>
          <w:p>
            <w:pPr>
              <w:jc w:val="right"/>
              <w:ind w:right="31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4"/>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Pr>
          <w:p>
            <w:pPr>
              <w:ind w:left="34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11,482</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Purchase obligations primarily consist of contractual payments to purchase property, plant and equipment.</w:t>
      </w:r>
    </w:p>
    <w:p>
      <w:pPr>
        <w:spacing w:after="0" w:line="80" w:lineRule="exact"/>
        <w:rPr>
          <w:rFonts w:ascii="Arial" w:cs="Arial" w:eastAsia="Arial" w:hAnsi="Arial"/>
          <w:sz w:val="23"/>
          <w:szCs w:val="23"/>
          <w:color w:val="auto"/>
          <w:vertAlign w:val="superscript"/>
        </w:rPr>
      </w:pPr>
    </w:p>
    <w:p>
      <w:pPr>
        <w:ind w:left="660" w:hanging="328"/>
        <w:spacing w:after="0" w:line="227" w:lineRule="auto"/>
        <w:tabs>
          <w:tab w:leader="none" w:pos="64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Contingent consideration consists of contingent payments related to our purchases of the net assets of Ecolink and RCS Control Systems, Inc. ("RCS").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acquisitions of the net assets of Ecolink and RCS. We anticipate that we will continue to utilize both cash flows from operations and our revolving line of credit to support ongoing business operations, capital expenditures and future discretionary share repurchases.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Our liquidity is subject to various risks including the risks discussed under "Item 3. Quantitative and Qualitative Disclosures about Market Risk."</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9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2020</w:t>
            </w:r>
          </w:p>
        </w:tc>
        <w:tc>
          <w:tcPr>
            <w:tcW w:w="280" w:type="dxa"/>
            <w:vAlign w:val="bottom"/>
          </w:tcPr>
          <w:p>
            <w:pPr>
              <w:spacing w:after="0"/>
              <w:rPr>
                <w:sz w:val="16"/>
                <w:szCs w:val="16"/>
                <w:color w:val="auto"/>
              </w:rPr>
            </w:pPr>
          </w:p>
        </w:tc>
        <w:tc>
          <w:tcPr>
            <w:tcW w:w="1820" w:type="dxa"/>
            <w:vAlign w:val="bottom"/>
          </w:tcPr>
          <w:p>
            <w:pPr>
              <w:jc w:val="right"/>
              <w:ind w:right="399"/>
              <w:spacing w:after="0"/>
              <w:rPr>
                <w:sz w:val="20"/>
                <w:szCs w:val="20"/>
                <w:color w:val="auto"/>
              </w:rPr>
            </w:pPr>
            <w:r>
              <w:rPr>
                <w:rFonts w:ascii="Arial" w:cs="Arial" w:eastAsia="Arial" w:hAnsi="Arial"/>
                <w:sz w:val="14"/>
                <w:szCs w:val="14"/>
                <w:b w:val="1"/>
                <w:bCs w:val="1"/>
                <w:color w:val="auto"/>
              </w:rPr>
              <w:t>December 31, 2019</w:t>
            </w:r>
          </w:p>
        </w:tc>
      </w:tr>
      <w:tr>
        <w:trPr>
          <w:trHeight w:val="229"/>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67,146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74,302</w:t>
            </w: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Available borrowing resources</w:t>
            </w: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72,300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54,300</w:t>
            </w:r>
          </w:p>
        </w:tc>
      </w:tr>
    </w:tbl>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may be subject to state income and foreign withholding taxes. Additionally, repatriation of some foreign balances is restricted by local laws. We have provided for the state income tax and the foreign withholding tax liabilities on these amounts for financial statement purposes.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30, 2020, we had $14.7 million, $15.0 million, $12.3 million, $16.8 million and $8.3 million of cash and cash equivalents in North America, the PRC, Asia (excluding the PRC), Europe, and South America, respectively. On December 31, 2019, we had $16.8 million, $13.7 million, $21.7 million, $9.1 million, and $13.0 million of cash and cash equivalents in North America,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Second Amended and Restated Credit Agreement ("Second Amended Credit Agreement") with U.S. Bank National Association ("U.S. Bank") provides for a $125.0 million revolving line of credit ("Credit Line") that expires on November 1, 2021.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September 30, 2020.</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that controls our manufacturing factories in the PRC.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 in effect at September 30, 2020 was 1.39%. There are no commitment fees or unused line fees under the Second Amended Credit Agreement.</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September 30, 2020, we were in compliance with the covenants and conditions of the Second Amended Credit Agreement.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2020, we had an outstanding balance of $50.0 million on our Credit Line and $72.3 million of availability.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0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in "Management's Discussion and Analysis of Financial Condition and Results of Operations," as well as those discussed in our 2019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4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While we believe that the forward-looking statements made in this report are based on reasonable assumptions, the actual outcome of such statements is subject to a number of risks and uncertainties, including the ultimate impact of the COVID-19 pandemic on our business, results of operations, financial position and liquidity; the significant percentage of our revenue attributable to a limited number of customers; the failure of our markets to continue growing and expanding in the manner we anticipated; the loss of market share due to competition; the delay by or failure of our customers to order products from us due to delays by them of their new product rollouts, their decision to purchase their products from an alternative or second source supplier, their efforts to refocus their operations to broadband and over-the-top ("OTT") versus traditional linear video, their failure to grow as we anticipated, their internal inventory control measures, including to mitigate effects due to increases in tariffs, or their loss of market share; the effects of natural or other events beyond our control, including the effects political unrest, war or terrorist activities may have on us or the economy; the economic environment's effect on us or our customers; the effects of doing business internationally, including the effects that changes in laws, regulations and policies may have on our business including the impact of new or additional tariffs and surcharges; the growth of, acceptance of and the demand for our products and technologies in various markets and geographical regions, including cable, satellite, consumer electronics, retail, and digital media and interactive technology; our inability to add profitable complementary products which are accepted by the marketplace; our inability to attract and retain a quality workforce at adequate levels in all regions of the world, and particularly those jurisdictions where we are moving our operations; our inability to continue to maintain our operating costs at acceptable levels through our cost containment efforts including moving our operations and manufacturing facilities to lower cost jurisdictions; an unfavorable ruling in any or all of the litigation matters to which we are party;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our inability to successfully, timely and profitably restructure and/or relocate our manufacturing facilities and activities; the possible dilutive effect our stock incentive programs may have on our earnings per share and stock price; the continued ability to identify and execute on opportunities that maximize stockholder value, including the effects repurchasing the Company's shares have on the Company's stock value; our inability to continue to obtain adequate quantities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component parts or secure adequate factory production capacity on a timely basis; and other factors listed from time to time in our press releases and filings with the Securities and Exchange Commission.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exposed to interest rate risk related to our debt. From time to time we borrow amounts on our Credit Line for working capital and other liquidity needs. Under our Second Amended Credit Agreement, we may elect to pay interest on outstanding borrowings on our Credit Line based on LIBOR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$0.4 million annual impact on net income based on our outstanding Credit Line balance at September 30, 2020.</w:t>
      </w:r>
    </w:p>
    <w:p>
      <w:pPr>
        <w:spacing w:after="0" w:line="1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 September 30, 2020, we had wholly-owned subsidiaries in Argentina, Brazil, the British Virgin Islands, Cayman Islands, France, Germany, Hong Kong, India, Italy, Japan, Korea,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Mexican Peso, British Pound, Euro, Argentinian Peso, Brazilian Real, Indian Rupee, Japanese Yen and Philippine Peso.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Mexican Peso, Euro, Indian Rupee, Japanese Yen and Philippine Peso and therefore benefit from a stronger U.S. Dollar and are adversely affected by a weaker U.S. Dollar relative to the foreign currency. For the British Pound, Argentinian Peso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September 30, 2020, we believe that movements in foreign currency rates may have a material effect on our financial position and results of operations. We estimate that if the exchange rates for the Chinese Yuan Renminbi, Mexican Peso, British Pound, Euro, Argentinian Peso, Brazilian Real, Indian Rupee, Japanese Yen and Philippine Peso relative to the U.S. Dollar fluctuate 10% from September 30, 2020, net income in the fourth quarter of 2020 would fluctuate by approximately $6.6 million.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Rule 13a-15(d) promulgated under the Exchange Act of 1934 (the "Exchange Act")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fiscal quarter covered by this Quarterly Report on Form 10-Q that have materially affected, or are reasonably likely to materially affect, our internal control over financial reporting.</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11"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reader should carefully consider, in connection with the other information in this report, the risk factors discussed in "Part I, Item 1A: Risk Factors" of the Company's 2019 Annual Report on Form 10-K incorporated herein by reference, as well as the risk factors set forth below. These factors may cause our actual results to differ materially from those stated in forward-looking statements contained in this document and elsewhere.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COVID-19 pandemic has adversely affected and is expected to continue to pose risks to our business, results of operations, financial condition and cash flows, and other epidemics or outbreaks of infectious diseases may have a similar impact.</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previously disclosed, we face risks related to outbreaks of infectious diseases, including the ongoing COVID-19 pandemic. COVID-19 has spread across the globe during 2020 and is impacting economic activity worldwide. COVID-19 has caused disruption and volatility in the global capital markets and has authored an economic slowdown. The COVID-19 pandemic and its associated economic uncertainty negatively impacted our sales volumes in the first nine months of 2020 in most geographic locations and across a variety of customers. In response to COVID-19, national and local governments around the world have instituted certain measures, including travel bans, prohibitions on group events and gatherings, shutdowns of certain businesses, curfews, shelter-in-place orders and recommendations to practice social distancing. The measures we have taken to follow the COVID-19 guidelines from the Centers for Disease Control and Prevention ("CDC") and the various local governments where our facilities and operations are located concerning the health and safety of our personnel, have resulted in attenuating activity and, in some cases, required temporary closures of certain of our facilities, among other impacts. The duration of these measures is unknown, may be extended and additional measures may be imposed.</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further expect that the ultimate significance of the impact of the COVID-19 pandemic on our business will vary, but will generally depend on the extent of measures taken affecting day-to-day life and the length of time that such measures remain in place to respond to the COVID-19 pandemic. At this point, it is impossible to predict such extent and duration and the degree to which supply and demand for our products and services will be affected. This uncertainty makes it challenging for management to estimate with precision the future performance of our business.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potential effects of the COVID-19 pandemic and other similar outbreaks include, but are not limited to, the following:</w:t>
      </w:r>
    </w:p>
    <w:p>
      <w:pPr>
        <w:spacing w:after="0" w:line="117" w:lineRule="exact"/>
        <w:rPr>
          <w:sz w:val="20"/>
          <w:szCs w:val="20"/>
          <w:color w:val="auto"/>
        </w:rPr>
      </w:pPr>
    </w:p>
    <w:p>
      <w:pPr>
        <w:jc w:val="both"/>
        <w:ind w:left="66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consumer and investor confidence, instability in the credit and financial markets, volatile corporate profits, and reduced business and consumer spending, which may adversely affect our results of operations by reducing our sales, margins and/or net income as a result of a slowdown in customer orders or order cancellations. In addition, volatility in the financial markets may increase the cost of capital and/or limit its availability.</w:t>
      </w:r>
    </w:p>
    <w:p>
      <w:pPr>
        <w:spacing w:after="0" w:line="7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uncertainty as a result of the COVID-19 pandemic is expected to make it difficult for us and our customers and suppliers to accurately forecast and plan future business activities.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to weaken the financial position of some of our customers. If circumstances surrounding our customers' financial capabilities were to deteriorate, write-downs or write-offs may negatively affect our operating results and, if large, may have a material adverse effect on our business, financial condition, results of operations and cash flows.</w:t>
      </w:r>
    </w:p>
    <w:p>
      <w:pPr>
        <w:spacing w:after="0" w:line="75"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a result of governmental orders, we may experience disruptions in our manufacturing operations and in our supply chain in connection with the sourcing of materials from geographic areas that continue to be impacted by the COVID-19 pandemic and by efforts to contain its spread.</w:t>
      </w:r>
    </w:p>
    <w:p>
      <w:pPr>
        <w:spacing w:after="0" w:line="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the extent the COVID-19 pandemic adversely affects our business, results of operations, financial condition and cash flows, it may also heighten many of the other risks described in this section and in the "Risk Factors" section of our Annual Report on Form 10-K for the fiscal year ended December 31, 2019. The ultimate impact of COVID-19 on our business, results of operations, financial condition and cash flows is dependent on future developments, including the duration of the pandemic and the related length of its impact on the global economy, which are uncertain and cannot be predicted at this time.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three months ended September 30, 2020, our total stock repurchases, average price paid per share and the maximum number of shares that may yet be purchased on the open market under our plans or programs: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Maximum Number of Shares</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Average</w:t>
            </w: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as Part of Publicly</w:t>
            </w:r>
          </w:p>
        </w:tc>
        <w:tc>
          <w:tcPr>
            <w:tcW w:w="12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Price Paid</w:t>
            </w: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1"/>
                <w:szCs w:val="11"/>
                <w:color w:val="auto"/>
              </w:rPr>
            </w:pPr>
          </w:p>
        </w:tc>
        <w:tc>
          <w:tcPr>
            <w:tcW w:w="2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89"/>
        </w:trPr>
        <w:tc>
          <w:tcPr>
            <w:tcW w:w="4180" w:type="dxa"/>
            <w:vAlign w:val="bottom"/>
            <w:gridSpan w:val="2"/>
            <w:vMerge w:val="continue"/>
          </w:tcPr>
          <w:p>
            <w:pPr>
              <w:spacing w:after="0"/>
              <w:rPr>
                <w:sz w:val="16"/>
                <w:szCs w:val="16"/>
                <w:color w:val="auto"/>
              </w:rPr>
            </w:pPr>
          </w:p>
        </w:tc>
        <w:tc>
          <w:tcPr>
            <w:tcW w:w="1440" w:type="dxa"/>
            <w:vAlign w:val="bottom"/>
          </w:tcPr>
          <w:p>
            <w:pPr>
              <w:jc w:val="right"/>
              <w:ind w:right="16"/>
              <w:spacing w:after="0" w:line="189" w:lineRule="exact"/>
              <w:rPr>
                <w:sz w:val="20"/>
                <w:szCs w:val="20"/>
                <w:color w:val="auto"/>
              </w:rPr>
            </w:pPr>
            <w:r>
              <w:rPr>
                <w:rFonts w:ascii="Arial" w:cs="Arial" w:eastAsia="Arial" w:hAnsi="Arial"/>
                <w:sz w:val="14"/>
                <w:szCs w:val="14"/>
                <w:b w:val="1"/>
                <w:bCs w:val="1"/>
                <w:color w:val="auto"/>
                <w:w w:val="93"/>
              </w:rPr>
              <w:t xml:space="preserve">Shares Purchased </w:t>
            </w:r>
            <w:r>
              <w:rPr>
                <w:rFonts w:ascii="Arial" w:cs="Arial" w:eastAsia="Arial" w:hAnsi="Arial"/>
                <w:sz w:val="18"/>
                <w:szCs w:val="18"/>
                <w:b w:val="1"/>
                <w:bCs w:val="1"/>
                <w:color w:val="auto"/>
                <w:w w:val="93"/>
                <w:vertAlign w:val="superscript"/>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per Share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20" w:type="dxa"/>
            <w:vAlign w:val="bottom"/>
          </w:tcPr>
          <w:p>
            <w:pPr>
              <w:spacing w:after="0"/>
              <w:rPr>
                <w:sz w:val="16"/>
                <w:szCs w:val="16"/>
                <w:color w:val="auto"/>
              </w:rPr>
            </w:pPr>
          </w:p>
        </w:tc>
        <w:tc>
          <w:tcPr>
            <w:tcW w:w="204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1"/>
              </w:rPr>
              <w:t xml:space="preserve">Under the Plans or Programs </w:t>
            </w:r>
            <w:r>
              <w:rPr>
                <w:rFonts w:ascii="Arial" w:cs="Arial" w:eastAsia="Arial" w:hAnsi="Arial"/>
                <w:sz w:val="18"/>
                <w:szCs w:val="18"/>
                <w:b w:val="1"/>
                <w:bCs w:val="1"/>
                <w:color w:val="auto"/>
                <w:w w:val="91"/>
                <w:vertAlign w:val="superscript"/>
              </w:rPr>
              <w:t>(2)</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2020 - July 31, 2020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175,127</w:t>
            </w: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August 1, 2020 - August 31, 2020</w:t>
            </w:r>
          </w:p>
        </w:tc>
        <w:tc>
          <w:tcPr>
            <w:tcW w:w="1440" w:type="dxa"/>
            <w:vAlign w:val="bottom"/>
          </w:tcPr>
          <w:p>
            <w:pPr>
              <w:jc w:val="right"/>
              <w:spacing w:after="0"/>
              <w:rPr>
                <w:sz w:val="20"/>
                <w:szCs w:val="20"/>
                <w:color w:val="auto"/>
              </w:rPr>
            </w:pPr>
            <w:r>
              <w:rPr>
                <w:rFonts w:ascii="Arial" w:cs="Arial" w:eastAsia="Arial" w:hAnsi="Arial"/>
                <w:sz w:val="18"/>
                <w:szCs w:val="18"/>
                <w:color w:val="auto"/>
              </w:rPr>
              <w:t>3,317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45.30</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4"/>
              <w:spacing w:after="0"/>
              <w:rPr>
                <w:sz w:val="20"/>
                <w:szCs w:val="20"/>
                <w:color w:val="auto"/>
              </w:rPr>
            </w:pPr>
            <w:r>
              <w:rPr>
                <w:rFonts w:ascii="Arial" w:cs="Arial" w:eastAsia="Arial" w:hAnsi="Arial"/>
                <w:sz w:val="18"/>
                <w:szCs w:val="18"/>
                <w:color w:val="auto"/>
              </w:rPr>
              <w:t>175,127</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2020 - September 30,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2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86,925</w:t>
            </w:r>
          </w:p>
        </w:tc>
        <w:tc>
          <w:tcPr>
            <w:tcW w:w="21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213,075</w:t>
            </w:r>
          </w:p>
        </w:tc>
        <w:tc>
          <w:tcPr>
            <w:tcW w:w="0" w:type="dxa"/>
            <w:vAlign w:val="bottom"/>
          </w:tcPr>
          <w:p>
            <w:pPr>
              <w:spacing w:after="0"/>
              <w:rPr>
                <w:sz w:val="1"/>
                <w:szCs w:val="1"/>
                <w:color w:val="auto"/>
              </w:rPr>
            </w:pPr>
          </w:p>
        </w:tc>
      </w:tr>
      <w:tr>
        <w:trPr>
          <w:trHeight w:val="223"/>
        </w:trPr>
        <w:tc>
          <w:tcPr>
            <w:tcW w:w="418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90,890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37.59</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86,925</w:t>
            </w:r>
          </w:p>
        </w:tc>
        <w:tc>
          <w:tcPr>
            <w:tcW w:w="2160" w:type="dxa"/>
            <w:vAlign w:val="bottom"/>
            <w:gridSpan w:val="2"/>
          </w:tcPr>
          <w:p>
            <w:pPr>
              <w:jc w:val="right"/>
              <w:ind w:right="4"/>
              <w:spacing w:after="0"/>
              <w:rPr>
                <w:sz w:val="20"/>
                <w:szCs w:val="20"/>
                <w:color w:val="auto"/>
              </w:rPr>
            </w:pPr>
            <w:r>
              <w:rPr>
                <w:rFonts w:ascii="Arial" w:cs="Arial" w:eastAsia="Arial" w:hAnsi="Arial"/>
                <w:sz w:val="18"/>
                <w:szCs w:val="18"/>
                <w:color w:val="auto"/>
              </w:rPr>
              <w:t>213,075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hanging="328"/>
        <w:spacing w:after="0" w:line="238" w:lineRule="auto"/>
        <w:tabs>
          <w:tab w:leader="none" w:pos="648"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Of the repurchases in July, August, and September, 625, 3,317 and 23 shares, respectively, represent common shares of the Company that were owned and tendered by employees to satisfy tax withholding obligations in connection with the vesting of restricted shares.</w:t>
      </w:r>
    </w:p>
    <w:p>
      <w:pPr>
        <w:spacing w:after="0" w:line="95" w:lineRule="exact"/>
        <w:rPr>
          <w:rFonts w:ascii="Arial" w:cs="Arial" w:eastAsia="Arial" w:hAnsi="Arial"/>
          <w:sz w:val="22"/>
          <w:szCs w:val="22"/>
          <w:color w:val="auto"/>
          <w:vertAlign w:val="superscript"/>
        </w:rPr>
      </w:pPr>
    </w:p>
    <w:p>
      <w:pPr>
        <w:jc w:val="both"/>
        <w:ind w:left="660" w:hanging="328"/>
        <w:spacing w:after="0" w:line="260" w:lineRule="auto"/>
        <w:tabs>
          <w:tab w:leader="none" w:pos="648"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On September 17, 2020, we announced that our Board of Directors authorized a share repurchase program (the "September 2020 Program"), which replaced in its entirety the previous repurchase program in place prior to September 15, 2020. Pursuant to the September 2020 Program, we may repurchase up to 300,000 shares of our common stock. At September 30, 2020, we had 213,075 shares of common stock authorized for repurchase remaining under the September 2020 Program. Subsequent to September 30, 2020, we repurchased an additional 113,075 shares under the September 2020 Program at a cost of $4.4 million. On October 28, 2020, our Board terminated the September 2020 Program and replaced it with a new share repurchase program with an effective date of November 10, 2020 (the "November 2020 Program"). Pursuant to the November 2020 Program, we may, from time to time until February 18, 2021, repurchase up to 500,000 shares of our common stock. We may repurchase shares of common stock in privately negotiated and/or open-market transactions, including pursuant to plans complying with Rule 10b5-1 promulgated under the Exchange Act.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020" w:type="dxa"/>
            <w:vAlign w:val="bottom"/>
            <w:gridSpan w:val="2"/>
          </w:tcPr>
          <w:p>
            <w:pPr>
              <w:ind w:left="720"/>
              <w:spacing w:after="0"/>
              <w:rPr>
                <w:sz w:val="20"/>
                <w:szCs w:val="20"/>
                <w:color w:val="auto"/>
              </w:rPr>
            </w:pPr>
            <w:r>
              <w:rPr>
                <w:rFonts w:ascii="Arial" w:cs="Arial" w:eastAsia="Arial" w:hAnsi="Arial"/>
                <w:sz w:val="18"/>
                <w:szCs w:val="18"/>
                <w:b w:val="1"/>
                <w:bCs w:val="1"/>
                <w:color w:val="auto"/>
              </w:rPr>
              <w:t>EXHIBIT INDEX</w:t>
            </w:r>
          </w:p>
        </w:tc>
      </w:tr>
      <w:tr>
        <w:trPr>
          <w:trHeight w:val="576"/>
        </w:trPr>
        <w:tc>
          <w:tcPr>
            <w:tcW w:w="1400" w:type="dxa"/>
            <w:vAlign w:val="bottom"/>
          </w:tcPr>
          <w:p>
            <w:pPr>
              <w:jc w:val="right"/>
              <w:ind w:right="990"/>
              <w:spacing w:after="0"/>
              <w:rPr>
                <w:sz w:val="20"/>
                <w:szCs w:val="20"/>
                <w:color w:val="auto"/>
              </w:rPr>
            </w:pPr>
            <w:r>
              <w:rPr>
                <w:rFonts w:ascii="Arial" w:cs="Arial" w:eastAsia="Arial" w:hAnsi="Arial"/>
                <w:sz w:val="18"/>
                <w:szCs w:val="18"/>
                <w:color w:val="auto"/>
                <w:w w:val="85"/>
              </w:rPr>
              <w:t>31.1</w:t>
            </w:r>
          </w:p>
        </w:tc>
        <w:tc>
          <w:tcPr>
            <w:tcW w:w="9680" w:type="dxa"/>
            <w:vAlign w:val="bottom"/>
            <w:gridSpan w:val="3"/>
          </w:tcPr>
          <w:p>
            <w:pPr>
              <w:spacing w:after="0"/>
              <w:rPr>
                <w:rFonts w:ascii="Arial" w:cs="Arial" w:eastAsia="Arial" w:hAnsi="Arial"/>
                <w:sz w:val="18"/>
                <w:szCs w:val="18"/>
                <w:color w:val="0000FF"/>
                <w:w w:val="96"/>
              </w:rPr>
            </w:pPr>
            <w:hyperlink w:anchor="page38">
              <w:r>
                <w:rPr>
                  <w:rFonts w:ascii="Arial" w:cs="Arial" w:eastAsia="Arial" w:hAnsi="Arial"/>
                  <w:sz w:val="18"/>
                  <w:szCs w:val="18"/>
                  <w:u w:val="single" w:color="auto"/>
                  <w:color w:val="0000FF"/>
                  <w:w w:val="96"/>
                </w:rPr>
                <w:t>Rule 13a-14(a) Certifications of Paul D. Arling, Chief Executive Officer (principal executive officer) of Universal Electronics Inc</w:t>
              </w:r>
              <w:r>
                <w:rPr>
                  <w:rFonts w:ascii="Arial" w:cs="Arial" w:eastAsia="Arial" w:hAnsi="Arial"/>
                  <w:sz w:val="18"/>
                  <w:szCs w:val="18"/>
                  <w:color w:val="0000FF"/>
                  <w:w w:val="96"/>
                </w:rPr>
                <w:t>.</w:t>
              </w:r>
            </w:hyperlink>
          </w:p>
        </w:tc>
      </w:tr>
      <w:tr>
        <w:trPr>
          <w:trHeight w:val="243"/>
        </w:trPr>
        <w:tc>
          <w:tcPr>
            <w:tcW w:w="1400" w:type="dxa"/>
            <w:vAlign w:val="bottom"/>
          </w:tcPr>
          <w:p>
            <w:pPr>
              <w:jc w:val="right"/>
              <w:ind w:right="990"/>
              <w:spacing w:after="0"/>
              <w:rPr>
                <w:sz w:val="20"/>
                <w:szCs w:val="20"/>
                <w:color w:val="auto"/>
              </w:rPr>
            </w:pPr>
            <w:r>
              <w:rPr>
                <w:rFonts w:ascii="Arial" w:cs="Arial" w:eastAsia="Arial" w:hAnsi="Arial"/>
                <w:sz w:val="18"/>
                <w:szCs w:val="18"/>
                <w:color w:val="auto"/>
                <w:w w:val="85"/>
              </w:rPr>
              <w:t>31.2</w:t>
            </w:r>
          </w:p>
        </w:tc>
        <w:tc>
          <w:tcPr>
            <w:tcW w:w="9680" w:type="dxa"/>
            <w:vAlign w:val="bottom"/>
            <w:gridSpan w:val="3"/>
          </w:tcPr>
          <w:p>
            <w:pPr>
              <w:spacing w:after="0"/>
              <w:rPr>
                <w:rFonts w:ascii="Arial" w:cs="Arial" w:eastAsia="Arial" w:hAnsi="Arial"/>
                <w:sz w:val="18"/>
                <w:szCs w:val="18"/>
                <w:color w:val="0000FF"/>
                <w:w w:val="96"/>
              </w:rPr>
            </w:pPr>
            <w:hyperlink w:anchor="page39">
              <w:r>
                <w:rPr>
                  <w:rFonts w:ascii="Arial" w:cs="Arial" w:eastAsia="Arial" w:hAnsi="Arial"/>
                  <w:sz w:val="18"/>
                  <w:szCs w:val="18"/>
                  <w:color w:val="0000FF"/>
                  <w:w w:val="96"/>
                </w:rPr>
                <w:t>Rule 13a-14(a) Certifications of Bryan M. Hackworth, Chief Financial Officer (principal financial officer and principal accounting</w:t>
              </w:r>
            </w:hyperlink>
          </w:p>
        </w:tc>
      </w:tr>
      <w:tr>
        <w:trPr>
          <w:trHeight w:val="156"/>
        </w:trPr>
        <w:tc>
          <w:tcPr>
            <w:tcW w:w="1400" w:type="dxa"/>
            <w:vAlign w:val="bottom"/>
          </w:tcPr>
          <w:p>
            <w:pPr>
              <w:spacing w:after="0"/>
              <w:rPr>
                <w:sz w:val="13"/>
                <w:szCs w:val="13"/>
                <w:color w:val="auto"/>
              </w:rPr>
            </w:pPr>
          </w:p>
        </w:tc>
        <w:tc>
          <w:tcPr>
            <w:tcW w:w="26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39">
              <w:r>
                <w:rPr>
                  <w:rFonts w:ascii="Arial" w:cs="Arial" w:eastAsia="Arial" w:hAnsi="Arial"/>
                  <w:sz w:val="18"/>
                  <w:szCs w:val="18"/>
                  <w:color w:val="0000FF"/>
                  <w:w w:val="93"/>
                </w:rPr>
                <w:t>officer) of Universal Electronics Inc.</w:t>
              </w:r>
            </w:hyperlink>
          </w:p>
        </w:tc>
        <w:tc>
          <w:tcPr>
            <w:tcW w:w="70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80" w:lineRule="exact"/>
        <w:rPr>
          <w:sz w:val="20"/>
          <w:szCs w:val="20"/>
          <w:color w:val="auto"/>
        </w:rPr>
      </w:pPr>
    </w:p>
    <w:p>
      <w:pPr>
        <w:jc w:val="both"/>
        <w:ind w:left="1540" w:hanging="1390"/>
        <w:spacing w:after="0" w:line="224" w:lineRule="auto"/>
        <w:tabs>
          <w:tab w:leader="none" w:pos="1540" w:val="left"/>
        </w:tabs>
        <w:numPr>
          <w:ilvl w:val="0"/>
          <w:numId w:val="19"/>
        </w:numPr>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Section 1350 Certifications of Paul D. Arling, Chief Executive Officer (principal executive officer) of Universal Electronics Inc., and</w:t>
        </w:r>
      </w:hyperlink>
      <w:r>
        <w:rPr>
          <w:rFonts w:ascii="Arial" w:cs="Arial" w:eastAsia="Arial" w:hAnsi="Arial"/>
          <w:sz w:val="18"/>
          <w:szCs w:val="18"/>
          <w:u w:val="single" w:color="auto"/>
          <w:color w:val="0000FF"/>
        </w:rPr>
        <w:t xml:space="preserve"> </w:t>
      </w:r>
      <w:hyperlink w:anchor="page40">
        <w:r>
          <w:rPr>
            <w:rFonts w:ascii="Arial" w:cs="Arial" w:eastAsia="Arial" w:hAnsi="Arial"/>
            <w:sz w:val="18"/>
            <w:szCs w:val="18"/>
            <w:u w:val="single" w:color="auto"/>
            <w:color w:val="0000FF"/>
          </w:rPr>
          <w:t>Bryan M. Hackworth, Chief Financial Officer (principal financial officer and principal accounting officer) of Universal Electronics</w:t>
        </w:r>
      </w:hyperlink>
      <w:r>
        <w:rPr>
          <w:rFonts w:ascii="Arial" w:cs="Arial" w:eastAsia="Arial" w:hAnsi="Arial"/>
          <w:sz w:val="18"/>
          <w:szCs w:val="18"/>
          <w:u w:val="single" w:color="auto"/>
          <w:color w:val="0000FF"/>
        </w:rPr>
        <w:t xml:space="preserve"> </w:t>
      </w:r>
      <w:hyperlink w:anchor="page40">
        <w:r>
          <w:rPr>
            <w:rFonts w:ascii="Arial" w:cs="Arial" w:eastAsia="Arial" w:hAnsi="Arial"/>
            <w:sz w:val="18"/>
            <w:szCs w:val="18"/>
            <w:u w:val="single" w:color="auto"/>
            <w:color w:val="0000FF"/>
          </w:rPr>
          <w:t>Inc., pursuant to 18 U.S.C. Section 1350</w:t>
        </w:r>
      </w:hyperlink>
    </w:p>
    <w:p>
      <w:pPr>
        <w:spacing w:after="0" w:line="55" w:lineRule="exact"/>
        <w:rPr>
          <w:rFonts w:ascii="Arial" w:cs="Arial" w:eastAsia="Arial" w:hAnsi="Arial"/>
          <w:sz w:val="18"/>
          <w:szCs w:val="18"/>
          <w:u w:val="single" w:color="auto"/>
          <w:color w:val="0000FF"/>
        </w:rPr>
      </w:pPr>
    </w:p>
    <w:tbl>
      <w:tblPr>
        <w:tblLayout w:type="fixed"/>
        <w:tblInd w:w="14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5320" w:type="dxa"/>
            <w:vAlign w:val="bottom"/>
          </w:tcPr>
          <w:p>
            <w:pPr>
              <w:ind w:left="360"/>
              <w:spacing w:after="0"/>
              <w:rPr>
                <w:sz w:val="20"/>
                <w:szCs w:val="20"/>
                <w:color w:val="auto"/>
              </w:rPr>
            </w:pPr>
            <w:r>
              <w:rPr>
                <w:rFonts w:ascii="Arial" w:cs="Arial" w:eastAsia="Arial" w:hAnsi="Arial"/>
                <w:sz w:val="18"/>
                <w:szCs w:val="18"/>
                <w:color w:val="auto"/>
              </w:rPr>
              <w:t>Inline XBRL Instance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5320" w:type="dxa"/>
            <w:vAlign w:val="bottom"/>
          </w:tcPr>
          <w:p>
            <w:pPr>
              <w:ind w:left="360"/>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5320" w:type="dxa"/>
            <w:vAlign w:val="bottom"/>
          </w:tcPr>
          <w:p>
            <w:pPr>
              <w:ind w:left="360"/>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284"/>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5320" w:type="dxa"/>
            <w:vAlign w:val="bottom"/>
          </w:tcPr>
          <w:p>
            <w:pPr>
              <w:ind w:left="360"/>
              <w:spacing w:after="0"/>
              <w:rPr>
                <w:sz w:val="20"/>
                <w:szCs w:val="20"/>
                <w:color w:val="auto"/>
              </w:rPr>
            </w:pPr>
            <w:r>
              <w:rPr>
                <w:rFonts w:ascii="Arial" w:cs="Arial" w:eastAsia="Arial" w:hAnsi="Arial"/>
                <w:sz w:val="18"/>
                <w:szCs w:val="18"/>
                <w:color w:val="auto"/>
                <w:w w:val="96"/>
              </w:rPr>
              <w:t>Inline XBRL Taxonomy Extension Definition Linkbase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5320" w:type="dxa"/>
            <w:vAlign w:val="bottom"/>
          </w:tcPr>
          <w:p>
            <w:pPr>
              <w:ind w:left="3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5320" w:type="dxa"/>
            <w:vAlign w:val="bottom"/>
          </w:tcPr>
          <w:p>
            <w:pPr>
              <w:ind w:left="360"/>
              <w:spacing w:after="0"/>
              <w:rPr>
                <w:sz w:val="20"/>
                <w:szCs w:val="20"/>
                <w:color w:val="auto"/>
              </w:rPr>
            </w:pPr>
            <w:r>
              <w:rPr>
                <w:rFonts w:ascii="Arial" w:cs="Arial" w:eastAsia="Arial" w:hAnsi="Arial"/>
                <w:sz w:val="18"/>
                <w:szCs w:val="18"/>
                <w:color w:val="auto"/>
                <w:w w:val="91"/>
              </w:rPr>
              <w:t>Inline XBRL Taxonomy Extension Presentation Linkbase Document</w:t>
            </w:r>
          </w:p>
        </w:tc>
      </w:tr>
    </w:tbl>
    <w:p>
      <w:pPr>
        <w:spacing w:after="0" w:line="53" w:lineRule="exact"/>
        <w:rPr>
          <w:rFonts w:ascii="Arial" w:cs="Arial" w:eastAsia="Arial" w:hAnsi="Arial"/>
          <w:sz w:val="18"/>
          <w:szCs w:val="18"/>
          <w:u w:val="single" w:color="auto"/>
          <w:color w:val="0000FF"/>
        </w:rPr>
      </w:pPr>
    </w:p>
    <w:p>
      <w:pPr>
        <w:ind w:left="1540" w:hanging="1390"/>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2"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Arial" w:cs="Arial" w:eastAsia="Arial" w:hAnsi="Arial"/>
                <w:sz w:val="18"/>
                <w:szCs w:val="18"/>
                <w:color w:val="auto"/>
              </w:rPr>
              <w:t>Dated:   November 5, 2020</w:t>
            </w:r>
          </w:p>
        </w:tc>
        <w:tc>
          <w:tcPr>
            <w:tcW w:w="7460" w:type="dxa"/>
            <w:vAlign w:val="bottom"/>
            <w:gridSpan w:val="2"/>
          </w:tcPr>
          <w:p>
            <w:pPr>
              <w:ind w:left="1680"/>
              <w:spacing w:after="0"/>
              <w:rPr>
                <w:sz w:val="20"/>
                <w:szCs w:val="20"/>
                <w:color w:val="auto"/>
              </w:rPr>
            </w:pPr>
            <w:r>
              <w:rPr>
                <w:rFonts w:ascii="Arial" w:cs="Arial" w:eastAsia="Arial" w:hAnsi="Arial"/>
                <w:sz w:val="18"/>
                <w:szCs w:val="18"/>
                <w:b w:val="1"/>
                <w:bCs w:val="1"/>
                <w:color w:val="auto"/>
              </w:rPr>
              <w:t>UNIVERSAL ELECTRONICS INC.</w:t>
            </w:r>
          </w:p>
        </w:tc>
      </w:tr>
      <w:tr>
        <w:trPr>
          <w:trHeight w:val="283"/>
        </w:trPr>
        <w:tc>
          <w:tcPr>
            <w:tcW w:w="3720" w:type="dxa"/>
            <w:vAlign w:val="bottom"/>
          </w:tcPr>
          <w:p>
            <w:pPr>
              <w:spacing w:after="0"/>
              <w:rPr>
                <w:sz w:val="24"/>
                <w:szCs w:val="24"/>
                <w:color w:val="auto"/>
              </w:rPr>
            </w:pPr>
          </w:p>
        </w:tc>
        <w:tc>
          <w:tcPr>
            <w:tcW w:w="2400" w:type="dxa"/>
            <w:vAlign w:val="bottom"/>
          </w:tcPr>
          <w:p>
            <w:pPr>
              <w:ind w:left="168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22"/>
        </w:trPr>
        <w:tc>
          <w:tcPr>
            <w:tcW w:w="37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Bryan M. Hackworth</w:t>
            </w:r>
          </w:p>
        </w:tc>
      </w:tr>
      <w:tr>
        <w:trPr>
          <w:trHeight w:val="230"/>
        </w:trPr>
        <w:tc>
          <w:tcPr>
            <w:tcW w:w="37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r>
        <w:trPr>
          <w:trHeight w:val="230"/>
        </w:trPr>
        <w:tc>
          <w:tcPr>
            <w:tcW w:w="37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18"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340" w:firstLine="154"/>
        <w:spacing w:after="0" w:line="263" w:lineRule="auto"/>
        <w:tabs>
          <w:tab w:leader="none" w:pos="71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340" w:firstLine="154"/>
        <w:spacing w:after="0" w:line="263" w:lineRule="auto"/>
        <w:tabs>
          <w:tab w:leader="none" w:pos="73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340" w:firstLine="154"/>
        <w:spacing w:after="0" w:line="308" w:lineRule="auto"/>
        <w:tabs>
          <w:tab w:leader="none" w:pos="746"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340" w:firstLine="154"/>
        <w:spacing w:after="0" w:line="342" w:lineRule="auto"/>
        <w:tabs>
          <w:tab w:leader="none" w:pos="715"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35" w:lineRule="exact"/>
        <w:rPr>
          <w:rFonts w:ascii="Arial" w:cs="Arial" w:eastAsia="Arial" w:hAnsi="Arial"/>
          <w:sz w:val="18"/>
          <w:szCs w:val="18"/>
          <w:color w:val="auto"/>
        </w:rPr>
      </w:pPr>
    </w:p>
    <w:p>
      <w:pPr>
        <w:ind w:left="340" w:firstLine="154"/>
        <w:spacing w:after="0" w:line="277" w:lineRule="auto"/>
        <w:tabs>
          <w:tab w:leader="none" w:pos="71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340" w:right="20" w:firstLine="154"/>
        <w:spacing w:after="0" w:line="277" w:lineRule="auto"/>
        <w:tabs>
          <w:tab w:leader="none" w:pos="70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229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Paul D. Arling</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340" w:firstLine="154"/>
        <w:spacing w:after="0" w:line="263" w:lineRule="auto"/>
        <w:tabs>
          <w:tab w:leader="none" w:pos="71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jc w:val="both"/>
        <w:ind w:left="340" w:firstLine="154"/>
        <w:spacing w:after="0" w:line="263" w:lineRule="auto"/>
        <w:tabs>
          <w:tab w:leader="none" w:pos="73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340" w:firstLine="154"/>
        <w:spacing w:after="0" w:line="308" w:lineRule="auto"/>
        <w:tabs>
          <w:tab w:leader="none" w:pos="746"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ind w:left="340" w:firstLine="154"/>
        <w:spacing w:after="0" w:line="334" w:lineRule="auto"/>
        <w:tabs>
          <w:tab w:leader="none" w:pos="715"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48" w:lineRule="exact"/>
        <w:rPr>
          <w:rFonts w:ascii="Arial" w:cs="Arial" w:eastAsia="Arial" w:hAnsi="Arial"/>
          <w:sz w:val="18"/>
          <w:szCs w:val="18"/>
          <w:color w:val="auto"/>
        </w:rPr>
      </w:pPr>
    </w:p>
    <w:p>
      <w:pPr>
        <w:ind w:left="340" w:firstLine="154"/>
        <w:spacing w:after="0" w:line="277" w:lineRule="auto"/>
        <w:tabs>
          <w:tab w:leader="none" w:pos="71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340" w:right="20" w:firstLine="154"/>
        <w:spacing w:after="0" w:line="277" w:lineRule="auto"/>
        <w:tabs>
          <w:tab w:leader="none" w:pos="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229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Bryan M. Hackworth</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ind w:left="20"/>
        <w:spacing w:after="0" w:line="203" w:lineRule="auto"/>
        <w:rPr>
          <w:sz w:val="20"/>
          <w:szCs w:val="20"/>
          <w:color w:val="auto"/>
        </w:rPr>
      </w:pPr>
      <w:r>
        <w:rPr>
          <w:rFonts w:ascii="Arial" w:cs="Arial" w:eastAsia="Arial" w:hAnsi="Arial"/>
          <w:sz w:val="18"/>
          <w:szCs w:val="18"/>
          <w:color w:val="auto"/>
        </w:rPr>
        <w:t>(principal financial officer</w:t>
      </w:r>
    </w:p>
    <w:p>
      <w:pPr>
        <w:ind w:left="2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each of the undersigned officers of Universal Electronics Inc. (the “Company”), hereby certifies that the (i) Company’s Form 10-Q for the fiscal quarter ended September 30, 2020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Dated:   November 5, 2020</w:t>
            </w:r>
          </w:p>
        </w:tc>
        <w:tc>
          <w:tcPr>
            <w:tcW w:w="6080" w:type="dxa"/>
            <w:vAlign w:val="bottom"/>
            <w:gridSpan w:val="2"/>
          </w:tcPr>
          <w:p>
            <w:pPr>
              <w:ind w:left="2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Paul D. Arling</w:t>
            </w:r>
          </w:p>
        </w:tc>
      </w:tr>
      <w:tr>
        <w:trPr>
          <w:trHeight w:val="222"/>
        </w:trPr>
        <w:tc>
          <w:tcPr>
            <w:tcW w:w="49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Paul D. Arling</w:t>
            </w:r>
          </w:p>
        </w:tc>
      </w:tr>
      <w:tr>
        <w:trPr>
          <w:trHeight w:val="230"/>
        </w:trPr>
        <w:tc>
          <w:tcPr>
            <w:tcW w:w="49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49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4960" w:type="dxa"/>
            <w:vAlign w:val="bottom"/>
          </w:tcPr>
          <w:p>
            <w:pPr>
              <w:spacing w:after="0"/>
              <w:rPr>
                <w:sz w:val="24"/>
                <w:szCs w:val="24"/>
                <w:color w:val="auto"/>
              </w:rPr>
            </w:pPr>
          </w:p>
        </w:tc>
        <w:tc>
          <w:tcPr>
            <w:tcW w:w="6080" w:type="dxa"/>
            <w:vAlign w:val="bottom"/>
            <w:gridSpan w:val="2"/>
          </w:tcPr>
          <w:p>
            <w:pPr>
              <w:ind w:left="2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Bryan M. Hackworth</w:t>
            </w:r>
          </w:p>
        </w:tc>
      </w:tr>
      <w:tr>
        <w:trPr>
          <w:trHeight w:val="222"/>
        </w:trPr>
        <w:tc>
          <w:tcPr>
            <w:tcW w:w="49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Bryan M. Hackworth</w:t>
            </w:r>
          </w:p>
        </w:tc>
      </w:tr>
      <w:tr>
        <w:trPr>
          <w:trHeight w:val="229"/>
        </w:trPr>
        <w:tc>
          <w:tcPr>
            <w:tcW w:w="49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176"/>
        </w:trPr>
        <w:tc>
          <w:tcPr>
            <w:tcW w:w="49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800" w:type="dxa"/>
            <w:vAlign w:val="bottom"/>
          </w:tcPr>
          <w:p>
            <w:pPr>
              <w:ind w:left="20"/>
              <w:spacing w:after="0" w:line="176" w:lineRule="exact"/>
              <w:rPr>
                <w:sz w:val="20"/>
                <w:szCs w:val="20"/>
                <w:color w:val="auto"/>
              </w:rPr>
            </w:pPr>
            <w:r>
              <w:rPr>
                <w:rFonts w:ascii="Arial" w:cs="Arial" w:eastAsia="Arial" w:hAnsi="Arial"/>
                <w:sz w:val="18"/>
                <w:szCs w:val="18"/>
                <w:color w:val="auto"/>
              </w:rPr>
              <w:t>(principal financial officer and</w:t>
            </w:r>
          </w:p>
        </w:tc>
      </w:tr>
      <w:tr>
        <w:trPr>
          <w:trHeight w:val="230"/>
        </w:trPr>
        <w:tc>
          <w:tcPr>
            <w:tcW w:w="49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32"/>
    </w:lvl>
  </w:abstractNum>
  <w:abstractNum w:abstractNumId="19">
    <w:nsid w:val="628C895D"/>
    <w:multiLevelType w:val="hybridMultilevel"/>
    <w:lvl w:ilvl="0">
      <w:lvlJc w:val="left"/>
      <w:lvlText w:val="%1"/>
      <w:numFmt w:val="decimal"/>
      <w:start w:val="104"/>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2020-11-06T05:41:36Z</dcterms:created>
  <dcterms:modified xsi:type="dcterms:W3CDTF">2020-11-06T05:41:36Z</dcterms:modified>
</cp:coreProperties>
</file>