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line="237"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9" w:lineRule="exact"/>
        <w:rPr>
          <w:sz w:val="24"/>
          <w:szCs w:val="24"/>
          <w:color w:val="auto"/>
        </w:rPr>
      </w:pPr>
    </w:p>
    <w:p>
      <w:pPr>
        <w:ind w:left="680" w:right="10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3" w:lineRule="exact"/>
        <w:rPr>
          <w:sz w:val="24"/>
          <w:szCs w:val="24"/>
          <w:color w:val="auto"/>
        </w:rPr>
      </w:pPr>
    </w:p>
    <w:p>
      <w:pPr>
        <w:ind w:left="3480"/>
        <w:spacing w:after="0"/>
        <w:rPr>
          <w:sz w:val="20"/>
          <w:szCs w:val="20"/>
          <w:color w:val="auto"/>
        </w:rPr>
      </w:pPr>
      <w:r>
        <w:rPr>
          <w:rFonts w:ascii="Arial" w:cs="Arial" w:eastAsia="Arial" w:hAnsi="Arial"/>
          <w:sz w:val="22"/>
          <w:szCs w:val="22"/>
          <w:b w:val="1"/>
          <w:bCs w:val="1"/>
          <w:color w:val="auto"/>
        </w:rPr>
        <w:t>For the quarterly period ended September 30, 2023</w:t>
      </w:r>
    </w:p>
    <w:p>
      <w:pPr>
        <w:spacing w:after="0" w:line="58"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25"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5" w:lineRule="exact"/>
        <w:rPr>
          <w:sz w:val="24"/>
          <w:szCs w:val="24"/>
          <w:color w:val="auto"/>
        </w:rPr>
      </w:pPr>
    </w:p>
    <w:p>
      <w:pPr>
        <w:ind w:left="3720"/>
        <w:spacing w:after="0"/>
        <w:tabs>
          <w:tab w:leader="none" w:pos="71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27"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UNIVERSAL ELECTRONICS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2300" w:type="dxa"/>
        <w:tblCellMar>
          <w:top w:w="0" w:type="dxa"/>
          <w:left w:w="0" w:type="dxa"/>
          <w:bottom w:w="0" w:type="dxa"/>
          <w:right w:w="0" w:type="dxa"/>
        </w:tblCellMar>
      </w:tblPr>
      <w:tr>
        <w:trPr>
          <w:trHeight w:val="256"/>
        </w:trPr>
        <w:tc>
          <w:tcPr>
            <w:tcW w:w="3600" w:type="dxa"/>
            <w:vAlign w:val="bottom"/>
          </w:tcPr>
          <w:p>
            <w:pPr>
              <w:jc w:val="center"/>
              <w:ind w:right="1067"/>
              <w:spacing w:after="0"/>
              <w:rPr>
                <w:sz w:val="20"/>
                <w:szCs w:val="20"/>
                <w:color w:val="auto"/>
              </w:rPr>
            </w:pPr>
            <w:r>
              <w:rPr>
                <w:rFonts w:ascii="Arial" w:cs="Arial" w:eastAsia="Arial" w:hAnsi="Arial"/>
                <w:sz w:val="20"/>
                <w:szCs w:val="20"/>
                <w:b w:val="1"/>
                <w:bCs w:val="1"/>
                <w:color w:val="auto"/>
                <w:w w:val="91"/>
              </w:rPr>
              <w:t>Delaware</w:t>
            </w:r>
          </w:p>
        </w:tc>
        <w:tc>
          <w:tcPr>
            <w:tcW w:w="2600" w:type="dxa"/>
            <w:vAlign w:val="bottom"/>
          </w:tcPr>
          <w:p>
            <w:pPr>
              <w:jc w:val="center"/>
              <w:ind w:left="1087"/>
              <w:spacing w:after="0"/>
              <w:rPr>
                <w:sz w:val="20"/>
                <w:szCs w:val="20"/>
                <w:color w:val="auto"/>
              </w:rPr>
            </w:pPr>
            <w:r>
              <w:rPr>
                <w:rFonts w:ascii="Arial" w:cs="Arial" w:eastAsia="Arial" w:hAnsi="Arial"/>
                <w:sz w:val="20"/>
                <w:szCs w:val="20"/>
                <w:b w:val="1"/>
                <w:bCs w:val="1"/>
                <w:color w:val="auto"/>
                <w:w w:val="88"/>
              </w:rPr>
              <w:t>33-0204817</w:t>
            </w:r>
          </w:p>
        </w:tc>
      </w:tr>
      <w:tr>
        <w:trPr>
          <w:trHeight w:val="185"/>
        </w:trPr>
        <w:tc>
          <w:tcPr>
            <w:tcW w:w="3600" w:type="dxa"/>
            <w:vAlign w:val="bottom"/>
          </w:tcPr>
          <w:p>
            <w:pPr>
              <w:jc w:val="center"/>
              <w:ind w:right="1087"/>
              <w:spacing w:after="0" w:line="185" w:lineRule="exact"/>
              <w:rPr>
                <w:sz w:val="20"/>
                <w:szCs w:val="20"/>
                <w:color w:val="auto"/>
              </w:rPr>
            </w:pPr>
            <w:r>
              <w:rPr>
                <w:rFonts w:ascii="Arial" w:cs="Arial" w:eastAsia="Arial" w:hAnsi="Arial"/>
                <w:sz w:val="18"/>
                <w:szCs w:val="18"/>
                <w:b w:val="1"/>
                <w:bCs w:val="1"/>
                <w:color w:val="auto"/>
                <w:w w:val="91"/>
              </w:rPr>
              <w:t>(State or Other Jurisdiction of</w:t>
            </w:r>
          </w:p>
        </w:tc>
        <w:tc>
          <w:tcPr>
            <w:tcW w:w="2600" w:type="dxa"/>
            <w:vAlign w:val="bottom"/>
          </w:tcPr>
          <w:p>
            <w:pPr>
              <w:jc w:val="center"/>
              <w:ind w:left="1087"/>
              <w:spacing w:after="0" w:line="18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600" w:type="dxa"/>
            <w:vAlign w:val="bottom"/>
          </w:tcPr>
          <w:p>
            <w:pPr>
              <w:jc w:val="center"/>
              <w:ind w:right="1087"/>
              <w:spacing w:after="0"/>
              <w:rPr>
                <w:sz w:val="20"/>
                <w:szCs w:val="20"/>
                <w:color w:val="auto"/>
              </w:rPr>
            </w:pPr>
            <w:r>
              <w:rPr>
                <w:rFonts w:ascii="Arial" w:cs="Arial" w:eastAsia="Arial" w:hAnsi="Arial"/>
                <w:sz w:val="18"/>
                <w:szCs w:val="18"/>
                <w:b w:val="1"/>
                <w:bCs w:val="1"/>
                <w:color w:val="auto"/>
                <w:w w:val="93"/>
              </w:rPr>
              <w:t>Incorporation or Organization)</w:t>
            </w:r>
          </w:p>
        </w:tc>
        <w:tc>
          <w:tcPr>
            <w:tcW w:w="2600" w:type="dxa"/>
            <w:vAlign w:val="bottom"/>
          </w:tcPr>
          <w:p>
            <w:pPr>
              <w:jc w:val="center"/>
              <w:ind w:left="1087"/>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3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116"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jc w:val="both"/>
        <w:ind w:right="2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jc w:val="both"/>
        <w:ind w:right="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left="20" w:right="16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12,952,143 shares of Common Stock, par value $0.01 per share, of the registrant were outstanding on November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gridSpan w:val="5"/>
          </w:tcPr>
          <w:p>
            <w:pPr>
              <w:jc w:val="center"/>
              <w:ind w:right="1780"/>
              <w:spacing w:after="0"/>
              <w:rPr>
                <w:sz w:val="20"/>
                <w:szCs w:val="20"/>
                <w:color w:val="auto"/>
              </w:rPr>
            </w:pPr>
            <w:r>
              <w:rPr>
                <w:rFonts w:ascii="Arial" w:cs="Arial" w:eastAsia="Arial" w:hAnsi="Arial"/>
                <w:sz w:val="18"/>
                <w:szCs w:val="18"/>
                <w:b w:val="1"/>
                <w:bCs w:val="1"/>
                <w:color w:val="auto"/>
              </w:rPr>
              <w:t>UNIVERSAL ELECTRONICS INC.</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80" w:type="dxa"/>
            <w:vAlign w:val="bottom"/>
            <w:gridSpan w:val="3"/>
          </w:tcPr>
          <w:p>
            <w:pPr>
              <w:jc w:val="center"/>
              <w:ind w:right="2700"/>
              <w:spacing w:after="0"/>
              <w:rPr>
                <w:sz w:val="20"/>
                <w:szCs w:val="20"/>
                <w:color w:val="auto"/>
              </w:rPr>
            </w:pPr>
            <w:r>
              <w:rPr>
                <w:rFonts w:ascii="Arial" w:cs="Arial" w:eastAsia="Arial" w:hAnsi="Arial"/>
                <w:sz w:val="18"/>
                <w:szCs w:val="18"/>
                <w:b w:val="1"/>
                <w:bCs w:val="1"/>
                <w:color w:val="auto"/>
              </w:rPr>
              <w:t>INDEX</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Page</w:t>
            </w:r>
          </w:p>
        </w:tc>
      </w:tr>
      <w:tr>
        <w:trPr>
          <w:trHeight w:val="158"/>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20" w:type="dxa"/>
            <w:vAlign w:val="bottom"/>
            <w:gridSpan w:val="5"/>
          </w:tcPr>
          <w:p>
            <w:pPr>
              <w:jc w:val="right"/>
              <w:ind w:right="440"/>
              <w:spacing w:after="0" w:line="158" w:lineRule="exact"/>
              <w:rPr>
                <w:sz w:val="20"/>
                <w:szCs w:val="20"/>
                <w:color w:val="auto"/>
              </w:rPr>
            </w:pPr>
            <w:r>
              <w:rPr>
                <w:rFonts w:ascii="Arial" w:cs="Arial" w:eastAsia="Arial" w:hAnsi="Arial"/>
                <w:sz w:val="14"/>
                <w:szCs w:val="14"/>
                <w:b w:val="1"/>
                <w:bCs w:val="1"/>
                <w:color w:val="auto"/>
              </w:rPr>
              <w:t>Number</w:t>
            </w:r>
          </w:p>
        </w:tc>
      </w:tr>
      <w:tr>
        <w:trPr>
          <w:trHeight w:val="209"/>
        </w:trPr>
        <w:tc>
          <w:tcPr>
            <w:tcW w:w="20" w:type="dxa"/>
            <w:vAlign w:val="bottom"/>
          </w:tcPr>
          <w:p>
            <w:pPr>
              <w:spacing w:after="0"/>
              <w:rPr>
                <w:sz w:val="18"/>
                <w:szCs w:val="18"/>
                <w:color w:val="auto"/>
              </w:rPr>
            </w:pPr>
          </w:p>
        </w:tc>
        <w:tc>
          <w:tcPr>
            <w:tcW w:w="3020" w:type="dxa"/>
            <w:vAlign w:val="bottom"/>
            <w:gridSpan w:val="10"/>
          </w:tcPr>
          <w:p>
            <w:pPr>
              <w:spacing w:after="0"/>
              <w:rPr>
                <w:sz w:val="20"/>
                <w:szCs w:val="20"/>
                <w:color w:val="auto"/>
              </w:rPr>
            </w:pPr>
            <w:r>
              <w:rPr>
                <w:rFonts w:ascii="Arial" w:cs="Arial" w:eastAsia="Arial" w:hAnsi="Arial"/>
                <w:sz w:val="18"/>
                <w:szCs w:val="18"/>
                <w:b w:val="1"/>
                <w:bCs w:val="1"/>
                <w:color w:val="0000FF"/>
                <w:w w:val="99"/>
              </w:rPr>
              <w:t>PART I. FINANCIAL INFORMATION</w:t>
            </w:r>
          </w:p>
        </w:tc>
        <w:tc>
          <w:tcPr>
            <w:tcW w:w="5980" w:type="dxa"/>
            <w:vAlign w:val="bottom"/>
            <w:gridSpan w:val="8"/>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13"/>
          </w:tcPr>
          <w:p>
            <w:pPr>
              <w:spacing w:after="0"/>
              <w:rPr>
                <w:sz w:val="20"/>
                <w:szCs w:val="20"/>
                <w:color w:val="auto"/>
              </w:rPr>
            </w:pPr>
            <w:r>
              <w:rPr>
                <w:rFonts w:ascii="Arial" w:cs="Arial" w:eastAsia="Arial" w:hAnsi="Arial"/>
                <w:sz w:val="18"/>
                <w:szCs w:val="18"/>
                <w:color w:val="0000FF"/>
                <w:w w:val="90"/>
              </w:rPr>
              <w:t>Item 1. Consolidated Financial Statements (Unaudited)</w:t>
            </w:r>
          </w:p>
        </w:tc>
        <w:tc>
          <w:tcPr>
            <w:tcW w:w="5020" w:type="dxa"/>
            <w:vAlign w:val="bottom"/>
            <w:gridSpan w:val="5"/>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spacing w:after="0"/>
              <w:rPr>
                <w:sz w:val="20"/>
                <w:szCs w:val="20"/>
                <w:color w:val="auto"/>
              </w:rPr>
            </w:pPr>
            <w:r>
              <w:rPr>
                <w:rFonts w:ascii="Arial" w:cs="Arial" w:eastAsia="Arial" w:hAnsi="Arial"/>
                <w:sz w:val="18"/>
                <w:szCs w:val="18"/>
                <w:color w:val="0000FF"/>
                <w:w w:val="88"/>
              </w:rPr>
              <w:t>Consolidated Balance Sheets</w:t>
            </w:r>
          </w:p>
        </w:tc>
        <w:tc>
          <w:tcPr>
            <w:tcW w:w="1680" w:type="dxa"/>
            <w:vAlign w:val="bottom"/>
            <w:gridSpan w:val="6"/>
          </w:tcPr>
          <w:p>
            <w:pPr>
              <w:spacing w:after="0"/>
              <w:rPr>
                <w:sz w:val="18"/>
                <w:szCs w:val="18"/>
                <w:color w:val="auto"/>
              </w:rPr>
            </w:pPr>
          </w:p>
        </w:tc>
        <w:tc>
          <w:tcPr>
            <w:tcW w:w="5020" w:type="dxa"/>
            <w:vAlign w:val="bottom"/>
            <w:gridSpan w:val="5"/>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0" w:type="dxa"/>
            <w:vAlign w:val="bottom"/>
            <w:gridSpan w:val="17"/>
          </w:tcPr>
          <w:p>
            <w:pPr>
              <w:spacing w:after="0"/>
              <w:rPr>
                <w:sz w:val="20"/>
                <w:szCs w:val="20"/>
                <w:color w:val="auto"/>
              </w:rPr>
            </w:pPr>
            <w:r>
              <w:rPr>
                <w:rFonts w:ascii="Arial" w:cs="Arial" w:eastAsia="Arial" w:hAnsi="Arial"/>
                <w:sz w:val="18"/>
                <w:szCs w:val="18"/>
                <w:color w:val="0000FF"/>
              </w:rPr>
              <w:t>Consolidated Statements of Operations</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4</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3"/>
          </w:tcPr>
          <w:p>
            <w:pPr>
              <w:spacing w:after="0"/>
              <w:rPr>
                <w:sz w:val="20"/>
                <w:szCs w:val="20"/>
                <w:color w:val="auto"/>
              </w:rPr>
            </w:pPr>
            <w:r>
              <w:rPr>
                <w:rFonts w:ascii="Arial" w:cs="Arial" w:eastAsia="Arial" w:hAnsi="Arial"/>
                <w:sz w:val="18"/>
                <w:szCs w:val="18"/>
                <w:color w:val="0000FF"/>
                <w:w w:val="89"/>
              </w:rPr>
              <w:t>Consolidated Comprehensive Income (Loss) Statements</w:t>
            </w:r>
          </w:p>
        </w:tc>
        <w:tc>
          <w:tcPr>
            <w:tcW w:w="4740" w:type="dxa"/>
            <w:vAlign w:val="bottom"/>
            <w:gridSpan w:val="4"/>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5</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3"/>
          </w:tcPr>
          <w:p>
            <w:pPr>
              <w:spacing w:after="0"/>
              <w:rPr>
                <w:sz w:val="20"/>
                <w:szCs w:val="20"/>
                <w:color w:val="auto"/>
              </w:rPr>
            </w:pPr>
            <w:r>
              <w:rPr>
                <w:rFonts w:ascii="Arial" w:cs="Arial" w:eastAsia="Arial" w:hAnsi="Arial"/>
                <w:sz w:val="18"/>
                <w:szCs w:val="18"/>
                <w:color w:val="0000FF"/>
              </w:rPr>
              <w:t>Consolidated Statements of Stockholders' Equity</w:t>
            </w:r>
          </w:p>
        </w:tc>
        <w:tc>
          <w:tcPr>
            <w:tcW w:w="4740" w:type="dxa"/>
            <w:vAlign w:val="bottom"/>
            <w:gridSpan w:val="4"/>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6</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9"/>
          </w:tcPr>
          <w:p>
            <w:pPr>
              <w:spacing w:after="0"/>
              <w:rPr>
                <w:sz w:val="20"/>
                <w:szCs w:val="20"/>
                <w:color w:val="auto"/>
              </w:rPr>
            </w:pPr>
            <w:r>
              <w:rPr>
                <w:rFonts w:ascii="Arial" w:cs="Arial" w:eastAsia="Arial" w:hAnsi="Arial"/>
                <w:sz w:val="18"/>
                <w:szCs w:val="18"/>
                <w:color w:val="0000FF"/>
                <w:w w:val="86"/>
              </w:rPr>
              <w:t>Consolidated Statements of Cash Flows</w:t>
            </w:r>
          </w:p>
        </w:tc>
        <w:tc>
          <w:tcPr>
            <w:tcW w:w="700" w:type="dxa"/>
            <w:vAlign w:val="bottom"/>
            <w:gridSpan w:val="2"/>
          </w:tcPr>
          <w:p>
            <w:pPr>
              <w:spacing w:after="0"/>
              <w:rPr>
                <w:sz w:val="18"/>
                <w:szCs w:val="18"/>
                <w:color w:val="auto"/>
              </w:rPr>
            </w:pPr>
          </w:p>
        </w:tc>
        <w:tc>
          <w:tcPr>
            <w:tcW w:w="5280" w:type="dxa"/>
            <w:vAlign w:val="bottom"/>
            <w:gridSpan w:val="6"/>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8</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10"/>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5640" w:type="dxa"/>
            <w:vAlign w:val="bottom"/>
            <w:gridSpan w:val="7"/>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9</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20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26</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2"/>
              </w:rPr>
              <w:t>Item 3. Quantitative and Qualitative Disclosures About Market Risk</w:t>
            </w:r>
          </w:p>
        </w:tc>
        <w:tc>
          <w:tcPr>
            <w:tcW w:w="4080" w:type="dxa"/>
            <w:vAlign w:val="bottom"/>
            <w:gridSpan w:val="3"/>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0" w:type="dxa"/>
            <w:vAlign w:val="bottom"/>
            <w:gridSpan w:val="18"/>
          </w:tcPr>
          <w:p>
            <w:pPr>
              <w:spacing w:after="0"/>
              <w:rPr>
                <w:sz w:val="20"/>
                <w:szCs w:val="20"/>
                <w:color w:val="auto"/>
              </w:rPr>
            </w:pPr>
            <w:r>
              <w:rPr>
                <w:rFonts w:ascii="Arial" w:cs="Arial" w:eastAsia="Arial" w:hAnsi="Arial"/>
                <w:sz w:val="18"/>
                <w:szCs w:val="18"/>
                <w:color w:val="0000FF"/>
              </w:rPr>
              <w:t>Item 4. Controls and Procedures</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35</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OTHER INFORMATION</w:t>
            </w:r>
          </w:p>
        </w:tc>
        <w:tc>
          <w:tcPr>
            <w:tcW w:w="6220" w:type="dxa"/>
            <w:vAlign w:val="bottom"/>
            <w:gridSpan w:val="9"/>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9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Item 1. Legal Proceedings</w:t>
            </w:r>
          </w:p>
        </w:tc>
        <w:tc>
          <w:tcPr>
            <w:tcW w:w="7100" w:type="dxa"/>
            <w:vAlign w:val="bottom"/>
            <w:gridSpan w:val="12"/>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Item 1A. Risk Factors</w:t>
            </w:r>
          </w:p>
        </w:tc>
        <w:tc>
          <w:tcPr>
            <w:tcW w:w="7400" w:type="dxa"/>
            <w:vAlign w:val="bottom"/>
            <w:gridSpan w:val="14"/>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Item 2. Unregistered Sales of Equity Securities, Use of Proceeds, and Issuer Purchases of Equity Securities</w:t>
            </w:r>
          </w:p>
        </w:tc>
        <w:tc>
          <w:tcPr>
            <w:tcW w:w="128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8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Item 5. Other Information</w:t>
            </w:r>
          </w:p>
        </w:tc>
        <w:tc>
          <w:tcPr>
            <w:tcW w:w="7120" w:type="dxa"/>
            <w:vAlign w:val="bottom"/>
            <w:gridSpan w:val="13"/>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0" w:type="dxa"/>
            <w:vAlign w:val="bottom"/>
            <w:gridSpan w:val="18"/>
          </w:tcPr>
          <w:p>
            <w:pPr>
              <w:spacing w:after="0"/>
              <w:rPr>
                <w:sz w:val="20"/>
                <w:szCs w:val="20"/>
                <w:color w:val="auto"/>
              </w:rPr>
            </w:pPr>
            <w:r>
              <w:rPr>
                <w:rFonts w:ascii="Arial" w:cs="Arial" w:eastAsia="Arial" w:hAnsi="Arial"/>
                <w:sz w:val="18"/>
                <w:szCs w:val="18"/>
                <w:color w:val="0000FF"/>
              </w:rPr>
              <w:t>Item 6. Exhibits</w:t>
            </w:r>
          </w:p>
        </w:tc>
        <w:tc>
          <w:tcPr>
            <w:tcW w:w="1780" w:type="dxa"/>
            <w:vAlign w:val="bottom"/>
            <w:gridSpan w:val="4"/>
          </w:tcPr>
          <w:p>
            <w:pPr>
              <w:jc w:val="right"/>
              <w:spacing w:after="0"/>
              <w:rPr>
                <w:sz w:val="20"/>
                <w:szCs w:val="20"/>
                <w:color w:val="auto"/>
              </w:rPr>
            </w:pPr>
            <w:r>
              <w:rPr>
                <w:rFonts w:ascii="Arial" w:cs="Arial" w:eastAsia="Arial" w:hAnsi="Arial"/>
                <w:sz w:val="18"/>
                <w:szCs w:val="18"/>
                <w:color w:val="0000FF"/>
              </w:rPr>
              <w:t>37</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Signatures</w:t>
            </w:r>
          </w:p>
        </w:tc>
        <w:tc>
          <w:tcPr>
            <w:tcW w:w="7840" w:type="dxa"/>
            <w:vAlign w:val="bottom"/>
            <w:gridSpan w:val="15"/>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44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600" w:type="dxa"/>
            <w:vAlign w:val="bottom"/>
          </w:tcPr>
          <w:p>
            <w:pPr>
              <w:jc w:val="right"/>
              <w:ind w:right="239"/>
              <w:spacing w:after="0"/>
              <w:rPr>
                <w:sz w:val="20"/>
                <w:szCs w:val="20"/>
                <w:color w:val="auto"/>
              </w:rPr>
            </w:pPr>
            <w:r>
              <w:rPr>
                <w:rFonts w:ascii="Arial" w:cs="Arial" w:eastAsia="Arial" w:hAnsi="Arial"/>
                <w:sz w:val="14"/>
                <w:szCs w:val="14"/>
                <w:b w:val="1"/>
                <w:bCs w:val="1"/>
                <w:color w:val="auto"/>
                <w:w w:val="99"/>
              </w:rPr>
              <w:t>December 31, 2022</w:t>
            </w:r>
          </w:p>
        </w:tc>
        <w:tc>
          <w:tcPr>
            <w:tcW w:w="0" w:type="dxa"/>
            <w:vAlign w:val="bottom"/>
          </w:tcPr>
          <w:p>
            <w:pPr>
              <w:spacing w:after="0"/>
              <w:rPr>
                <w:sz w:val="1"/>
                <w:szCs w:val="1"/>
                <w:color w:val="auto"/>
              </w:rPr>
            </w:pPr>
          </w:p>
        </w:tc>
      </w:tr>
      <w:tr>
        <w:trPr>
          <w:trHeight w:val="26"/>
        </w:trPr>
        <w:tc>
          <w:tcPr>
            <w:tcW w:w="7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112,521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112,346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7,996</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93,462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140,181</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6,647</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receivable</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282,391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338,040</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46,613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62,791</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49,085</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25,529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24,470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21,599</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6,242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213"/>
        </w:trPr>
        <w:tc>
          <w:tcPr>
            <w:tcW w:w="748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378,340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504,163</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shd w:val="clear" w:color="auto" w:fill="CCEEFF"/>
          </w:tcPr>
          <w:p>
            <w:pPr>
              <w:ind w:left="200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71,373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Line of credit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88,000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20,904</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sales discounts, rebates and royalties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6,477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income taxes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24,134</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216,473</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obligations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15,027</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235,757</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2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1"/>
              </w:rPr>
              <w:t>Common stock, $0.01 par value, 50,000,000 shares authorized; 25,301,246 and 24,999,951 shares issued on</w:t>
            </w:r>
          </w:p>
        </w:tc>
        <w:tc>
          <w:tcPr>
            <w:tcW w:w="22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September 30, 2023 and December 31, 2022, respectively</w:t>
            </w:r>
          </w:p>
        </w:tc>
        <w:tc>
          <w:tcPr>
            <w:tcW w:w="22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Paid-in capital</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334,683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326,839</w:t>
            </w: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2"/>
              </w:rPr>
              <w:t>Treasury stock, at cost, 12,356,603 and 12,295,305 shares on September 30, 2023 and December 31, 2022,</w:t>
            </w:r>
          </w:p>
        </w:tc>
        <w:tc>
          <w:tcPr>
            <w:tcW w:w="22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(369,082)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(368,194)</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22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(23,889)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(21,187)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330,698</w:t>
            </w:r>
          </w:p>
        </w:tc>
        <w:tc>
          <w:tcPr>
            <w:tcW w:w="0" w:type="dxa"/>
            <w:vAlign w:val="bottom"/>
          </w:tcPr>
          <w:p>
            <w:pPr>
              <w:spacing w:after="0"/>
              <w:rPr>
                <w:sz w:val="1"/>
                <w:szCs w:val="1"/>
                <w:color w:val="auto"/>
              </w:rPr>
            </w:pPr>
          </w:p>
        </w:tc>
      </w:tr>
      <w:tr>
        <w:trPr>
          <w:trHeight w:val="206"/>
        </w:trPr>
        <w:tc>
          <w:tcPr>
            <w:tcW w:w="74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181,527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268,406</w:t>
            </w:r>
          </w:p>
        </w:tc>
        <w:tc>
          <w:tcPr>
            <w:tcW w:w="0" w:type="dxa"/>
            <w:vAlign w:val="bottom"/>
          </w:tcPr>
          <w:p>
            <w:pPr>
              <w:spacing w:after="0"/>
              <w:rPr>
                <w:sz w:val="1"/>
                <w:szCs w:val="1"/>
                <w:color w:val="auto"/>
              </w:rPr>
            </w:pPr>
          </w:p>
        </w:tc>
      </w:tr>
      <w:tr>
        <w:trPr>
          <w:trHeight w:val="238"/>
        </w:trPr>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378,340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504,163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352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107,095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148,482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322,863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419,993</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86,683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104,040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253,141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299,912</w:t>
            </w:r>
          </w:p>
        </w:tc>
        <w:tc>
          <w:tcPr>
            <w:tcW w:w="0" w:type="dxa"/>
            <w:vAlign w:val="bottom"/>
          </w:tcPr>
          <w:p>
            <w:pPr>
              <w:spacing w:after="0"/>
              <w:rPr>
                <w:sz w:val="1"/>
                <w:szCs w:val="1"/>
                <w:color w:val="auto"/>
              </w:rPr>
            </w:pPr>
          </w:p>
        </w:tc>
      </w:tr>
      <w:tr>
        <w:trPr>
          <w:trHeight w:val="21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120,081</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8,017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24,502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24,460</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Factory restructuring charges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23,097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24,928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75,144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79,188</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3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0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(14,033)</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11,497</w:t>
            </w: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(82,689)</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16,433</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(16,100)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14,898</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7,586</w:t>
            </w: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(19,362)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7,234</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(91,136)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in computing earnings (loss) per share: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12,656</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tcPr>
          <w:p>
            <w:pPr>
              <w:ind w:left="36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12,696</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12,839</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7,312</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foreign currency translation adjustment</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(7,367)</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(12,831)</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(20,863)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(93,838)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(5,519)</w:t>
            </w:r>
          </w:p>
        </w:tc>
      </w:tr>
      <w:tr>
        <w:trPr>
          <w:trHeight w:val="20"/>
        </w:trPr>
        <w:tc>
          <w:tcPr>
            <w:tcW w:w="4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and nine months ended September 30,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3620" w:type="dxa"/>
            <w:vAlign w:val="bottom"/>
          </w:tcPr>
          <w:p>
            <w:pPr>
              <w:spacing w:after="0"/>
              <w:rPr>
                <w:sz w:val="5"/>
                <w:szCs w:val="5"/>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rPr>
                <w:sz w:val="11"/>
                <w:szCs w:val="11"/>
                <w:color w:val="auto"/>
              </w:rPr>
            </w:pPr>
          </w:p>
        </w:tc>
        <w:tc>
          <w:tcPr>
            <w:tcW w:w="108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8"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center"/>
              <w:ind w:right="80"/>
              <w:spacing w:after="0" w:line="138"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820" w:type="dxa"/>
            <w:vAlign w:val="bottom"/>
            <w:gridSpan w:val="2"/>
          </w:tcPr>
          <w:p>
            <w:pPr>
              <w:ind w:left="20"/>
              <w:spacing w:after="0" w:line="138"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(368,194)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330,698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268,406</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6"/>
                <w:szCs w:val="16"/>
                <w:color w:val="auto"/>
                <w:w w:val="93"/>
              </w:rPr>
              <w:t>(61,363)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(61,363)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166"/>
        </w:trPr>
        <w:tc>
          <w:tcPr>
            <w:tcW w:w="362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rPr>
              <w:t>Balance at March 31, 2023</w:t>
            </w:r>
          </w:p>
        </w:tc>
        <w:tc>
          <w:tcPr>
            <w:tcW w:w="820" w:type="dxa"/>
            <w:vAlign w:val="bottom"/>
          </w:tcPr>
          <w:p>
            <w:pPr>
              <w:jc w:val="right"/>
              <w:spacing w:after="0"/>
              <w:rPr>
                <w:sz w:val="20"/>
                <w:szCs w:val="20"/>
                <w:color w:val="auto"/>
              </w:rPr>
            </w:pPr>
            <w:r>
              <w:rPr>
                <w:rFonts w:ascii="Arial" w:cs="Arial" w:eastAsia="Arial" w:hAnsi="Arial"/>
                <w:sz w:val="16"/>
                <w:szCs w:val="16"/>
                <w:color w:val="auto"/>
              </w:rPr>
              <w:t>25,197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(369,006)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329,729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140"/>
              <w:spacing w:after="0"/>
              <w:rPr>
                <w:sz w:val="20"/>
                <w:szCs w:val="20"/>
                <w:color w:val="auto"/>
              </w:rPr>
            </w:pPr>
            <w:r>
              <w:rPr>
                <w:rFonts w:ascii="Arial" w:cs="Arial" w:eastAsia="Arial" w:hAnsi="Arial"/>
                <w:sz w:val="16"/>
                <w:szCs w:val="16"/>
                <w:color w:val="auto"/>
              </w:rPr>
              <w:t>269,335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211,039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(10,411)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(10,411)</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213"/>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(369,049)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258,924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199,999</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6"/>
                <w:szCs w:val="16"/>
                <w:color w:val="auto"/>
                <w:w w:val="93"/>
              </w:rPr>
              <w:t>(19,362)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(19,362)</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166"/>
        </w:trPr>
        <w:tc>
          <w:tcPr>
            <w:tcW w:w="362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2"/>
        </w:trPr>
        <w:tc>
          <w:tcPr>
            <w:tcW w:w="362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0" w:type="dxa"/>
            <w:vAlign w:val="bottom"/>
          </w:tcPr>
          <w:p>
            <w:pPr>
              <w:spacing w:after="0"/>
              <w:rPr>
                <w:sz w:val="1"/>
                <w:szCs w:val="1"/>
                <w:color w:val="auto"/>
              </w:rPr>
            </w:pPr>
          </w:p>
        </w:tc>
      </w:tr>
      <w:tr>
        <w:trPr>
          <w:trHeight w:val="206"/>
        </w:trPr>
        <w:tc>
          <w:tcPr>
            <w:tcW w:w="3620" w:type="dxa"/>
            <w:vAlign w:val="bottom"/>
          </w:tcPr>
          <w:p>
            <w:pPr>
              <w:ind w:left="20"/>
              <w:spacing w:after="0"/>
              <w:rPr>
                <w:sz w:val="20"/>
                <w:szCs w:val="20"/>
                <w:color w:val="auto"/>
              </w:rPr>
            </w:pPr>
            <w:r>
              <w:rPr>
                <w:rFonts w:ascii="Arial" w:cs="Arial" w:eastAsia="Arial" w:hAnsi="Arial"/>
                <w:sz w:val="16"/>
                <w:szCs w:val="16"/>
                <w:color w:val="auto"/>
              </w:rPr>
              <w:t>Balance at September 30, 2023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25,301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(12,356)</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(369,082)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334,683</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239,562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181,527</w:t>
            </w: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and nine months ended September 30, 2022:</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580" w:type="dxa"/>
            <w:vAlign w:val="bottom"/>
          </w:tcPr>
          <w:p>
            <w:pPr>
              <w:spacing w:after="0"/>
              <w:rPr>
                <w:sz w:val="4"/>
                <w:szCs w:val="4"/>
                <w:color w:val="auto"/>
              </w:rPr>
            </w:pPr>
          </w:p>
        </w:tc>
        <w:tc>
          <w:tcPr>
            <w:tcW w:w="1860" w:type="dxa"/>
            <w:vAlign w:val="bottom"/>
            <w:gridSpan w:val="5"/>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3580" w:type="dxa"/>
            <w:vAlign w:val="bottom"/>
          </w:tcPr>
          <w:p>
            <w:pPr>
              <w:spacing w:after="0"/>
              <w:rPr>
                <w:sz w:val="7"/>
                <w:szCs w:val="7"/>
                <w:color w:val="auto"/>
              </w:rPr>
            </w:pPr>
          </w:p>
        </w:tc>
        <w:tc>
          <w:tcPr>
            <w:tcW w:w="1080" w:type="dxa"/>
            <w:vAlign w:val="bottom"/>
            <w:gridSpan w:val="3"/>
            <w:vMerge w:val="restart"/>
          </w:tcPr>
          <w:p>
            <w:pPr>
              <w:jc w:val="center"/>
              <w:ind w:left="599"/>
              <w:spacing w:after="0"/>
              <w:rPr>
                <w:sz w:val="20"/>
                <w:szCs w:val="20"/>
                <w:color w:val="auto"/>
              </w:rPr>
            </w:pPr>
            <w:r>
              <w:rPr>
                <w:rFonts w:ascii="Arial" w:cs="Arial" w:eastAsia="Arial" w:hAnsi="Arial"/>
                <w:sz w:val="14"/>
                <w:szCs w:val="14"/>
                <w:b w:val="1"/>
                <w:bCs w:val="1"/>
                <w:color w:val="auto"/>
                <w:w w:val="90"/>
              </w:rPr>
              <w:t>Issued</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4"/>
            <w:vMerge w:val="restart"/>
          </w:tcPr>
          <w:p>
            <w:pPr>
              <w:jc w:val="right"/>
              <w:ind w:right="459"/>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580" w:type="dxa"/>
            <w:vAlign w:val="bottom"/>
          </w:tcPr>
          <w:p>
            <w:pPr>
              <w:spacing w:after="0"/>
              <w:rPr>
                <w:sz w:val="8"/>
                <w:szCs w:val="8"/>
                <w:color w:val="auto"/>
              </w:rPr>
            </w:pPr>
          </w:p>
        </w:tc>
        <w:tc>
          <w:tcPr>
            <w:tcW w:w="1080" w:type="dxa"/>
            <w:vAlign w:val="bottom"/>
            <w:tcBorders>
              <w:bottom w:val="single" w:sz="8" w:color="auto"/>
            </w:tcBorders>
            <w:gridSpan w:val="3"/>
            <w:vMerge w:val="continue"/>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8"/>
                <w:szCs w:val="8"/>
                <w:color w:val="auto"/>
              </w:rPr>
            </w:pP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line="20" w:lineRule="exact"/>
              <w:rPr>
                <w:sz w:val="1"/>
                <w:szCs w:val="1"/>
                <w:color w:val="auto"/>
              </w:rPr>
            </w:pPr>
          </w:p>
        </w:tc>
      </w:tr>
      <w:tr>
        <w:trPr>
          <w:trHeight w:val="197"/>
        </w:trPr>
        <w:tc>
          <w:tcPr>
            <w:tcW w:w="35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24,679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(355,159)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314,094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330,291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275,949</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Net loss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0" w:type="dxa"/>
            <w:vAlign w:val="bottom"/>
          </w:tcPr>
          <w:p>
            <w:pPr>
              <w:spacing w:after="0"/>
              <w:rPr>
                <w:sz w:val="1"/>
                <w:szCs w:val="1"/>
                <w:color w:val="auto"/>
              </w:rPr>
            </w:pPr>
          </w:p>
        </w:tc>
      </w:tr>
      <w:tr>
        <w:trPr>
          <w:trHeight w:val="166"/>
        </w:trPr>
        <w:tc>
          <w:tcPr>
            <w:tcW w:w="358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6"/>
                <w:szCs w:val="16"/>
                <w:color w:val="auto"/>
              </w:rPr>
              <w:t>compensation</w:t>
            </w: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(7,354)</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Shares issued to directors</w:t>
            </w: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Employee and director stock-based compensation</w:t>
            </w: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207"/>
        </w:trPr>
        <w:tc>
          <w:tcPr>
            <w:tcW w:w="3580" w:type="dxa"/>
            <w:vAlign w:val="bottom"/>
          </w:tcPr>
          <w:p>
            <w:pPr>
              <w:spacing w:after="0"/>
              <w:rPr>
                <w:sz w:val="20"/>
                <w:szCs w:val="20"/>
                <w:color w:val="auto"/>
              </w:rPr>
            </w:pPr>
            <w:r>
              <w:rPr>
                <w:rFonts w:ascii="Arial" w:cs="Arial" w:eastAsia="Arial" w:hAnsi="Arial"/>
                <w:sz w:val="16"/>
                <w:szCs w:val="16"/>
                <w:color w:val="auto"/>
              </w:rPr>
              <w:t>Balance at March 31, 2022</w:t>
            </w:r>
          </w:p>
        </w:tc>
        <w:tc>
          <w:tcPr>
            <w:tcW w:w="840" w:type="dxa"/>
            <w:vAlign w:val="bottom"/>
          </w:tcPr>
          <w:p>
            <w:pPr>
              <w:jc w:val="right"/>
              <w:spacing w:after="0"/>
              <w:rPr>
                <w:sz w:val="20"/>
                <w:szCs w:val="20"/>
                <w:color w:val="auto"/>
              </w:rPr>
            </w:pPr>
            <w:r>
              <w:rPr>
                <w:rFonts w:ascii="Arial" w:cs="Arial" w:eastAsia="Arial" w:hAnsi="Arial"/>
                <w:sz w:val="16"/>
                <w:szCs w:val="16"/>
                <w:color w:val="auto"/>
              </w:rPr>
              <w:t>24,831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(362,513)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316,916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327,381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270,357</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Currency translation adjustment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(7,313)</w:t>
            </w: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Shares issued for employee benefit plan and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compensation</w:t>
            </w: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Purchase of treasury shares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(3,857)</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Shares issued to directors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Employee and director stock-based compensation</w:t>
            </w: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2022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(366,370)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265,114</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7,234</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(7,367)</w:t>
            </w:r>
          </w:p>
        </w:tc>
        <w:tc>
          <w:tcPr>
            <w:tcW w:w="0" w:type="dxa"/>
            <w:vAlign w:val="bottom"/>
          </w:tcPr>
          <w:p>
            <w:pPr>
              <w:spacing w:after="0"/>
              <w:rPr>
                <w:sz w:val="1"/>
                <w:szCs w:val="1"/>
                <w:color w:val="auto"/>
              </w:rPr>
            </w:pPr>
          </w:p>
        </w:tc>
      </w:tr>
      <w:tr>
        <w:trPr>
          <w:trHeight w:val="166"/>
        </w:trPr>
        <w:tc>
          <w:tcPr>
            <w:tcW w:w="358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20"/>
                <w:szCs w:val="20"/>
                <w:color w:val="auto"/>
              </w:rPr>
            </w:pPr>
            <w:r>
              <w:rPr>
                <w:rFonts w:ascii="Arial" w:cs="Arial" w:eastAsia="Arial" w:hAnsi="Arial"/>
                <w:sz w:val="16"/>
                <w:szCs w:val="16"/>
                <w:color w:val="auto"/>
              </w:rPr>
              <w:t>compensation</w:t>
            </w: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6"/>
                <w:szCs w:val="16"/>
                <w:color w:val="auto"/>
              </w:rPr>
              <w:t>Shares issued to directors</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Employee and director stock-based compensation</w:t>
            </w: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color w:val="auto"/>
              </w:rPr>
              <w:t>Balance at September 30, 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24,893</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(12,219)</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(366,456)</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322,619</w:t>
            </w: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(26,355)</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337,603</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267,660</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(91,136)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7,312</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(used for)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18,079</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Provision for credit losses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2,063</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Shares issued for employee benefit plan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Employee and director stock-based compensation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7,575</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Impairment of 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Accounts receivable and contract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(11,901)</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(8,477)</w:t>
            </w: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1,734</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(17,201)</w:t>
            </w:r>
          </w:p>
        </w:tc>
      </w:tr>
      <w:tr>
        <w:trPr>
          <w:trHeight w:val="213"/>
        </w:trPr>
        <w:tc>
          <w:tcPr>
            <w:tcW w:w="826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Accrued income taxes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82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(used for)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term deposit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Redemption of term deposit</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7,609</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net assets of Qterics, Inc.</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(10,117)</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(4,719)</w:t>
            </w:r>
          </w:p>
        </w:tc>
      </w:tr>
      <w:tr>
        <w:trPr>
          <w:trHeight w:val="206"/>
        </w:trPr>
        <w:tc>
          <w:tcPr>
            <w:tcW w:w="8260" w:type="dxa"/>
            <w:vAlign w:val="bottom"/>
          </w:tcPr>
          <w:p>
            <w:pPr>
              <w:ind w:left="560"/>
              <w:spacing w:after="0"/>
              <w:rPr>
                <w:sz w:val="20"/>
                <w:szCs w:val="20"/>
                <w:color w:val="auto"/>
              </w:rPr>
            </w:pPr>
            <w:r>
              <w:rPr>
                <w:rFonts w:ascii="Arial" w:cs="Arial" w:eastAsia="Arial" w:hAnsi="Arial"/>
                <w:sz w:val="16"/>
                <w:szCs w:val="16"/>
                <w:color w:val="auto"/>
              </w:rPr>
              <w:t>Net cash provided by (used for) investing activities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(15,653)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Borrowings under line of credit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83,000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on line of credit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Treasury stock purchased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(11,297)</w:t>
            </w:r>
          </w:p>
        </w:tc>
      </w:tr>
      <w:tr>
        <w:trPr>
          <w:trHeight w:val="213"/>
        </w:trPr>
        <w:tc>
          <w:tcPr>
            <w:tcW w:w="82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(used for) financing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20,703</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currency exchange rates on cash and cash equivalents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(4,285)</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60,813</w:t>
            </w:r>
          </w:p>
        </w:tc>
      </w:tr>
      <w:tr>
        <w:trPr>
          <w:trHeight w:val="23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61,681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5,034</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except for the impairment and restructuring charges, as described in notes 5, 6 and 12 to the consolidated financial statements.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nine months ended September 30, 2023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and stock-based compensation expense. Actual results may differ from these assumptions and estimates, and they may be adjusted as more information becomes available. Any adjustment may be material.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2022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Cash Equivalents and Term Deposit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 ("PRC")</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15,633</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(excluding the PRC)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15,710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13,042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66,740</w:t>
            </w:r>
          </w:p>
        </w:tc>
      </w:tr>
      <w:tr>
        <w:trPr>
          <w:trHeight w:val="21"/>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25, 2022, we entered into an $8.6 million, one-year term deposit cash account with Banco Santander (Brasil) S.A., denominated in Brazilian Real. The term deposit earned interest at a variable annual rate based upon the Brazilian CDI overnight interbank rate. As of December 31, 2022, all of this term deposit was redeemed.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and Accounts Receivable,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pattern of revenue recognition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300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355,113</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Goods and services transferred over time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64,880</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419,993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Asia (excluding PRC)</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66,508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68,604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20,996</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419,993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13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208"/>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w w:val="89"/>
              </w:rPr>
              <w:t>(thousands)</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Net Sales</w:t>
            </w:r>
          </w:p>
        </w:tc>
        <w:tc>
          <w:tcPr>
            <w:tcW w:w="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04"/>
              <w:spacing w:after="0"/>
              <w:rPr>
                <w:sz w:val="20"/>
                <w:szCs w:val="20"/>
                <w:color w:val="auto"/>
              </w:rPr>
            </w:pPr>
            <w:r>
              <w:rPr>
                <w:rFonts w:ascii="Arial" w:cs="Arial" w:eastAsia="Arial" w:hAnsi="Arial"/>
                <w:sz w:val="12"/>
                <w:szCs w:val="12"/>
                <w:color w:val="auto"/>
              </w:rPr>
              <w:t>(1)</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604"/>
              <w:spacing w:after="0"/>
              <w:rPr>
                <w:sz w:val="20"/>
                <w:szCs w:val="20"/>
                <w:color w:val="auto"/>
              </w:rPr>
            </w:pPr>
            <w:r>
              <w:rPr>
                <w:rFonts w:ascii="Arial" w:cs="Arial" w:eastAsia="Arial" w:hAnsi="Arial"/>
                <w:sz w:val="12"/>
                <w:szCs w:val="12"/>
                <w:color w:val="auto"/>
              </w:rPr>
              <w:t>(1)</w:t>
            </w:r>
          </w:p>
        </w:tc>
        <w:tc>
          <w:tcPr>
            <w:tcW w:w="3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23,615</w:t>
            </w:r>
          </w:p>
        </w:tc>
        <w:tc>
          <w:tcPr>
            <w:tcW w:w="1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3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178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4"/>
              <w:spacing w:after="0"/>
              <w:rPr>
                <w:sz w:val="20"/>
                <w:szCs w:val="20"/>
                <w:color w:val="auto"/>
              </w:rPr>
            </w:pPr>
            <w:r>
              <w:rPr>
                <w:rFonts w:ascii="Arial" w:cs="Arial" w:eastAsia="Arial" w:hAnsi="Arial"/>
                <w:sz w:val="18"/>
                <w:szCs w:val="18"/>
                <w:color w:val="auto"/>
              </w:rPr>
              <w:t>15,194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14.2 %</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21,381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Sony Corporation</w:t>
            </w:r>
          </w:p>
        </w:tc>
        <w:tc>
          <w:tcPr>
            <w:tcW w:w="32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11,825</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42"/>
              <w:spacing w:after="0"/>
              <w:rPr>
                <w:sz w:val="20"/>
                <w:szCs w:val="20"/>
                <w:color w:val="auto"/>
              </w:rPr>
            </w:pPr>
            <w:r>
              <w:rPr>
                <w:rFonts w:ascii="Arial" w:cs="Arial" w:eastAsia="Arial" w:hAnsi="Arial"/>
                <w:sz w:val="12"/>
                <w:szCs w:val="12"/>
                <w:color w:val="auto"/>
              </w:rPr>
              <w:t>(1)</w:t>
            </w:r>
          </w:p>
        </w:tc>
        <w:tc>
          <w:tcPr>
            <w:tcW w:w="1780" w:type="dxa"/>
            <w:vAlign w:val="bottom"/>
            <w:gridSpan w:val="2"/>
            <w:shd w:val="clear" w:color="auto" w:fill="CCEEFF"/>
          </w:tcPr>
          <w:p>
            <w:pPr>
              <w:jc w:val="right"/>
              <w:ind w:right="588"/>
              <w:spacing w:after="0"/>
              <w:rPr>
                <w:sz w:val="20"/>
                <w:szCs w:val="20"/>
                <w:color w:val="auto"/>
              </w:rPr>
            </w:pPr>
            <w:r>
              <w:rPr>
                <w:rFonts w:ascii="Arial" w:cs="Arial" w:eastAsia="Arial" w:hAnsi="Arial"/>
                <w:sz w:val="12"/>
                <w:szCs w:val="12"/>
                <w:color w:val="auto"/>
              </w:rPr>
              <w:t>(1)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320" w:type="dxa"/>
            <w:vAlign w:val="bottom"/>
            <w:vMerge w:val="continue"/>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580" w:hanging="248"/>
        <w:spacing w:after="0"/>
        <w:tabs>
          <w:tab w:leader="none" w:pos="58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Net sales associated with this customer did not total more than 10% of our net sales for the indicated period.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5"/>
        </w:trPr>
        <w:tc>
          <w:tcPr>
            <w:tcW w:w="4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0"/>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13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19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r>
      <w:tr>
        <w:trPr>
          <w:trHeight w:val="196"/>
        </w:trPr>
        <w:tc>
          <w:tcPr>
            <w:tcW w:w="43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9"/>
              </w:rPr>
              <w:t>(thousands)</w:t>
            </w:r>
          </w:p>
        </w:tc>
        <w:tc>
          <w:tcPr>
            <w:tcW w:w="1300" w:type="dxa"/>
            <w:vAlign w:val="bottom"/>
          </w:tcPr>
          <w:p>
            <w:pPr>
              <w:jc w:val="right"/>
              <w:ind w:right="219"/>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tcPr>
          <w:p>
            <w:pPr>
              <w:spacing w:after="0"/>
              <w:rPr>
                <w:sz w:val="17"/>
                <w:szCs w:val="17"/>
                <w:color w:val="auto"/>
              </w:rPr>
            </w:pPr>
          </w:p>
        </w:tc>
        <w:tc>
          <w:tcPr>
            <w:tcW w:w="17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 Net Sales</w:t>
            </w:r>
          </w:p>
        </w:tc>
      </w:tr>
      <w:tr>
        <w:trPr>
          <w:trHeight w:val="23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34,436</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62,222</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320" w:type="dxa"/>
            <w:vAlign w:val="bottom"/>
            <w:tcBorders>
              <w:top w:val="single" w:sz="8" w:color="CCEEFF"/>
            </w:tcBorders>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48,401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59,397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14.1 %</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108,030</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106,319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106,455</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112,346</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Other accounts receivable is primarily comprised of value added tax and supplier rebate receivables.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Additions (reductions) to costs and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4"/>
          </w:tcPr>
          <w:p>
            <w:pPr>
              <w:ind w:left="74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2860" w:type="dxa"/>
            <w:vAlign w:val="bottom"/>
            <w:gridSpan w:val="3"/>
          </w:tcPr>
          <w:p>
            <w:pPr>
              <w:jc w:val="right"/>
              <w:ind w:right="887"/>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 (thousands)</w:t>
            </w:r>
          </w:p>
        </w:tc>
        <w:tc>
          <w:tcPr>
            <w:tcW w:w="15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 of Accounts</w:t>
            </w:r>
          </w:p>
        </w:tc>
        <w:tc>
          <w:tcPr>
            <w:tcW w:w="3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 (thousands)</w:t>
            </w:r>
          </w:p>
        </w:tc>
        <w:tc>
          <w:tcPr>
            <w:tcW w:w="15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Receivable, Net</w:t>
            </w: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2"/>
                <w:szCs w:val="12"/>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5"/>
              </w:rPr>
              <w:t>(1)</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15,367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Sony Corporation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11.0 %</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67"/>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520" w:hanging="188"/>
        <w:spacing w:after="0"/>
        <w:tabs>
          <w:tab w:leader="none" w:pos="5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Trade receivables associated with this customer did not total more than 10% of our accounts receivable, net for the indicated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and Significant Supplier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58,759</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25,226</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53,580</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purchases from suppliers that totaled more than 10% of our total inventory purchases for the three months ended September 30, 2023 and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Purchases from the following supplier totaled more than 10% of our total inventory purchases: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27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1240" w:type="dxa"/>
            <w:vAlign w:val="bottom"/>
            <w:vMerge w:val="restart"/>
          </w:tcPr>
          <w:p>
            <w:pPr>
              <w:jc w:val="center"/>
              <w:ind w:left="115"/>
              <w:spacing w:after="0"/>
              <w:rPr>
                <w:sz w:val="20"/>
                <w:szCs w:val="20"/>
                <w:color w:val="auto"/>
              </w:rPr>
            </w:pPr>
            <w:r>
              <w:rPr>
                <w:rFonts w:ascii="Arial" w:cs="Arial" w:eastAsia="Arial" w:hAnsi="Arial"/>
                <w:sz w:val="14"/>
                <w:szCs w:val="14"/>
                <w:b w:val="1"/>
                <w:bCs w:val="1"/>
                <w:color w:val="auto"/>
                <w:w w:val="89"/>
              </w:rPr>
              <w:t>$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 of Total Inventory</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8"/>
              </w:rPr>
              <w:t>$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 of Total Inventory</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148"/>
        </w:trPr>
        <w:tc>
          <w:tcPr>
            <w:tcW w:w="5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1240" w:type="dxa"/>
            <w:vAlign w:val="bottom"/>
            <w:shd w:val="clear" w:color="auto" w:fill="CCEEFF"/>
          </w:tcPr>
          <w:p>
            <w:pPr>
              <w:jc w:val="right"/>
              <w:ind w:right="395"/>
              <w:spacing w:after="0"/>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(1)</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23,185</w:t>
            </w:r>
          </w:p>
        </w:tc>
        <w:tc>
          <w:tcPr>
            <w:tcW w:w="17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81"/>
        </w:trPr>
        <w:tc>
          <w:tcPr>
            <w:tcW w:w="504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72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20" w:hanging="188"/>
        <w:spacing w:after="0"/>
        <w:tabs>
          <w:tab w:leader="none" w:pos="5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Purchases associated with this supplier did not total more than 10% of our total inventory purchases for the indicated period.</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trade payable balances from suppliers that totaled more than 10% of our total accounts payable at September 30, 2023 and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Long-lived 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Long-lived tangible assets by geographic area, which include property, plant, and equipment, net and operating lease right-of-use assets,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16,427</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28,268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42,893</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Vietnam</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6,923</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countries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Total long-lived tangible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84,390</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plant, and equipment are shown net of accumulated depreciation of $170.0 million and $170.5 million at September 30, 2023 and December 31, 2022,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$4.6 million and $4.9 million for the three months ended September 30, 2023 and 2022, respectively. Depreciation expense was $13.9 million and $15.1 million for the nine months ended September 30, 2023 and 2022, respectively.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September 30, 2023, as part of our manufacturing footprint optimization efforts, we made the decision to close our southwestern China factory and manufacturing operations were stopped in September 2023. We are also working to downsize our factory in Mexico due to decreased demand in our U.S. market. As a result of these decisions, we recorded impairment charges of $7.7 million during the three and nine months ended September 30, 2023, of which $7.6 million and $0.1 million is recorded in cost of sales and selling, general and administrative expenses, respectively, in our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2023, a decline in our financial performance, overall negative trend in the video service provider channel and an uncertain economic environment, contributed to a significant decline in our market capitalization. We considered this to be an impairment trigger. We, therefore, performed a quantitative valuation analysis under an income approach to estimate our reporting unit's fair value. The income approach used projections of estimated operating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results and cash flows that were discounted using a discount rate based on the weighted-average cost of capital. The main assumptions supporting the cash flow projections include, but are not limited to, revenue growth, margins, discount rate, and terminal growth rate. The financial projections reflect our best estimate of economic and market conditions over the projected period, including forecasted revenue growth, margins, capital expenditures, depreciation and amortization. In addition to our valuation analysis under an income approach, we also considered the implied control premium compared to our market capitalization.</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determined that the implied control premium over our market capitalization to be substantial; therefore, we recorded an impairment charge of $49.1 million during the nine months ended September 30,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(49,075)</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effects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080" w:type="dxa"/>
            <w:vAlign w:val="bottom"/>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20" w:type="dxa"/>
            <w:vAlign w:val="bottom"/>
            <w:gridSpan w:val="4"/>
          </w:tcPr>
          <w:p>
            <w:pPr>
              <w:spacing w:after="0"/>
              <w:rPr>
                <w:sz w:val="20"/>
                <w:szCs w:val="20"/>
                <w:color w:val="auto"/>
              </w:rPr>
            </w:pPr>
            <w:r>
              <w:rPr>
                <w:rFonts w:ascii="Arial" w:cs="Arial" w:eastAsia="Arial" w:hAnsi="Arial"/>
                <w:sz w:val="18"/>
                <w:szCs w:val="18"/>
                <w:color w:val="auto"/>
                <w:w w:val="95"/>
              </w:rPr>
              <w:t>The components of intangible assets, net were as follows: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2023</w:t>
            </w: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2022</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9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 xml:space="preserve">Amortization </w:t>
            </w:r>
            <w:r>
              <w:rPr>
                <w:rFonts w:ascii="Arial" w:cs="Arial" w:eastAsia="Arial" w:hAnsi="Arial"/>
                <w:sz w:val="9"/>
                <w:szCs w:val="9"/>
                <w:b w:val="1"/>
                <w:bCs w:val="1"/>
                <w:color w:val="auto"/>
                <w:w w:val="95"/>
              </w:rPr>
              <w:t>(1)</w:t>
            </w:r>
          </w:p>
        </w:tc>
        <w:tc>
          <w:tcPr>
            <w:tcW w:w="3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 xml:space="preserve">Amortization </w:t>
            </w:r>
            <w:r>
              <w:rPr>
                <w:rFonts w:ascii="Arial" w:cs="Arial" w:eastAsia="Arial" w:hAnsi="Arial"/>
                <w:sz w:val="9"/>
                <w:szCs w:val="9"/>
                <w:b w:val="1"/>
                <w:bCs w:val="1"/>
                <w:color w:val="auto"/>
                <w:w w:val="95"/>
              </w:rPr>
              <w:t>(1)</w:t>
            </w:r>
          </w:p>
        </w:tc>
        <w:tc>
          <w:tcPr>
            <w:tcW w:w="3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Capitalized software development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and core technology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Distribution rights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hanging="328"/>
        <w:spacing w:after="0" w:line="227" w:lineRule="auto"/>
        <w:tabs>
          <w:tab w:leader="none" w:pos="64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This table excludes the gross value of fully amortized intangible assets totaling $44.3 million and $43.7 million at September 30, 2023 and December 31, 2022, respectively.</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amortization expense</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80" w:type="dxa"/>
            <w:vAlign w:val="bottom"/>
          </w:tcPr>
          <w:p>
            <w:pPr>
              <w:jc w:val="center"/>
              <w:ind w:left="1371"/>
              <w:spacing w:after="0"/>
              <w:rPr>
                <w:sz w:val="20"/>
                <w:szCs w:val="20"/>
                <w:color w:val="auto"/>
              </w:rPr>
            </w:pPr>
            <w:r>
              <w:rPr>
                <w:rFonts w:ascii="Arial" w:cs="Arial" w:eastAsia="Arial" w:hAnsi="Arial"/>
                <w:sz w:val="18"/>
                <w:szCs w:val="18"/>
                <w:b w:val="1"/>
                <w:bCs w:val="1"/>
                <w:color w:val="auto"/>
              </w:rPr>
              <w:t>UNIVERSAL ELECTRONICS INC.</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780" w:type="dxa"/>
            <w:vAlign w:val="bottom"/>
          </w:tcPr>
          <w:p>
            <w:pPr>
              <w:jc w:val="center"/>
              <w:ind w:left="1371"/>
              <w:spacing w:after="0"/>
              <w:rPr>
                <w:sz w:val="20"/>
                <w:szCs w:val="20"/>
                <w:color w:val="auto"/>
              </w:rPr>
            </w:pPr>
            <w:r>
              <w:rPr>
                <w:rFonts w:ascii="Arial" w:cs="Arial" w:eastAsia="Arial" w:hAnsi="Arial"/>
                <w:sz w:val="18"/>
                <w:szCs w:val="18"/>
                <w:b w:val="1"/>
                <w:bCs w:val="1"/>
                <w:color w:val="auto"/>
              </w:rPr>
              <w:t>NOTES TO CONSOLIDATED FINANCIAL STATEMENTS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780" w:type="dxa"/>
            <w:vAlign w:val="bottom"/>
          </w:tcPr>
          <w:p>
            <w:pPr>
              <w:jc w:val="center"/>
              <w:ind w:left="1391"/>
              <w:spacing w:after="0"/>
              <w:rPr>
                <w:sz w:val="20"/>
                <w:szCs w:val="20"/>
                <w:color w:val="auto"/>
              </w:rPr>
            </w:pPr>
            <w:r>
              <w:rPr>
                <w:rFonts w:ascii="Arial" w:cs="Arial" w:eastAsia="Arial" w:hAnsi="Arial"/>
                <w:sz w:val="18"/>
                <w:szCs w:val="18"/>
                <w:b w:val="1"/>
                <w:bCs w:val="1"/>
                <w:color w:val="auto"/>
                <w:w w:val="95"/>
              </w:rPr>
              <w:t>SEPTEMBER 30, 2023</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9780" w:type="dxa"/>
            <w:vAlign w:val="bottom"/>
          </w:tcPr>
          <w:p>
            <w:pPr>
              <w:jc w:val="center"/>
              <w:ind w:left="1371"/>
              <w:spacing w:after="0"/>
              <w:rPr>
                <w:sz w:val="20"/>
                <w:szCs w:val="20"/>
                <w:color w:val="auto"/>
              </w:rPr>
            </w:pPr>
            <w:r>
              <w:rPr>
                <w:rFonts w:ascii="Arial" w:cs="Arial" w:eastAsia="Arial" w:hAnsi="Arial"/>
                <w:sz w:val="18"/>
                <w:szCs w:val="18"/>
                <w:b w:val="1"/>
                <w:bCs w:val="1"/>
                <w:color w:val="auto"/>
                <w:w w:val="91"/>
              </w:rPr>
              <w:t>(Unaudited)</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34"/>
        </w:trPr>
        <w:tc>
          <w:tcPr>
            <w:tcW w:w="9780" w:type="dxa"/>
            <w:vAlign w:val="bottom"/>
          </w:tcPr>
          <w:p>
            <w:pPr>
              <w:spacing w:after="0"/>
              <w:rPr>
                <w:sz w:val="20"/>
                <w:szCs w:val="20"/>
                <w:color w:val="auto"/>
              </w:rPr>
            </w:pPr>
            <w:r>
              <w:rPr>
                <w:rFonts w:ascii="Arial" w:cs="Arial" w:eastAsia="Arial" w:hAnsi="Arial"/>
                <w:sz w:val="18"/>
                <w:szCs w:val="18"/>
                <w:color w:val="auto"/>
              </w:rPr>
              <w:t>Estimated future annual amortization expense related to our intangible assets at September 30, 2023, was as follows: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8"/>
        </w:trPr>
        <w:tc>
          <w:tcPr>
            <w:tcW w:w="9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3 months)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5,103</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2026</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3,583</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8,160</w:t>
            </w:r>
          </w:p>
        </w:tc>
      </w:tr>
      <w:tr>
        <w:trPr>
          <w:trHeight w:val="248"/>
        </w:trPr>
        <w:tc>
          <w:tcPr>
            <w:tcW w:w="9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September 30, 2023, our operating leases had remaining lease terms of up to 37 years, including any reasonably probable extensions.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4,770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5,509</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r>
      <w:tr>
        <w:trPr>
          <w:trHeight w:val="223"/>
        </w:trPr>
        <w:tc>
          <w:tcPr>
            <w:tcW w:w="7600" w:type="dxa"/>
            <w:vAlign w:val="bottom"/>
          </w:tcPr>
          <w:p>
            <w:pPr>
              <w:ind w:left="78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20,536</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2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lease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Pr>
          <w:p>
            <w:pPr>
              <w:ind w:left="20"/>
              <w:spacing w:after="0" w:line="203" w:lineRule="exact"/>
              <w:rPr>
                <w:sz w:val="20"/>
                <w:szCs w:val="20"/>
                <w:color w:val="auto"/>
              </w:rPr>
            </w:pPr>
            <w:r>
              <w:rPr>
                <w:rFonts w:ascii="Arial" w:cs="Arial" w:eastAsia="Arial" w:hAnsi="Arial"/>
                <w:sz w:val="18"/>
                <w:szCs w:val="18"/>
                <w:color w:val="auto"/>
              </w:rPr>
              <w:t>Operating cash outflows from operating leases</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5,878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w w:val="99"/>
              </w:rPr>
              <w:t>Operating lease right-of-use assets obtained in exchange for</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lease obligations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entered into lease amendments for our southwestern China and Mexico factories during the three months ended September 30, 2023 as a part of our manufacturing footprint optimization efforts. As a result of these modifications, our operating lease right-of-use assets decreased by $1.2 million and our total lease liabilities decreased by $1.3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liability term and the weighted average discount rate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120" w:type="dxa"/>
            <w:vAlign w:val="bottom"/>
            <w:gridSpan w:val="2"/>
          </w:tcPr>
          <w:p>
            <w:pPr>
              <w:ind w:left="400"/>
              <w:spacing w:after="0"/>
              <w:rPr>
                <w:sz w:val="20"/>
                <w:szCs w:val="20"/>
                <w:color w:val="auto"/>
              </w:rPr>
            </w:pPr>
            <w:r>
              <w:rPr>
                <w:rFonts w:ascii="Arial" w:cs="Arial" w:eastAsia="Arial" w:hAnsi="Arial"/>
                <w:sz w:val="14"/>
                <w:szCs w:val="14"/>
                <w:b w:val="1"/>
                <w:bCs w:val="1"/>
                <w:color w:val="auto"/>
              </w:rPr>
              <w:t>September 30, 2023</w:t>
            </w:r>
          </w:p>
        </w:tc>
        <w:tc>
          <w:tcPr>
            <w:tcW w:w="2000" w:type="dxa"/>
            <w:vAlign w:val="bottom"/>
          </w:tcPr>
          <w:p>
            <w:pPr>
              <w:jc w:val="right"/>
              <w:ind w:right="336"/>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44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lease liability term (in years)</w:t>
            </w:r>
          </w:p>
        </w:tc>
        <w:tc>
          <w:tcPr>
            <w:tcW w:w="26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4.53 %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3.82 %</w:t>
            </w:r>
          </w:p>
        </w:tc>
      </w:tr>
      <w:tr>
        <w:trPr>
          <w:trHeight w:val="904"/>
        </w:trPr>
        <w:tc>
          <w:tcPr>
            <w:tcW w:w="4480" w:type="dxa"/>
            <w:vAlign w:val="bottom"/>
          </w:tcPr>
          <w:p>
            <w:pPr>
              <w:spacing w:after="0"/>
              <w:rPr>
                <w:sz w:val="24"/>
                <w:szCs w:val="24"/>
                <w:color w:val="auto"/>
              </w:rPr>
            </w:pPr>
          </w:p>
        </w:tc>
        <w:tc>
          <w:tcPr>
            <w:tcW w:w="2640" w:type="dxa"/>
            <w:vAlign w:val="bottom"/>
          </w:tcPr>
          <w:p>
            <w:pPr>
              <w:jc w:val="right"/>
              <w:ind w:right="1310"/>
              <w:spacing w:after="0"/>
              <w:rPr>
                <w:sz w:val="20"/>
                <w:szCs w:val="20"/>
                <w:color w:val="auto"/>
              </w:rPr>
            </w:pPr>
            <w:r>
              <w:rPr>
                <w:rFonts w:ascii="Arial" w:cs="Arial" w:eastAsia="Arial" w:hAnsi="Arial"/>
                <w:sz w:val="18"/>
                <w:szCs w:val="18"/>
                <w:color w:val="auto"/>
              </w:rPr>
              <w:t>14</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September 30, 2023. The reconciliation excludes short-term leases that are not recorded on the balance sheet.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880" w:type="dxa"/>
            <w:vAlign w:val="bottom"/>
          </w:tcPr>
          <w:p>
            <w:pPr>
              <w:jc w:val="right"/>
              <w:ind w:right="412"/>
              <w:spacing w:after="0"/>
              <w:rPr>
                <w:sz w:val="20"/>
                <w:szCs w:val="20"/>
                <w:color w:val="auto"/>
              </w:rPr>
            </w:pPr>
            <w:r>
              <w:rPr>
                <w:rFonts w:ascii="Arial" w:cs="Arial" w:eastAsia="Arial" w:hAnsi="Arial"/>
                <w:sz w:val="14"/>
                <w:szCs w:val="14"/>
                <w:b w:val="1"/>
                <w:bCs w:val="1"/>
                <w:color w:val="auto"/>
              </w:rPr>
              <w:t>September 30, 2023</w:t>
            </w:r>
          </w:p>
        </w:tc>
      </w:tr>
      <w:tr>
        <w:trPr>
          <w:trHeight w:val="26"/>
        </w:trPr>
        <w:tc>
          <w:tcPr>
            <w:tcW w:w="9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3 months)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5,144</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2,918</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r>
      <w:tr>
        <w:trPr>
          <w:trHeight w:val="223"/>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we did not have any operating leases that had not yet commenced.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3, 2023, we executed an amendment to our Second Amended and Restated Credit Agreement ("Second Amended Credit Agreement") with U.S. Bank National Association ("U.S. Bank"), which provides for a $125.0 million revolving line of credit ("Credit Line"). Among other things, the amendment to the Second Amended Credit Agreement extended the maturity of the revolving line of credit to April 30, 2024.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September 30, 2023 and December 31, 2022.</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a guaranty of the Credit Line by our wholly-owned subsidiary, Universal Electronics BV.</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Second Amended Credit Agreement, we may elect to pay interest on the Credit Line based on the Secured Overnight Financing Rate ("SOFR") plus an applicable margin (varying from 2.00% to 2.75%), or base rate (based on the prime rate of U.S. Bank or as otherwise specified in the Second Amended Credit Agreement) plus an applicable margin (varying from 0.00% to 0.75%). The applicable margins are calculated quarterly and vary based on our cash flow leverage ratio as set forth in the Second Amended Credit Agreement. The interest rates in effect at September 30, 2023 and December 31, 2022 were 8.05% and 5.62%, respectively. There are no commitment fees or unused line fees under the Second Amended Credit Agreement.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From May 3, 2023 to March 31, 2024 (unless we elect to terminate earlier), our fixed charge coverage ratio and cash flow leverage ratio-based covenants are temporarily replaced with EBITDA-based covenants. Additionally, from May 3, 2023 to March 31, 2024 (unless we elect to terminate the temporary covenant provision earlier), the applicable margins are fixed at 2.75% and 0.75% for SOFR and base rate borrowing, respectively. At September 30, 2023, we were in compliance with the covenants and conditions of the Second Amended Credit Agreement.</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2023 and December 31, 2022, we had $75.0 million and $88.0 million outstanding under the Credit Line, respectively. Our total interest expense on borrowings was $1.6 million and $1.0 million during the three months ended September 30, 2023 and 2022, respectively. Our total interest expense on borrowings was $4.5 million and $1.9 million during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recorded income tax expense of $3.3 million and $3.5 million for the three months ended September 30, 2023 and 2022, respectively. We recorded income tax expense of $3.4 million and $7.6 million for the nine months ended September 30, 2023 and 2022, respectively. The difference in income tax expense recorded for the nine months ended September 30, 2023 and 2022 is primarily due to the mix of pre</w:t>
      </w:r>
      <w:r>
        <w:rPr>
          <w:rFonts w:ascii="MS PGothic" w:cs="MS PGothic" w:eastAsia="MS PGothic" w:hAnsi="MS PGothic"/>
          <w:sz w:val="18"/>
          <w:szCs w:val="18"/>
          <w:color w:val="auto"/>
        </w:rPr>
        <w:t>‐</w:t>
      </w:r>
      <w:r>
        <w:rPr>
          <w:rFonts w:ascii="Arial" w:cs="Arial" w:eastAsia="Arial" w:hAnsi="Arial"/>
          <w:sz w:val="18"/>
          <w:szCs w:val="18"/>
          <w:color w:val="auto"/>
        </w:rPr>
        <w:t>tax income among jurisdictions, including losses not benefited as a result of a valuation allowance.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the Company's effective tax rate and the 21.0% U.S. federal statutory rate for the three months ended September 30, 2023 primarily related to the mix of pre-tax income and loss among jurisdictions and permanent tax items including a tax on global intangible low-taxed income. The permanent tax item related to global intangible low-taxed income also reflects recent legislative changes requiring the capitalization of research and experimentation costs, as well as limitations on the creditability of certain foreign income taxes.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December 31, 2022,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income in making this assessment. At December 31, 2022, we had a three-year cumulative operating loss for our U.S. operations and, accordingly, have provided a full valuation allowance on our U.S. federal and state deferred tax assets. During the nine months ended September 30, 2023, there was no change to our U.S. valuation allowance position. Additionally, during the nine months ended September 30, 2023, we have recorded a full valuation allowance of $1.4 million against the deferred tax assets related to our southwestern China factory due to the commencement of its shutdown.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2023, we had gross unrecognized tax benefits of $3.8 million, including interest and penalties, which, if not for the valuation allowance recorded against the state Research and Experimentation income tax credit, $3.3 million would affect the annual effective tax rate if these tax benefits are realized. Further, we are unaware of any positions for which it is reasonably possible that the total amounts of unrecognized tax benefits will significantly increase within the next twelve months. Based on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are immaterial at September 30, 2023 and December 31, 2022 and are included in the unrecognized tax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Accrued commission</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Accrued salary/wages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7,037</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vacation/holiday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compensation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compensation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right="20" w:hanging="328"/>
        <w:spacing w:after="0" w:line="227"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At September 30, 2023, accrued severance expenses of $1.7 million related to manufacturing footprint optimization efforts are included in this amount. See Note 12 for further information related to our restructuring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jc w:val="both"/>
        <w:ind w:left="660" w:hanging="328"/>
        <w:spacing w:after="0" w:line="238"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2023 and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7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Duties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associated with fulfilled performance obligations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Freight and handling fees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claims costs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value added taxes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accrued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12 — Commitments and Contingencies</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8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i w:val="1"/>
                <w:iCs w:val="1"/>
                <w:color w:val="auto"/>
              </w:rPr>
              <w:t>Product Warranties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Changes in the liability for product warranty claims costs were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40" w:type="dxa"/>
            <w:vAlign w:val="bottom"/>
            <w:gridSpan w:val="7"/>
          </w:tcPr>
          <w:p>
            <w:pPr>
              <w:ind w:left="4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7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80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Foreign currency translation gain (loss)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September 2023, we began implementing our plan to restructure and optimize our manufacturing footprint while reducing our concentration risk in the PRC. In conjunction with this plan, as of September 30, 2023, we have stopped all production activities and commenced the shutdown of our southwestern China factory. As a result, we incurred severance and equipment moving costs of $3.4 million and $0.3 million, respectively, during the three and nine months ended September 30, 2023, which are included within factory restructuring charges on our consolidated statements of operations. We expect the completion date of this factory restructuring to be in the first quarter of 2024 with total estimated restructuring charges of $3.7 million.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restructuring liabilities are included in accrued compensation and other accrued liabilities on our consolidated balance sheets. Restructuring activities for the nine months ended September 30, 2023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Restructuring Costs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Severance</w:t>
            </w:r>
          </w:p>
        </w:tc>
        <w:tc>
          <w:tcPr>
            <w:tcW w:w="220" w:type="dxa"/>
            <w:vAlign w:val="bottom"/>
          </w:tcPr>
          <w:p>
            <w:pPr>
              <w:spacing w:after="0"/>
              <w:rPr>
                <w:sz w:val="11"/>
                <w:szCs w:val="11"/>
                <w:color w:val="auto"/>
              </w:rPr>
            </w:pPr>
          </w:p>
        </w:tc>
        <w:tc>
          <w:tcPr>
            <w:tcW w:w="11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Other Exit</w:t>
            </w:r>
          </w:p>
        </w:tc>
        <w:tc>
          <w:tcPr>
            <w:tcW w:w="0" w:type="dxa"/>
            <w:vAlign w:val="bottom"/>
          </w:tcPr>
          <w:p>
            <w:pPr>
              <w:spacing w:after="0"/>
              <w:rPr>
                <w:sz w:val="1"/>
                <w:szCs w:val="1"/>
                <w:color w:val="auto"/>
              </w:rPr>
            </w:pPr>
          </w:p>
        </w:tc>
      </w:tr>
      <w:tr>
        <w:trPr>
          <w:trHeight w:val="192"/>
        </w:trPr>
        <w:tc>
          <w:tcPr>
            <w:tcW w:w="7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Expense</w:t>
            </w:r>
          </w:p>
        </w:tc>
        <w:tc>
          <w:tcPr>
            <w:tcW w:w="220" w:type="dxa"/>
            <w:vAlign w:val="bottom"/>
          </w:tcPr>
          <w:p>
            <w:pPr>
              <w:spacing w:after="0"/>
              <w:rPr>
                <w:sz w:val="16"/>
                <w:szCs w:val="16"/>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Other adjustments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costs incurred inception to date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60" w:type="dxa"/>
            <w:vAlign w:val="bottom"/>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3,690</w:t>
            </w:r>
          </w:p>
        </w:tc>
        <w:tc>
          <w:tcPr>
            <w:tcW w:w="100" w:type="dxa"/>
            <w:vAlign w:val="bottom"/>
          </w:tcPr>
          <w:p>
            <w:pPr>
              <w:spacing w:after="0"/>
              <w:rPr>
                <w:sz w:val="17"/>
                <w:szCs w:val="17"/>
                <w:color w:val="auto"/>
              </w:rPr>
            </w:pPr>
          </w:p>
        </w:tc>
        <w:tc>
          <w:tcPr>
            <w:tcW w:w="240" w:type="dxa"/>
            <w:vAlign w:val="bottom"/>
          </w:tcPr>
          <w:p>
            <w:pPr>
              <w:jc w:val="right"/>
              <w:ind w:right="34"/>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3,415</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expense to be incurred as of September 30, 2023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requests for Inter Partes Review ("IPR") (see discussion below). This lawsuit continues to be stayed until such time as the IPR's and all appeals with respect to them have concluded.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dismissed TCL, Hisense and Funai from this investigation as they either removed or limited the amount of our technology from their televisions as compared to our patent claims that we asserted at the time. On July 9, 2021, the Administrative Law Judge (the "ALJ") issued his Initial Determination (the "ID") finding that Roku is infringing our patents and as a result is in violation of §337 of the Tariff Act of 1930, as amended (the "Tariff Act"). On July 23, 2021, Roku and we filed petitions to appeal certain portions of the ID. On November 10, 2021, the full ITC issued its final determination affirming the ID and issuing a Limited Exclusion Order (the "LEO") and Cease and Desist Order (the "CDO") against Roku, which became effective on January 9, 2022, and later this month, Roku filed its appeal of the ITC ruling with the Federal Circuit Court of Appeals. Oral argument for this appeal occurred on September 5, 2023 and we expect a decision in the fourth quarter of 2023. Meanwhile, Roku continues to be subject to the LEO and CDO.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Lawsuit</w:t>
      </w: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and continue to be stayed pending the final results of the open IPR matters mentioned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fourteen times, and granted Roku's request twelve times. Roku has since filed two IPRs on two of our patents not yet asserted against it, and we are awaiting the PTAB's institution decision with respect to those new IPR requests. Of the twelve IPR requests granted by the PTAB, the results were mixed, with the PTAB upholding the validity of many of our patent claims and invalidating others. We have appealed all but one PTAB decision that resulted in an invalidation of our patent claims and we will continue to do so.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Request Made by Roku against UEI and certain UEI Customers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8, 2021, Roku made a request to the ITC to initiate an investigation against us and certain of our customers claiming that certain of our and those customers' remote control devices and televisions infringe two of Roku's recently acquired patents, the '511 patent and the '875 patent. On May 10, 2021, the ITC announced its decision to initiate the requested investigation. Immediately prior to trial Roku stipulated to summary determination as to its complaint against us and two of our customers with respect to one of the two patents at issue. This stipulation resulted in the complaint against us and two of our customers with respect to that patent not going to trial. The trial was thus shortened and ended on January 24, 2022. On June 24, 2022, the ALJ, pursuant to Roku's stipulation, found the '511 patent invalid as indefinite. Thereafter, on June 28, 2022, the ALJ issued her ID fully exonerating us and our customers finding the '875 patent invalid and that Roku failed to prove it established the requisite domestic industry and thus no violation of the Tariff Act. In advance of the full Commission's review, Roku and we filed petitions to appeal certain portions of the ID. In addition, the PTAB granted our request for an IPR with respect to the '875 patent. On October 28, 2022, the full ITC issued its final determination affirming the ID, ruling there was no violation of the Tariff Act and terminated the investigation. In December 2022, Roku filed an appeal, which remains pending. In addition, Roku, along with the ITC, filed a joint motion to dismiss the '511 patent as moot as it recently expired. We are opposing this motion. Further, on October 23, 2023, the PTBA issued its Final Written Decision invalidating all of the claims Roku alleges we infringe. As a companion to its ITC request, Roku also filed a lawsuit against us in Federal District Court in the Central District of California alleging that we are infringing the same two patents they alleged being infringed in the ITC investigation explained above. This District Court case has been stayed pending the ITC case, and will likely continue to be stayed pending the conclusion of Roku's appeal of the ITC case.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of International Trade Action against the United States of America, et. al.</w:t>
      </w: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this complaint, Ecolink, RCS and we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Ecolink, RCS and we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Ecolink, RCS and we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Ecolink, RCS and us; to permanently enjoin the U.S. government from applying Lists 3 and 4A duties against Ecolink, RCS and us; and award Ecolink, RCS and us our costs and reasonable attorney's fees.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 arguments on dispositive motions filed on behalf of plaintiffs and defendants. On April 1, 2022, the CIT issued its opinion on these dispositive motions, ruling that the USTR had the legal authority to promulgate List 3 and List 4A under Section 307(a)(1)(B) of the Trade Act, but that the USTR violated the APA when it promulgated List 3 and List 4A concluding that the USTR failed to adequately explain its decision as required under the APA. The Court ordered that List 3 and List 4A be remanded to the USTR for reconsideration or further explanation regarding its rationale for imposing the tariffs. The Court declined to vacate List 3 and List 4A, which means that they are still in place while on remand. The Court's preliminary injunction regarding liquidation of entries also remains in effect. The Court initially set a deadline of June 30, 2022, for the USTR to complete this process, which was extended to August 1, 2022.</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1, 2022, the USTR provided the Court with that further explanation and also purported to respond to the significant comments received during the original notice-and-comment process. On September 14, 2022, the lead plaintiff filed its comments to the USTR's August 1, 2022 filing, asserting that the USTR did not adequately respond to the Court's remand order and requested the Court to vacate the List 3 and List 4A tariffs and issue refunds immediately. On March 17, 2023, the CIT sustained the List 3 and List 4 tariffs, concluding that USTR’s rationale in support of the tariffs was not impermissibly post hoc. The court also concluded that USTR adequately explained its reliance on presidential direction and adequately responded to significant comments regarding the harm to the U.S. economy, efficacy of the tariffs, and alternatives to the tariffs. Lead plaintiffs have appealed this decision and on July 17, 2023, the lead plaintiffs filed its opening brief to this appeal.</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Treasury Stock</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our Board of Directors authorizes management to repurchase shares of our issued and outstanding common stock. On October 26, 2023, our Board approved a new share repurchase program with an effective date of November 7, 2023 (the "October 2023 Program"). Pursuant to the October 2023 Program, we are authorized to repurchase up to 1,000,000 shares of our common stock. Per the terms of the October 2023 Program, we may utilize various methods to effect the repurchases, including open market repurchases, negotiated block transactions, accelerated share repurchases or open market solicitations for shares, some or all of which could be effected through Rule 10b5-1 plans.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repurchase shares of our issued and outstanding common stock to satisfy the cost of stock option exercises and/or income tax withholding obligations relating to the stock-based compensation of our employees and directors.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 market shares repurchased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related shares repurchased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repurchased</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open market shares repurchased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stock-based compensation related shares repurchased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shares repurchased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362"/>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6"/>
          </w:tcPr>
          <w:p>
            <w:pPr>
              <w:jc w:val="right"/>
              <w:ind w:right="474"/>
              <w:spacing w:after="0"/>
              <w:rPr>
                <w:sz w:val="20"/>
                <w:szCs w:val="20"/>
                <w:color w:val="auto"/>
              </w:rPr>
            </w:pPr>
            <w:r>
              <w:rPr>
                <w:rFonts w:ascii="Arial" w:cs="Arial" w:eastAsia="Arial" w:hAnsi="Arial"/>
                <w:sz w:val="14"/>
                <w:szCs w:val="14"/>
                <w:b w:val="1"/>
                <w:bCs w:val="1"/>
                <w:color w:val="auto"/>
                <w:w w:val="98"/>
              </w:rPr>
              <w:t>Nine Months Ended 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6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600" w:type="dxa"/>
            <w:vAlign w:val="bottom"/>
          </w:tcPr>
          <w:p>
            <w:pPr>
              <w:ind w:left="20"/>
              <w:spacing w:after="0" w:line="156" w:lineRule="exact"/>
              <w:rPr>
                <w:sz w:val="20"/>
                <w:szCs w:val="20"/>
                <w:color w:val="auto"/>
              </w:rPr>
            </w:pPr>
            <w:r>
              <w:rPr>
                <w:rFonts w:ascii="Arial" w:cs="Arial" w:eastAsia="Arial" w:hAnsi="Arial"/>
                <w:sz w:val="18"/>
                <w:szCs w:val="18"/>
                <w:color w:val="auto"/>
              </w:rPr>
              <w:t>Total employee and director stock-based compensation</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13"/>
                <w:szCs w:val="13"/>
                <w:color w:val="auto"/>
              </w:rPr>
            </w:pP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2,439</w:t>
            </w:r>
          </w:p>
        </w:tc>
        <w:tc>
          <w:tcPr>
            <w:tcW w:w="480" w:type="dxa"/>
            <w:vAlign w:val="bottom"/>
            <w:gridSpan w:val="3"/>
            <w:vMerge w:val="restart"/>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13"/>
                <w:szCs w:val="13"/>
                <w:color w:val="auto"/>
              </w:rPr>
            </w:pPr>
          </w:p>
        </w:tc>
        <w:tc>
          <w:tcPr>
            <w:tcW w:w="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7,575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expense</w:t>
            </w:r>
          </w:p>
        </w:tc>
        <w:tc>
          <w:tcPr>
            <w:tcW w:w="30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460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0" w:type="dxa"/>
            <w:vAlign w:val="bottom"/>
          </w:tcPr>
          <w:p>
            <w:pPr>
              <w:spacing w:after="0"/>
              <w:rPr>
                <w:sz w:val="20"/>
                <w:szCs w:val="20"/>
                <w:color w:val="auto"/>
              </w:rPr>
            </w:pPr>
            <w:r>
              <w:rPr>
                <w:rFonts w:ascii="Arial" w:cs="Arial" w:eastAsia="Arial" w:hAnsi="Arial"/>
                <w:sz w:val="18"/>
                <w:szCs w:val="18"/>
                <w:color w:val="auto"/>
              </w:rPr>
              <w:t>Stock option activity was as follows: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w w:val="99"/>
              </w:rPr>
              <w:t>Number of Options</w:t>
            </w:r>
          </w:p>
        </w:tc>
        <w:tc>
          <w:tcPr>
            <w:tcW w:w="100" w:type="dxa"/>
            <w:vAlign w:val="bottom"/>
          </w:tcPr>
          <w:p>
            <w:pPr>
              <w:spacing w:after="0"/>
              <w:rPr>
                <w:sz w:val="12"/>
                <w:szCs w:val="12"/>
                <w:color w:val="auto"/>
              </w:rPr>
            </w:pPr>
          </w:p>
        </w:tc>
        <w:tc>
          <w:tcPr>
            <w:tcW w:w="15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260" w:type="dxa"/>
            <w:vAlign w:val="bottom"/>
            <w:gridSpan w:val="2"/>
          </w:tcPr>
          <w:p>
            <w:pPr>
              <w:jc w:val="center"/>
              <w:ind w:left="17"/>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260" w:type="dxa"/>
            <w:vAlign w:val="bottom"/>
            <w:gridSpan w:val="2"/>
          </w:tcPr>
          <w:p>
            <w:pPr>
              <w:jc w:val="center"/>
              <w:ind w:left="17"/>
              <w:spacing w:after="0" w:line="145" w:lineRule="exact"/>
              <w:rPr>
                <w:sz w:val="20"/>
                <w:szCs w:val="20"/>
                <w:color w:val="auto"/>
              </w:rPr>
            </w:pPr>
            <w:r>
              <w:rPr>
                <w:rFonts w:ascii="Arial" w:cs="Arial" w:eastAsia="Arial" w:hAnsi="Arial"/>
                <w:sz w:val="14"/>
                <w:szCs w:val="14"/>
                <w:b w:val="1"/>
                <w:bCs w:val="1"/>
                <w:color w:val="auto"/>
                <w:w w:val="96"/>
              </w:rPr>
              <w:t>Contractual 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74"/>
              <w:spacing w:after="0" w:line="145"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5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Exercise Price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3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44.16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Granted</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24.77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Forfeited/canceled/expired</w:t>
            </w:r>
          </w:p>
        </w:tc>
        <w:tc>
          <w:tcPr>
            <w:tcW w:w="3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w w:val="88"/>
              </w:rPr>
              <w:t>51.39</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September 30, 2023 </w:t>
            </w:r>
            <w:r>
              <w:rPr>
                <w:rFonts w:ascii="Arial" w:cs="Arial" w:eastAsia="Arial" w:hAnsi="Arial"/>
                <w:sz w:val="23"/>
                <w:szCs w:val="23"/>
                <w:color w:val="auto"/>
                <w:vertAlign w:val="superscript"/>
              </w:rPr>
              <w:t>(1)</w:t>
            </w: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0" w:type="dxa"/>
            <w:vAlign w:val="bottom"/>
            <w:tcBorders>
              <w:bottom w:val="single" w:sz="8" w:color="CCEEFF"/>
            </w:tcBorders>
            <w:gridSpan w:val="2"/>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38.49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Vested and expected to vest at September 30, 2023 </w:t>
            </w:r>
            <w:r>
              <w:rPr>
                <w:rFonts w:ascii="Arial" w:cs="Arial" w:eastAsia="Arial" w:hAnsi="Arial"/>
                <w:sz w:val="23"/>
                <w:szCs w:val="23"/>
                <w:color w:val="auto"/>
                <w:vertAlign w:val="superscript"/>
              </w:rPr>
              <w:t>(1)</w:t>
            </w: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CCEEFF"/>
            </w:tcBorders>
            <w:gridSpan w:val="2"/>
            <w:vMerge w:val="restart"/>
          </w:tcPr>
          <w:p>
            <w:pPr>
              <w:jc w:val="right"/>
              <w:ind w:right="70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Arial" w:cs="Arial" w:eastAsia="Arial" w:hAnsi="Arial"/>
                <w:sz w:val="18"/>
                <w:szCs w:val="18"/>
                <w:color w:val="auto"/>
                <w:w w:val="88"/>
              </w:rPr>
              <w:t>38.49</w:t>
            </w: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925</w:t>
            </w:r>
          </w:p>
        </w:tc>
        <w:tc>
          <w:tcPr>
            <w:tcW w:w="1000" w:type="dxa"/>
            <w:vAlign w:val="bottom"/>
            <w:gridSpan w:val="2"/>
            <w:vMerge w:val="continue"/>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Exercisable at September 30, 2023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0" w:type="dxa"/>
            <w:vAlign w:val="bottom"/>
            <w:gridSpan w:val="2"/>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44.06</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328"/>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aggregate intrinsic value represents the total pre-tax value (the difference between our closing stock price on the last trading day of the third quarter of 2023 and the exercise price, multiplied by the number of in-the-money options)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that would have been received by the option holders had they all exercised their options on September 30, 2023. This amount will change based on the fair market value of our stock.</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48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43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grants</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14.51</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1.93 %</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49.35 %</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w:t>
            </w:r>
          </w:p>
        </w:tc>
      </w:tr>
    </w:tbl>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2023, we expect to recognize $3.2 million of total unrecognized pre-tax stock-based compensation expense related to non-vested stock options over a remaining weighted-average life of 1.9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tcPr>
          <w:p>
            <w:pPr>
              <w:jc w:val="center"/>
              <w:ind w:left="388"/>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295"/>
              <w:spacing w:after="0"/>
              <w:rPr>
                <w:sz w:val="20"/>
                <w:szCs w:val="20"/>
                <w:color w:val="auto"/>
              </w:rPr>
            </w:pPr>
            <w:r>
              <w:rPr>
                <w:rFonts w:ascii="Arial" w:cs="Arial" w:eastAsia="Arial" w:hAnsi="Arial"/>
                <w:sz w:val="14"/>
                <w:szCs w:val="14"/>
                <w:b w:val="1"/>
                <w:bCs w:val="1"/>
                <w:color w:val="auto"/>
              </w:rPr>
              <w:t>Weighted-Average</w:t>
            </w:r>
          </w:p>
        </w:tc>
      </w:tr>
      <w:tr>
        <w:trPr>
          <w:trHeight w:val="192"/>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(in thousands)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Grant Date Fair Value</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38.19</w:t>
            </w: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2023</w:t>
            </w: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we expect to recognize $8.2 million of total unrecognized pre-tax stock-based compensation expense related to non-vested restricted stock awards over a weighted-average life of 1.8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9, 2016, we issued common stock purchase warrants to Comcast Corporation at a price of $54.55 per share. On January 1, 2023, all 275,000 of the vested and outstanding warrants expired unexercised.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6"/>
        </w:trPr>
        <w:tc>
          <w:tcPr>
            <w:tcW w:w="45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w w:val="97"/>
              </w:rPr>
              <w:t xml:space="preserve">Net gain (loss) on foreign currency exchange contracts </w:t>
            </w:r>
            <w:r>
              <w:rPr>
                <w:rFonts w:ascii="Arial" w:cs="Arial" w:eastAsia="Arial" w:hAnsi="Arial"/>
                <w:sz w:val="23"/>
                <w:szCs w:val="23"/>
                <w:color w:val="auto"/>
                <w:w w:val="97"/>
                <w:vertAlign w:val="superscript"/>
              </w:rPr>
              <w:t>(1)</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694"/>
              <w:spacing w:after="0"/>
              <w:rPr>
                <w:sz w:val="20"/>
                <w:szCs w:val="20"/>
                <w:color w:val="auto"/>
              </w:rPr>
            </w:pPr>
            <w:r>
              <w:rPr>
                <w:rFonts w:ascii="Arial" w:cs="Arial" w:eastAsia="Arial" w:hAnsi="Arial"/>
                <w:sz w:val="18"/>
                <w:szCs w:val="18"/>
                <w:color w:val="auto"/>
                <w:w w:val="86"/>
              </w:rPr>
              <w:t>518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w w:val="97"/>
              </w:rPr>
              <w:t>Net gain (loss) on foreign currency exchange transactions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(1,085)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center"/>
              <w:ind w:left="654"/>
              <w:spacing w:after="0"/>
              <w:rPr>
                <w:sz w:val="20"/>
                <w:szCs w:val="20"/>
                <w:color w:val="auto"/>
              </w:rPr>
            </w:pPr>
            <w:r>
              <w:rPr>
                <w:rFonts w:ascii="Arial" w:cs="Arial" w:eastAsia="Arial" w:hAnsi="Arial"/>
                <w:sz w:val="18"/>
                <w:szCs w:val="18"/>
                <w:color w:val="auto"/>
                <w:w w:val="90"/>
              </w:rPr>
              <w:t>(534)</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54"/>
              <w:spacing w:after="0"/>
              <w:rPr>
                <w:sz w:val="20"/>
                <w:szCs w:val="20"/>
                <w:color w:val="auto"/>
              </w:rPr>
            </w:pPr>
            <w:r>
              <w:rPr>
                <w:rFonts w:ascii="Arial" w:cs="Arial" w:eastAsia="Arial" w:hAnsi="Arial"/>
                <w:sz w:val="18"/>
                <w:szCs w:val="18"/>
                <w:color w:val="auto"/>
                <w:w w:val="90"/>
              </w:rPr>
              <w:t>(372)</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90"/>
              </w:rPr>
              <w:t>(388)</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22"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(Loss)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12,709</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for basic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12,911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12,656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12,839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12,709</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Dilutive effect of stock options, restricted stock and common stock</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on a diluted basis</w:t>
            </w: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12,839</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12,797</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3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26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56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7"/>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Fair Value Measurement Using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5"/>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3"/>
                <w:szCs w:val="3"/>
                <w:color w:val="auto"/>
              </w:rPr>
            </w:pPr>
          </w:p>
        </w:tc>
        <w:tc>
          <w:tcPr>
            <w:tcW w:w="900" w:type="dxa"/>
            <w:vAlign w:val="bottom"/>
            <w:gridSpan w:val="3"/>
            <w:vMerge w:val="restart"/>
          </w:tcPr>
          <w:p>
            <w:pPr>
              <w:jc w:val="right"/>
              <w:ind w:right="350"/>
              <w:spacing w:after="0"/>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3"/>
                <w:szCs w:val="3"/>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3"/>
                <w:szCs w:val="3"/>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foreign currency exchange contracts, which resulted in a net pre-tax gain of $19 thousand and pre-tax loss of $0.6 million for the three months ended September 30, 2023 and 2022, respectively. For the nine months ended September 30, 2023 and 2022, we had a net pre-tax loss of $2.8 million and pre-tax gain of $0.5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Gain/(Loss)</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w w:val="99"/>
              </w:rPr>
              <w:t>Recorded at Balance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Notional Value</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Date Held</w:t>
            </w:r>
          </w:p>
        </w:tc>
        <w:tc>
          <w:tcPr>
            <w:tcW w:w="2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Position Held</w:t>
            </w:r>
          </w:p>
        </w:tc>
        <w:tc>
          <w:tcPr>
            <w:tcW w:w="1220" w:type="dxa"/>
            <w:vAlign w:val="bottom"/>
            <w:gridSpan w:val="3"/>
            <w:vMerge w:val="continue"/>
          </w:tcPr>
          <w:p>
            <w:pPr>
              <w:spacing w:after="0"/>
              <w:rPr>
                <w:sz w:val="12"/>
                <w:szCs w:val="12"/>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Forward Rate</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Date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7"/>
        </w:trPr>
        <w:tc>
          <w:tcPr>
            <w:tcW w:w="1980" w:type="dxa"/>
            <w:vAlign w:val="bottom"/>
            <w:gridSpan w:val="2"/>
            <w:vMerge w:val="continue"/>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r>
              <w:rPr>
                <w:rFonts w:ascii="Arial" w:cs="Arial" w:eastAsia="Arial" w:hAnsi="Arial"/>
                <w:sz w:val="9"/>
                <w:szCs w:val="9"/>
                <w:b w:val="1"/>
                <w:bCs w:val="1"/>
                <w:color w:val="auto"/>
                <w:w w:val="91"/>
              </w:rPr>
              <w:t>(1)</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USD/Chinese Yuan Renminbi</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CNY</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center"/>
              <w:ind w:left="660"/>
              <w:spacing w:after="0"/>
              <w:rPr>
                <w:sz w:val="20"/>
                <w:szCs w:val="20"/>
                <w:color w:val="auto"/>
              </w:rPr>
            </w:pPr>
            <w:r>
              <w:rPr>
                <w:rFonts w:ascii="Arial" w:cs="Arial" w:eastAsia="Arial" w:hAnsi="Arial"/>
                <w:sz w:val="18"/>
                <w:szCs w:val="18"/>
                <w:color w:val="auto"/>
                <w:w w:val="95"/>
              </w:rPr>
              <w:t>(162)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 2023</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September 30, 2023</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1.0826</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680"/>
              <w:spacing w:after="0"/>
              <w:rPr>
                <w:sz w:val="20"/>
                <w:szCs w:val="20"/>
                <w:color w:val="auto"/>
              </w:rPr>
            </w:pPr>
            <w:r>
              <w:rPr>
                <w:rFonts w:ascii="Arial" w:cs="Arial" w:eastAsia="Arial" w:hAnsi="Arial"/>
                <w:sz w:val="18"/>
                <w:szCs w:val="18"/>
                <w:color w:val="auto"/>
                <w:w w:val="86"/>
              </w:rPr>
              <w:t>419</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October 6, 2023</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660"/>
              <w:spacing w:after="0"/>
              <w:rPr>
                <w:sz w:val="20"/>
                <w:szCs w:val="20"/>
                <w:color w:val="auto"/>
              </w:rPr>
            </w:pPr>
            <w:r>
              <w:rPr>
                <w:rFonts w:ascii="Arial" w:cs="Arial" w:eastAsia="Arial" w:hAnsi="Arial"/>
                <w:sz w:val="18"/>
                <w:szCs w:val="18"/>
                <w:color w:val="auto"/>
                <w:w w:val="95"/>
              </w:rPr>
              <w:t>(428)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6, 2023</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December 31, 2022</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USD/Chinese Yuan Renminbi</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7.0358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680"/>
              <w:spacing w:after="0"/>
              <w:rPr>
                <w:sz w:val="20"/>
                <w:szCs w:val="20"/>
                <w:color w:val="auto"/>
              </w:rPr>
            </w:pPr>
            <w:r>
              <w:rPr>
                <w:rFonts w:ascii="Arial" w:cs="Arial" w:eastAsia="Arial" w:hAnsi="Arial"/>
                <w:sz w:val="18"/>
                <w:szCs w:val="18"/>
                <w:color w:val="auto"/>
                <w:w w:val="86"/>
              </w:rPr>
              <w:t>528</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January 6, 2023</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60" w:right="20" w:hanging="328"/>
        <w:spacing w:after="0" w:line="227"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Combination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we acquired substantially all of the net assets of Qterics, a U.S.-based provider of multimedia connectivity solutions and services for internet-enabled consumer products. Under the terms of the Asset Purchase Agreement ("APA"), we paid a cash purchase price of approximately $0.9 million. The acquisition of these assets will allow us to expand our customer base in the OEM market.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consolidated income statement for the three and nine months ended September 30, 2023 includes net sales of $0.5 million and $1.6 million, respectively, and net income of $28 thousand and $0.1 million, respectively, attributable to Qterics. Our consolidated income statement for the three and nine months ended September 30, 2022 includes net sales of $0.5 million and $1.4 million, respectively, and net loss of $0.1 million and $25 thousand, respectively, attributable to Qterics for the period commencing on February 17, 2022.</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accordance with the terms of the APA, the initial purchase price was subject to adjustment for differences between the initial estimated working capital balances and the final adjusted balances. This calculation was completed at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fair values on the acquisition date. The excess of the purchase price over the estimated fair value of net assets acquired is recorded as goodwill. The goodwill is expected to be deductible for income tax purposes. Management's purchase price allocation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91"/>
              </w:rPr>
              <w:t>Estimated Lives</w:t>
            </w:r>
          </w:p>
        </w:tc>
        <w:tc>
          <w:tcPr>
            <w:tcW w:w="1760" w:type="dxa"/>
            <w:vAlign w:val="bottom"/>
          </w:tcPr>
          <w:p>
            <w:pPr>
              <w:jc w:val="right"/>
              <w:ind w:right="171"/>
              <w:spacing w:after="0"/>
              <w:rPr>
                <w:sz w:val="20"/>
                <w:szCs w:val="20"/>
                <w:color w:val="auto"/>
              </w:rPr>
            </w:pPr>
            <w:r>
              <w:rPr>
                <w:rFonts w:ascii="Arial" w:cs="Arial" w:eastAsia="Arial" w:hAnsi="Arial"/>
                <w:sz w:val="14"/>
                <w:szCs w:val="14"/>
                <w:b w:val="1"/>
                <w:bCs w:val="1"/>
                <w:color w:val="auto"/>
              </w:rPr>
              <w:t>Preliminary Fair Value</w:t>
            </w:r>
          </w:p>
        </w:tc>
      </w:tr>
      <w:tr>
        <w:trPr>
          <w:trHeight w:val="26"/>
        </w:trPr>
        <w:tc>
          <w:tcPr>
            <w:tcW w:w="72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6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5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6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6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26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6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6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6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(1)</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ROU assets</w:t>
            </w:r>
          </w:p>
        </w:tc>
        <w:tc>
          <w:tcPr>
            <w:tcW w:w="226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3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Short-term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Long-term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3"/>
        </w:trPr>
        <w:tc>
          <w:tcPr>
            <w:tcW w:w="7220" w:type="dxa"/>
            <w:vAlign w:val="bottom"/>
          </w:tcPr>
          <w:p>
            <w:pPr>
              <w:ind w:left="260"/>
              <w:spacing w:after="0"/>
              <w:rPr>
                <w:sz w:val="20"/>
                <w:szCs w:val="20"/>
                <w:color w:val="auto"/>
              </w:rPr>
            </w:pPr>
            <w:r>
              <w:rPr>
                <w:rFonts w:ascii="Arial" w:cs="Arial" w:eastAsia="Arial" w:hAnsi="Arial"/>
                <w:sz w:val="18"/>
                <w:szCs w:val="18"/>
                <w:color w:val="auto"/>
              </w:rPr>
              <w:t>Cash paid</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r>
      <w:tr>
        <w:trPr>
          <w:trHeight w:val="20"/>
        </w:trPr>
        <w:tc>
          <w:tcPr>
            <w:tcW w:w="7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Our consolidated goodwill balance was impaired during the nine months ended September 30, 2023. Please see Note 6 for further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the Qterics developed technology and trade names intangible assets were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the Qterics developed technology and trade names.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assigned to Qterics customer relationships intangible assets were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developed technology, trade names and customer relationships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financial information of combined results of our operations and the operations of Qterics as if the transaction had occurred on January 1, 2021, is immaterially different from the net sales, net income (loss) and income (loss) per share amounts reported in the Consolidated Statements of Operations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10-Q is filed with the SEC. Forward-looking statements include supply chain issues; other future demand and recovery trends and expectations; the delay by or failure of our customers to order products from us; continued availability of cash through borrowing under our revolving line of credit; the effects of natural or other events beyond our control, including the effects of political unrest, war, terrorist activities, other hostilities, or the outbreak of infectious diseases may have on us or the economy; the economic environment's including increases in interest rates and recessionary effects on us or our customers; the effects of doing business internationally; our expectations regarding our ability to meet our liquidity requirements; our capital expenditures and other investment spending expectations;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2022 ("2022 Form 10-K"), Part II, Item 1A of this report, and other factors we describe from time to time in our periodic filings with the SEC.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55"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sold primarily to video service providers (cable, satellite, Internet Protocol television ("IPTV") and Over the Top ("OTT") services), original equipment manufacturers ("OEMs"), retailers, and private label customers;</w:t>
      </w:r>
    </w:p>
    <w:p>
      <w:pPr>
        <w:spacing w:after="0" w:line="2"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jc w:val="both"/>
        <w:ind w:left="980" w:hanging="324"/>
        <w:spacing w:after="0" w:line="265" w:lineRule="auto"/>
        <w:tabs>
          <w:tab w:leader="none" w:pos="9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consoles and other consumer electronic and smart home devices to wirelessly connect and interact with home networks and interactive services to control and deliver home entertainment, smart home services and device or system information;</w:t>
      </w:r>
    </w:p>
    <w:p>
      <w:pPr>
        <w:ind w:left="980" w:right="20" w:hanging="324"/>
        <w:spacing w:after="0" w:line="250"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real-time device identification and system control;</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and video service providers;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embedded and cloud-enabled software for reliable firmware update and digital rights management validation services to major consumer electronics brands;</w:t>
      </w:r>
    </w:p>
    <w:p>
      <w:pPr>
        <w:ind w:left="980" w:right="20" w:hanging="324"/>
        <w:spacing w:after="0" w:line="260"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smart energy management systems, primarily to OEM customers, as well as hotels and hospitality system integrators;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Each year our device control library continues to grow across AV and smart home platforms, supporting many common smart home protocols, including IR, HDMI-CEC, Zigbee (Rf4CE), Z-Wave, IP, as well as Home Network and Cloud Control.</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("IoT") devices. These control codes are captured directly from original control devices or from the manufacturer's written specifications to ensure the accuracy and integrity of the library.</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one domestic subsidiary and 24 international subsidiaries located in Brazil, British Virgin Islands, France, Germany, Hong Kong (3), India, Italy, Japan, Korea, Mexico (2), the Netherlands, People's Republic of China (the "PRC") (6), Singapore, Spain, United Kingdom and Vietnam.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September 30, 2023:</w:t>
      </w:r>
    </w:p>
    <w:p>
      <w:pPr>
        <w:spacing w:after="0" w:line="252" w:lineRule="exact"/>
        <w:rPr>
          <w:sz w:val="20"/>
          <w:szCs w:val="20"/>
          <w:color w:val="auto"/>
        </w:rPr>
      </w:pPr>
    </w:p>
    <w:p>
      <w:pPr>
        <w:ind w:left="980" w:right="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decreased 27.9% to $107.1 million for the three months ended September 30, 2023 from $148.5 million for the three months ended September 30, 2022.</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margin percentage decreased to 19.1% for the three months ended September 30, 2023 from 29.9% for the three months ended September 30, 2022.</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expenses, as a percentage of net sales, increased to 32.2% for the three months ended September 30, 2023 from 22.2% for the three months ended September 30, 2022.</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operating loss was $14.0 million for the three months ended September 30, 2023 compared to operating income of $11.5 million for the three months ended September 30, 2022. Our operating loss percentage was 13.1% for the three months ended September 30, 2023, compared to an operating income percentage of 7.7% for the three months ended September 30, 2022.</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 expense was $3.3 million for the three months ended September 30, 2023 compared to income tax expense of $3.5 million for the three months ended September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2023 include the following:</w:t>
      </w:r>
    </w:p>
    <w:p>
      <w:pPr>
        <w:spacing w:after="0" w:line="252" w:lineRule="exact"/>
        <w:rPr>
          <w:sz w:val="20"/>
          <w:szCs w:val="20"/>
          <w:color w:val="auto"/>
        </w:rPr>
      </w:pPr>
    </w:p>
    <w:p>
      <w:pPr>
        <w:ind w:left="980" w:hanging="324"/>
        <w:spacing w:after="0" w:line="274" w:lineRule="auto"/>
        <w:tabs>
          <w:tab w:leader="none" w:pos="9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 new product development efforts in high-growth HVAC OEM channel to grow our market penetration with existing customers and acquire new customers with the goal of achieving market share leadership in climate control channel within two years;</w:t>
      </w:r>
    </w:p>
    <w:p>
      <w:pPr>
        <w:ind w:left="980" w:hanging="324"/>
        <w:spacing w:after="0" w:line="250"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broaden our home control and home automation product solutions with the aim of acquiring new customers that represent market share leaders in their respective channels and regions;</w:t>
      </w: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 our software and service platform, QuickSet, to deliver a complete smart entertainment and smart home managed service platform;</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 in creating sustainable technology solutions that offer product differentiation across our global product portfolio;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explore and expand product offerings in our core subscription broadcasting channel beyond traditional entertainment remote controls;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acquisitions or strategic partners that complement and strengthen our existing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seek opportunities to expand the sales and licensing of our products and technologies to new customers, markets and industries; and</w:t>
      </w:r>
    </w:p>
    <w:p>
      <w:pPr>
        <w:spacing w:after="0" w:line="20" w:lineRule="exact"/>
        <w:rPr>
          <w:rFonts w:ascii="Arial" w:cs="Arial" w:eastAsia="Arial" w:hAnsi="Arial"/>
          <w:sz w:val="17"/>
          <w:szCs w:val="17"/>
          <w:color w:val="auto"/>
        </w:rPr>
      </w:pPr>
    </w:p>
    <w:p>
      <w:pPr>
        <w:ind w:left="980" w:hanging="324"/>
        <w:spacing w:after="0" w:line="260"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expedite our long-term factory planning strategy to optimize our manufacturing footprint and reduce our manufacturing concentration in the PRC.</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been negatively impacted and we expect to continue to be negatively impacted by adverse macroeconomic conditions, in particular reduced consumer spending. Inflation has increased our component and logistics costs. While we have been able to increase sales prices on certain products, there may be a delay in our ability to increase prices and we may not be able to fully offset the impact of increased material costs which would negatively impact our gross profit. Our cost of labor, materials and borrowing may continue to increase, which would negatively impact our financial results. In addition, we expect recessionary pressures in the global economy will ultimately negatively impact our sales demand.</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continue to see supply chain improvements across most long-lead time components, including ICs, during 2023. While we expect this to continue, demand fluctuations and output may affect us in the future based on feedback from our supplier base. We continue to take production and inventory control steps as required to mitigate the effects caused by shortages including advanced purchasing of long-lead time components, as necessary; however, we cannot guarantee that these steps will allow us to meet some customer short-term requirements. As such, these supply constraints may continue to cause difficulty and delays in our ability to fulfill customer orders and may at times result in increased logistics costs.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Long-Lived Assets Impairment Trigger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During the three months ended March 31, 2023, a decline in our financial performance, the overall negative trend in the video service provider channel and an uncertain economic environment contributed to a significant decline in our market capitalization. We considered this to be an impairment trigger. We, therefore, performed a quantitative valuation analysis indicating a significant implied control premium over our market capitalization. As a result of the substantial implied control premium, we recorded an impairment charge of $49.1 million during the three months ended March 31,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Long-Lived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2023, market conditions deteriorated and our stock price declined significantly, which we considered to be a trigger of potential impairment for our long-lived asset group. As such, we performed a recoverability test using non-discounted forecasted cash flows, which resulted in total cash flows in excess of the carrying value of the asset group by approximately 11% to 57%. This test indicated no recoverability issues.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2023, as part of our manufacturing footprint optimization efforts, we identified certain long-lived assets that were unused due to the closure of our southwestern China factory and unused at our Mexico factory, due to decreased demand in our U.S. market. As a result, we recorded impairment charges of $7.7 million during the three months ended September 30, 2023.</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certain future events and circumstances, including adverse changes in general business and economic conditions in the United States and worldwide and changes in consumer behavior could result in changes to our assumptions and judgments used in the impairment tests. A downward revision of these assumptions could cause the total undiscounted cash flows of the long-lived asset group to fall below its respective carrying values and a non-cash impairment charge would be required. Such a charge may have a material effect on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Footprint</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been evaluating our global manufacturing footprint based upon our long-term factory planning strategy to (1) de-risk our reliance on a PRC-based supply chain and (2) reduce our manufacturing capacity due to decreased demand and a change in mix of our products. As part of this evaluation, we opened a new factory in Vietnam, which commenced manufacturing operations in June 2023 after incurring startup costs in the first half of 2023. With our Vietnam factory now open and meeting short-term operational targets, with the expectation of continued improvement, we stopped manufacturing activities in our southwestern China factory in September 2023 and have commenced its shutdown. We are also working to downsize our factory in Mexico due to decreased demand in our U.S. market. As a result of these decisions, we have recorded impairment charges of $7.7 million and severance and other restructuring expenses of $3.7 million during the three months ended September 30, 2023. We are continuing to evaluate our Mexico facility as part of our long-term factory planning strategy and any decisions may result in charges that could have a material effect on the consolidated the financial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With the exception of the following policies, we do not believe that there have been any significant changes during the nine months ended September 30, 2023 to the items that we disclosed as our critical accounting policies and estimates in Item 7, "Management's Discussion and Analysis of Financial Condition and Results of Operations" contained in our 2022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w:t>
      </w:r>
    </w:p>
    <w:p>
      <w:pPr>
        <w:ind w:right="20" w:firstLine="8"/>
        <w:spacing w:after="0" w:line="260"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business climate, (2) a decline in macroeconomic conditions, (3) a significant decline in our financial performance or (4) a significant decline in the price of our common stock for a sustained period of time.</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perform our annual impairment test, and any required interim tests, using the optional qualitative assessment, weighing the relative impact of factors that are specific to our single reporting unit including our market capitalization compared to control premiums, as well as industry and macroeconomic factors. Based on the qualitative assessment performed, we consider the aggregation of the relevant factors, and conclude whether it is more likely than not that the fair value of our single reporting unit is less than the carrying value. If we conclude that it is more likely than not that the fair value of our single reporting unit is less than the carrying value, or if we decide not to elect the qualitative assessment, we perform a quantitative impairment test, using cash flow projections, discounted by our weighted-average cost of capital.</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and risk-adjusted discount rates. In addition, we make certain judgments and assumptions in determining our reporting unit. We base our fair value estimates on assumptions we believe to be reasonable but that are unpredictable and inherently uncertain. Actual future results may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the impairment of long-lived and intangible assets whenever events or changes in circumstances indicate that the carrying value may not be recoverable. Factors considered important which may trigger an impairment review may include the following, but are not limited to: (1) significant underperformance relative to historical or projected future operating results; (2) significant changes in the manner or use of the assets, their physical condition or strategy for the overall business; (3) significant negative industry or economic trends; (4) a current expectation that a long-lived asset will be sold or otherwise disposed of significantly before the end of it previously estimated useful life; or (5) a significant decline in our stock price for a sustained period.</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Determining the recoverability of long-lived or intangible assets is judgmental in nature and involves the use of significant estimates and assumptions. These estimates and assumptions include revenue growth rates and operating margins used to calculate projected future cash flows and the future market value of our asset group. In addition, we make certain judgments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assumptions in determining our asset group. We base our recoverability estimates on assumptions we believe to be reasonable but that are unpredictable and inherently uncertain. Actual future results may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04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5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9"/>
        </w:trPr>
        <w:tc>
          <w:tcPr>
            <w:tcW w:w="50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71.4</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28.6</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5.8</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Factory restructuring charges</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6"/>
                <w:szCs w:val="16"/>
                <w:color w:val="auto"/>
              </w:rPr>
              <w:t>—</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18.9</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3.9</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versus Three Months Ended September 30, 2022</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September 30, 2023 were $107.1 million compared to $148.5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Lower customer demand in our home entertainment channel, consisting of video service providers and consumer electronics companies, was the primary reason for the decline in sales.</w:t>
      </w:r>
    </w:p>
    <w:p>
      <w:pPr>
        <w:spacing w:after="0" w:line="2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for the three months ended September 30, 2023 was $20.4 million compared to $44.4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Gross profit as a percentage of sales decreased to 19.1% for the three months ended September 30, 2023 from 29.9% for the three months ended September 30, 2022. Gross profit as a percentage of sales was impacted by the impairment of machinery and equipment and leasehold improvements associated with the closure of our southwestern China factory, which ceased manufacturing operations in September 2023. We also incurred impairment charges relating to machinery and equipment at our Mexico factory, as we are reducing its capacity due to lower demand. Moreover, we experienced manufacturing inefficiencies associated with lower demand and because we recently commenced operations at our new Vietnam factory in the latter part of June 2023. Overall, operations in Vietnam have exceeded our expectations and we expect its production efficiency to be consistent with our other factories within a reasonable period of time. Partially offsetting these items was a stronger U.S dollar versus the Chinese Yuan Renminbi.</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decreased slightly to $7.7 million for the three months ended September 30, 2023 from $8.0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2022. The decrease in R&amp;D expenses is primarily due to reduced external product development expenses during the three months ended September 30, 2023.</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Factory restructuring charges. </w:t>
      </w:r>
      <w:r>
        <w:rPr>
          <w:rFonts w:ascii="Arial" w:cs="Arial" w:eastAsia="Arial" w:hAnsi="Arial"/>
          <w:sz w:val="16"/>
          <w:szCs w:val="16"/>
          <w:color w:val="auto"/>
        </w:rPr>
        <w:t>During the three months ended September 30, 2023, we recorded $3.7 million in expense, which included severance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non-severance closure expenses in our southern China factory, as well as expenses to move equipment from our Mexico factory to our Vietnam factory.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decreased to $23.1 million for the three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$24.9 million for the three months ended September 30, 2022, due to a decrease in outside legal expenses related to a specific legal matter and variable expenses associated with lower sales volume.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Interest expense, net increased to $1.2 million for the three months ended September 30, 2023 from $0.7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2022, as a result of a higher interest rate, partially offset by a lower average loan balance and increased interest income.</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was $0.9 million for the three months ended September 30, 2023, due to an increase in net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losses, compared to other expense, net of $0.1 million for the three months ended September 30, 2022.</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$3.3 million for the three months ended September 30, 2023, relative to a pre-tax loss of $16.1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$3.5 million for the three months ended September 30, 2022, relative to a pre-tax income of $10.8 million. Consistent with 2022, we expect the U.S. to be in a pre-tax loss position without benefit for the full year 2023 resulting in an elevated effective tax rate. In addition, in the third quarter of 2023, we recorded a valuation allowance of approximately $1.4 million against the deferred tax assets associated with our southwestern China factory due to its shutdown in September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versus Nine Months Ended September 30,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nine months ended September 30, 2023 were $322.9 million compared to $420.0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Lower customer demand in our home entertainment channel, consisting of video service providers and consumer electronics companies, was the primary reason for the decline in sales.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for the nine months ended September 30, 2023 was $69.7 million compared to $120.1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Gross profit as a percentage of sales decreased to 21.6% for the nine months ended September 30, 2023 from 28.6% for the nine months ended September 30, 2022. Gross profit as a percentage of sales was impacted by the impairment of machinery and equipment and leasehold improvements associated with the closure of our southwestern China factory, which ceased manufacturing operations in September 2023. We also incurred impairment charges relating to machinery and equipment at our Mexico factory, as we are reducing its capacity due to lower demand. Moreover, we experienced manufacturing inefficiencies associated with lower demand and because we recently commenced operations at our new Vietnam factory in the latter part of June 2023. Overall, operations in Vietnam have exceeded our expectations and we expect its production efficiency to be consistent with our other factories within a reasonable period of time. We also incurred start-up costs in the first half of 2023 associated with our Vietnam factory prior to it commencing operations. Partially offsetting these items was a stronger U.S. dollar versus the Chinese Yuan Renminbi.</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R&amp;D expenses. </w:t>
      </w:r>
      <w:r>
        <w:rPr>
          <w:rFonts w:ascii="Arial" w:cs="Arial" w:eastAsia="Arial" w:hAnsi="Arial"/>
          <w:sz w:val="18"/>
          <w:szCs w:val="18"/>
          <w:color w:val="auto"/>
        </w:rPr>
        <w:t>R&amp;D expenses remained consistent at $24.5 million for the nine months ended September 30, 2023 compared to $24.5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Factory restructuring charges. </w:t>
      </w:r>
      <w:r>
        <w:rPr>
          <w:rFonts w:ascii="Arial" w:cs="Arial" w:eastAsia="Arial" w:hAnsi="Arial"/>
          <w:sz w:val="16"/>
          <w:szCs w:val="16"/>
          <w:color w:val="auto"/>
        </w:rPr>
        <w:t>During the nine months ended September 30, 2023, we recorded $3.7 million in expense, which included severance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non-severance closure expenses in our southern China factory, as well as expenses to move equipment from our Mexico factory to our Vietnam factory.</w:t>
      </w:r>
    </w:p>
    <w:p>
      <w:pPr>
        <w:spacing w:after="0" w:line="15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SG&amp;A expenses. </w:t>
      </w:r>
      <w:r>
        <w:rPr>
          <w:rFonts w:ascii="Arial" w:cs="Arial" w:eastAsia="Arial" w:hAnsi="Arial"/>
          <w:sz w:val="16"/>
          <w:szCs w:val="16"/>
          <w:color w:val="auto"/>
        </w:rPr>
        <w:t>SG&amp;A expenses decreased to $75.1 million for the nine months ended September 30, 2023 from $79.2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due to a decrease in outside legal expenses related to a specific legal matter and variable expenses associated with lower sales volume.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During the nine months ended September 30, 2023, we recorded a non-cash goodwill impairment charge of $49.1 million due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capitalization being significantly less than the carrying value of our equity.</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Interest expense, net increased to $3.3 million for the nine months ended September 30, 2023 from $1.1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2022, as a result of a higher interest rate, partially offset by a lower average loan balance and increased interest income.</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was $1.8 million for the nine months ended September 30, 2023, due to net foreign currency losses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fixed asset sales, compared to other expense, net of $0.4 million for the nine months ended September 30, 2022, due to a one-time expense which we recovered in the fourth quarter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Income tax expense was $3.4 million for the nine months ended September 30, 2023, relative to a pre-tax loss of $87.7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income tax expense of $7.6 million for the nine months ended September 30, 2022, relative to a pre-tax income of $14.9 million. Consistent with 2022, we expect the U.S. to be in a pre-tax loss position without benefit for the full year 2023 resulting in an elevated effective tax rate. In the first quarter 2023, we received the high technology exemption approval at our Yangzhou entity in China resulting in a lower tax rate. Consequently, the deferred tax assets at our Yangzhou entity were remeasured resulting in an expense. Further, in the first quarter 2023, we also received a discrete benefit related to our goodwill impairment. In the second quarter of 2023, we received multiple tax incentives at two of our manufacturing entities in China approximating $1.6 million. Partially offsetting this amount, in the third quarter of 2023, we recorded a valuation allowance of approximately $1.4 million against the deferred tax assets associated with our southwestern China factory due to its shutdown in September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Cash</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revolving line of credit to fund an increased level of share repurchases and acquisitions. We anticipate that we will continue to utilize both cash flows from operations and our revolving line of credit to support ongoing business operations, capital expenditures, expenses associated with our factory restructuring plans and future discretionary share repurchases.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Our liquidity is subject to various risks including the risks discussed under "Item 3. Quantitative and Qualitative Disclosures about Market Risk."</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182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6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66,740</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Available borrowing resources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37,000</w:t>
            </w:r>
          </w:p>
        </w:tc>
      </w:tr>
    </w:tbl>
    <w:p>
      <w:pPr>
        <w:spacing w:after="0" w:line="3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 On September 30, 2023, we had $10.6 million, $3.6 million, $17.6 million, $15.7 million and $12.6 million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Available Borrowing Resources </w:t>
      </w:r>
      <w:r>
        <w:rPr>
          <w:rFonts w:ascii="Arial" w:cs="Arial" w:eastAsia="Arial" w:hAnsi="Arial"/>
          <w:sz w:val="17"/>
          <w:szCs w:val="17"/>
          <w:color w:val="auto"/>
        </w:rPr>
        <w:t>– Our Second Amended and Restated Credit Agreement ("Second Amended Credit Agreement") with U.S. Bank</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Association ("U.S. Bank") provides for a $125.0 million revolving line of credit ("Credit Line") that expires on April 30, 2024.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September 30, 2023. At September 30, 2023, we had an outstanding balance of $75.0 million on our Credit Line and $50.0 million of availability.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See Note 8 contained in the "Notes to Consolidated Financial Statements" for further information regarding our Credit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340" w:type="dxa"/>
            <w:vAlign w:val="bottom"/>
          </w:tcPr>
          <w:p>
            <w:pPr>
              <w:spacing w:after="0"/>
              <w:rPr>
                <w:sz w:val="16"/>
                <w:szCs w:val="16"/>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229"/>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(used for)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Cash provided by (used for) investing activities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(11,483)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(15,653)</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30, 2023</w:t>
            </w:r>
          </w:p>
        </w:tc>
        <w:tc>
          <w:tcPr>
            <w:tcW w:w="340" w:type="dxa"/>
            <w:vAlign w:val="bottom"/>
          </w:tcPr>
          <w:p>
            <w:pPr>
              <w:spacing w:after="0"/>
              <w:rPr>
                <w:sz w:val="24"/>
                <w:szCs w:val="2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24"/>
                <w:szCs w:val="24"/>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99,873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(21,694)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121,567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was $20.1 million during the nine months ended September 30, 2023 compared to $0.1 million during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2022. Net loss was $91.1 million for the nine months ended September 30, 2023, which includes the impairment of goodwill of $49.1 million and long-lived assets of $7.8 million, compared to net income of $7.3 million for the nine months ended September 30, 2022. Inventories decreased by $45.0 million during the nine months ended September 30, 2023 compared to an increase of $8.5 million during the nine months ended September 30, 2022. This significant decrease in inventories is primarily the result of cord cutting, as there is less demand for our video service products. In addition, lead times for components and raw materials have normalized, enabling more efficient production planning. Our inventory turns increased slightly to 2.9 turns at September 30, 2023 from 2.5 turns at September 30, 2022. Changes in accounts receivable and contract assets resulted in cash outflows of $11.9 million during the nine months ended September 30, 2022, largely as a result of an increase in days sales outstanding compared to the fourth quarter 2021. Days sales outstanding were 92 days at September 30, 2023 compared to 80 days at September 30, 2022. Changes in accounts payable and accrued liabilities resulted in cash outflows of $21.3 million during the nine months ended September 30, 2023 due primarily to a decrease in inventory purchases. Changes in accounts payable and accrued liabilities resulted in cash outflows of $17.2 million during the nine months ended September 30, 2022 due to the timing of inventory purchases and related payments.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nine months ended September 30, 2023 was $11.5 million, of which $6.8 million and $4.7 million was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capital expenditures and the development of patents, respectively. Net cash used for investing activities during the nine months ended September 30, 2022 was $15.7 million, of which $7.5 million, $0.9 million, $10.1 million and $4.7 million was used for our the purchase of our term deposit investment, acquisition of Qterics Inc., capital expenditures and the development of patents, respectively. Offsetting these amounts was $7.6 million received upon the redemption of our term deposit investment.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cash flows used for investing activities are largely dependent on the timing and amount of capital expenditures. We estimate that we will incur expenditures of between $1.0 million and $3.0 million during the remainder of 2023, which includes amounts associated with our factory in Vietnam, which commenced operations during the second quarter of 2023.</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Net cash used for financing activities </w:t>
      </w:r>
      <w:r>
        <w:rPr>
          <w:rFonts w:ascii="Arial" w:cs="Arial" w:eastAsia="Arial" w:hAnsi="Arial"/>
          <w:sz w:val="16"/>
          <w:szCs w:val="16"/>
          <w:color w:val="auto"/>
        </w:rPr>
        <w:t>was $13.9 million during the nine months ended September 30, 2023 compared to net cash provided by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of $20.7 million during the nine months ended September 30, 2022. The primary financing activities during the nine months ended September 30, 2023 and 2022 were borrowings and repayments on our Credit Line and repurchases of shares of our common stock. Net repayments on our Credit Line were $13.0 million during the nine months ended September 30, 2023 compared to net borrowings on our Credit Line of $32.0 million during the nine months ended September 30, 2022. During the nine months ended September 30, 2023, we repurchased 61,298 shares of our common stock at a cost of $0.9 million compared to our repurchase of 358,035 shares at a cost of $11.3 million during the nine months ended September 30, 2022.</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cash flows used for financing activities are affected by our financing needs, which are largely dependent on the level of cash provided by or used in operations and the level of cash used in investing activities. Additionally, future repurchases of shares of our common stock related to employee stock compensation programs will impact our cash flows used for financing activities. See Note 13 contained in the "Notes to Consolidated Financial Statements" for further information regarding our share repurchase programs.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Material Cash Commitments </w:t>
      </w:r>
      <w:r>
        <w:rPr>
          <w:rFonts w:ascii="Arial" w:cs="Arial" w:eastAsia="Arial" w:hAnsi="Arial"/>
          <w:sz w:val="18"/>
          <w:szCs w:val="18"/>
          <w:color w:val="auto"/>
        </w:rPr>
        <w:t>– The following table summarizes our material cash commitments and the effect these commitments are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on our cash flows in future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2"/>
              </w:rPr>
              <w:t>Payments Due by Period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375"/>
              <w:spacing w:after="0" w:line="133"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line="13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Line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Inventory purchases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color w:val="auto"/>
              </w:rPr>
              <w:t>Property, plant, and equipment purchases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license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Total material cash commitments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108,985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92,533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meeting our material cash commitments with our cash generated from operations and available borrowing resources, including our Credit 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the Secured Overnight Financing Rate ("SOFR")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$0.6 million annual impact on net income based on our outstanding Credit Line balance at September 30, 2023.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make any assurances that we will not need to borrow additional amounts in the future or that funds from the existing Credit Line will continue to be available to us or that other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September 30, 2023,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Hong Kong Dollar, Brazilian Real, Japanese Yen, Korean Won and Vietnamese Dong.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Indian Rupee, Hong Kong Dollar, Japanese Yen, Korean Won and Vietnamese Dong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September 30, 2023,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September 30, 2023, net income in the fourth quarter of 2023 would fluctuate by approximately $5.2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other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12"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reader should carefully consider, in connection with the other information in this report, the risk factors discussed in "Part I, Item 1A: Risk Factors" of the Company's 2022 Form 10-K and in the periodic reports we have filed since then. These factors may cause our actual results to differ materially from those stated in forward-looking statements contained in this document and elsewhere.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September 30, 2023, our total stock repurchases, average price paid per share and the maximum number of shares that may yet be purchased on the open market under our plans or programs: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Average</w:t>
            </w:r>
          </w:p>
        </w:tc>
        <w:tc>
          <w:tcPr>
            <w:tcW w:w="1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Purchased as Part of Publicly</w:t>
            </w:r>
          </w:p>
        </w:tc>
        <w:tc>
          <w:tcPr>
            <w:tcW w:w="1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203"/>
        </w:trPr>
        <w:tc>
          <w:tcPr>
            <w:tcW w:w="4180" w:type="dxa"/>
            <w:vAlign w:val="bottom"/>
            <w:gridSpan w:val="2"/>
            <w:vMerge w:val="continue"/>
          </w:tcPr>
          <w:p>
            <w:pPr>
              <w:spacing w:after="0"/>
              <w:rPr>
                <w:sz w:val="17"/>
                <w:szCs w:val="17"/>
                <w:color w:val="auto"/>
              </w:rPr>
            </w:pPr>
          </w:p>
        </w:tc>
        <w:tc>
          <w:tcPr>
            <w:tcW w:w="1440" w:type="dxa"/>
            <w:vAlign w:val="bottom"/>
          </w:tcPr>
          <w:p>
            <w:pPr>
              <w:jc w:val="right"/>
              <w:ind w:right="16"/>
              <w:spacing w:after="0" w:line="202" w:lineRule="exact"/>
              <w:rPr>
                <w:sz w:val="20"/>
                <w:szCs w:val="20"/>
                <w:color w:val="auto"/>
              </w:rPr>
            </w:pPr>
            <w:r>
              <w:rPr>
                <w:rFonts w:ascii="Arial" w:cs="Arial" w:eastAsia="Arial" w:hAnsi="Arial"/>
                <w:sz w:val="14"/>
                <w:szCs w:val="14"/>
                <w:b w:val="1"/>
                <w:bCs w:val="1"/>
                <w:color w:val="auto"/>
                <w:w w:val="93"/>
              </w:rPr>
              <w:t xml:space="preserve">Shares Purchased </w:t>
            </w:r>
            <w:r>
              <w:rPr>
                <w:rFonts w:ascii="Arial" w:cs="Arial" w:eastAsia="Arial" w:hAnsi="Arial"/>
                <w:sz w:val="18"/>
                <w:szCs w:val="18"/>
                <w:b w:val="1"/>
                <w:bCs w:val="1"/>
                <w:color w:val="auto"/>
                <w:w w:val="93"/>
                <w:vertAlign w:val="superscript"/>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Under the Plans or Programs </w:t>
            </w:r>
            <w:r>
              <w:rPr>
                <w:rFonts w:ascii="Arial" w:cs="Arial" w:eastAsia="Arial" w:hAnsi="Arial"/>
                <w:sz w:val="9"/>
                <w:szCs w:val="9"/>
                <w:b w:val="1"/>
                <w:bCs w:val="1"/>
                <w:color w:val="auto"/>
                <w:w w:val="92"/>
              </w:rPr>
              <w:t>(2)</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2023 - July 31, 2023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August 1, 2023 - August 31, 2023</w:t>
            </w:r>
          </w:p>
        </w:tc>
        <w:tc>
          <w:tcPr>
            <w:tcW w:w="1440" w:type="dxa"/>
            <w:vAlign w:val="bottom"/>
          </w:tcPr>
          <w:p>
            <w:pPr>
              <w:jc w:val="right"/>
              <w:spacing w:after="0"/>
              <w:rPr>
                <w:sz w:val="20"/>
                <w:szCs w:val="20"/>
                <w:color w:val="auto"/>
              </w:rPr>
            </w:pPr>
            <w:r>
              <w:rPr>
                <w:rFonts w:ascii="Arial" w:cs="Arial" w:eastAsia="Arial" w:hAnsi="Arial"/>
                <w:sz w:val="18"/>
                <w:szCs w:val="18"/>
                <w:color w:val="auto"/>
              </w:rPr>
              <w:t>2,963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1840" w:type="dxa"/>
            <w:vAlign w:val="bottom"/>
          </w:tcPr>
          <w:p>
            <w:pPr>
              <w:ind w:left="1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40" w:type="dxa"/>
            <w:vAlign w:val="bottom"/>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2023 - September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9"/>
                <w:szCs w:val="19"/>
                <w:color w:val="auto"/>
              </w:rPr>
            </w:pPr>
          </w:p>
        </w:tc>
        <w:tc>
          <w:tcPr>
            <w:tcW w:w="184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hanging="328"/>
        <w:spacing w:after="0" w:line="227"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Of the repurchases in July and August, 362 and 2,963 shares, respectively, represent common shares of the Company that were owned and tendered by employees to satisfy tax withholding obligations in connection with the vesting of restricted shares.</w:t>
      </w:r>
    </w:p>
    <w:p>
      <w:pPr>
        <w:jc w:val="both"/>
        <w:ind w:left="660" w:hanging="328"/>
        <w:spacing w:after="0" w:line="237"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On October 26, 2023, our Board approved a new share repurchase program with an effective date of November 7, 2023 (the "October 2023 Program"). Pursuant to the October 2023 Program, we are authorized to repurchase up to 1,000,000 shares of our common stock. Per the terms of the October 2023 Program, we may utilize various methods to effect the repurchases, including open market repurchases, negotiated block transactions, accelerated share repurchases or open market solicitations for shares, some or all of which could be effected through Rule 10b5-1 plans.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September 30, 2023, no director or officer (as defined in Rule 16a-1(f) promulgated under Exchange Act)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20" w:type="dxa"/>
            <w:vAlign w:val="bottom"/>
            <w:gridSpan w:val="3"/>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31.1</w:t>
            </w:r>
          </w:p>
        </w:tc>
        <w:tc>
          <w:tcPr>
            <w:tcW w:w="94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3"/>
              </w:rPr>
              <w:t>Rule 13a-14(a) Certifications of Paul D. Arling, Chief Executive Officer (principal executive officer) of Universal Electronics Inc.</w:t>
            </w:r>
          </w:p>
        </w:tc>
        <w:tc>
          <w:tcPr>
            <w:tcW w:w="280" w:type="dxa"/>
            <w:vAlign w:val="bottom"/>
            <w:gridSpan w:val="2"/>
          </w:tcPr>
          <w:p>
            <w:pPr>
              <w:spacing w:after="0"/>
              <w:rPr>
                <w:sz w:val="24"/>
                <w:szCs w:val="24"/>
                <w:color w:val="auto"/>
              </w:rPr>
            </w:pPr>
          </w:p>
        </w:tc>
      </w:tr>
      <w:tr>
        <w:trPr>
          <w:trHeight w:val="264"/>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31.2</w:t>
            </w:r>
          </w:p>
        </w:tc>
        <w:tc>
          <w:tcPr>
            <w:tcW w:w="9680" w:type="dxa"/>
            <w:vAlign w:val="bottom"/>
            <w:gridSpan w:val="4"/>
          </w:tcPr>
          <w:p>
            <w:pPr>
              <w:spacing w:after="0"/>
              <w:rPr>
                <w:sz w:val="20"/>
                <w:szCs w:val="20"/>
                <w:color w:val="auto"/>
              </w:rPr>
            </w:pPr>
            <w:r>
              <w:rPr>
                <w:rFonts w:ascii="Arial" w:cs="Arial" w:eastAsia="Arial" w:hAnsi="Arial"/>
                <w:sz w:val="18"/>
                <w:szCs w:val="18"/>
                <w:color w:val="0000FF"/>
                <w:w w:val="96"/>
              </w:rPr>
              <w:t>Rule 13a-14(a) Certifications of Bryan M. Hackworth, Chief Financial Officer (principal financial officer and principal accounting</w:t>
            </w:r>
          </w:p>
        </w:tc>
      </w:tr>
      <w:tr>
        <w:trPr>
          <w:trHeight w:val="155"/>
        </w:trPr>
        <w:tc>
          <w:tcPr>
            <w:tcW w:w="1380" w:type="dxa"/>
            <w:vAlign w:val="bottom"/>
          </w:tcPr>
          <w:p>
            <w:pPr>
              <w:spacing w:after="0"/>
              <w:rPr>
                <w:sz w:val="13"/>
                <w:szCs w:val="13"/>
                <w:color w:val="auto"/>
              </w:rPr>
            </w:pPr>
          </w:p>
        </w:tc>
        <w:tc>
          <w:tcPr>
            <w:tcW w:w="26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3"/>
              </w:rPr>
              <w:t>officer) of Universal Electronics Inc.</w:t>
            </w:r>
          </w:p>
        </w:tc>
        <w:tc>
          <w:tcPr>
            <w:tcW w:w="70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94" w:lineRule="exact"/>
        <w:rPr>
          <w:sz w:val="20"/>
          <w:szCs w:val="20"/>
          <w:color w:val="auto"/>
        </w:rPr>
      </w:pPr>
    </w:p>
    <w:p>
      <w:pPr>
        <w:jc w:val="both"/>
        <w:ind w:left="1540" w:hanging="1372"/>
        <w:spacing w:after="0" w:line="229"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FF"/>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5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Instance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300" w:type="dxa"/>
            <w:vAlign w:val="bottom"/>
          </w:tcPr>
          <w:p>
            <w:pPr>
              <w:ind w:left="34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tcPr>
          <w:p>
            <w:pPr>
              <w:ind w:left="34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300" w:type="dxa"/>
            <w:vAlign w:val="bottom"/>
          </w:tcPr>
          <w:p>
            <w:pPr>
              <w:ind w:left="34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53" w:lineRule="exact"/>
        <w:rPr>
          <w:sz w:val="20"/>
          <w:szCs w:val="20"/>
          <w:color w:val="auto"/>
        </w:rPr>
      </w:pPr>
    </w:p>
    <w:p>
      <w:pPr>
        <w:ind w:left="1540" w:hanging="1372"/>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color w:val="auto"/>
              </w:rPr>
              <w:t>Dated:   November 7, 2023</w:t>
            </w:r>
          </w:p>
        </w:tc>
        <w:tc>
          <w:tcPr>
            <w:tcW w:w="7460" w:type="dxa"/>
            <w:vAlign w:val="bottom"/>
            <w:gridSpan w:val="2"/>
          </w:tcPr>
          <w:p>
            <w:pPr>
              <w:ind w:left="1680"/>
              <w:spacing w:after="0"/>
              <w:rPr>
                <w:sz w:val="20"/>
                <w:szCs w:val="20"/>
                <w:color w:val="auto"/>
              </w:rPr>
            </w:pPr>
            <w:r>
              <w:rPr>
                <w:rFonts w:ascii="Arial" w:cs="Arial" w:eastAsia="Arial" w:hAnsi="Arial"/>
                <w:sz w:val="18"/>
                <w:szCs w:val="18"/>
                <w:b w:val="1"/>
                <w:bCs w:val="1"/>
                <w:color w:val="auto"/>
              </w:rPr>
              <w:t>UNIVERSAL ELECTRONICS INC.</w:t>
            </w:r>
          </w:p>
        </w:tc>
      </w:tr>
      <w:tr>
        <w:trPr>
          <w:trHeight w:val="283"/>
        </w:trPr>
        <w:tc>
          <w:tcPr>
            <w:tcW w:w="3720" w:type="dxa"/>
            <w:vAlign w:val="bottom"/>
          </w:tcPr>
          <w:p>
            <w:pPr>
              <w:spacing w:after="0"/>
              <w:rPr>
                <w:sz w:val="24"/>
                <w:szCs w:val="24"/>
                <w:color w:val="auto"/>
              </w:rPr>
            </w:pPr>
          </w:p>
        </w:tc>
        <w:tc>
          <w:tcPr>
            <w:tcW w:w="2400" w:type="dxa"/>
            <w:vAlign w:val="bottom"/>
          </w:tcPr>
          <w:p>
            <w:pPr>
              <w:ind w:left="16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22"/>
        </w:trPr>
        <w:tc>
          <w:tcPr>
            <w:tcW w:w="37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37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30"/>
        </w:trPr>
        <w:tc>
          <w:tcPr>
            <w:tcW w:w="37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firstLine="154"/>
        <w:spacing w:after="0" w:line="308" w:lineRule="auto"/>
        <w:tabs>
          <w:tab w:leader="none" w:pos="747"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340" w:firstLine="154"/>
        <w:spacing w:after="0" w:line="342" w:lineRule="auto"/>
        <w:tabs>
          <w:tab w:leader="none" w:pos="716"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firstLine="154"/>
        <w:spacing w:after="0" w:line="277" w:lineRule="auto"/>
        <w:tabs>
          <w:tab w:leader="none" w:pos="70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firstLine="154"/>
        <w:spacing w:after="0" w:line="308" w:lineRule="auto"/>
        <w:tabs>
          <w:tab w:leader="none" w:pos="747"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340" w:firstLine="154"/>
        <w:spacing w:after="0" w:line="334" w:lineRule="auto"/>
        <w:tabs>
          <w:tab w:leader="none" w:pos="716"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48"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firstLine="154"/>
        <w:spacing w:after="0" w:line="277" w:lineRule="auto"/>
        <w:tabs>
          <w:tab w:leader="none" w:pos="70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ind w:left="20"/>
        <w:spacing w:after="0" w:line="203" w:lineRule="auto"/>
        <w:rPr>
          <w:sz w:val="20"/>
          <w:szCs w:val="20"/>
          <w:color w:val="auto"/>
        </w:rPr>
      </w:pPr>
      <w:r>
        <w:rPr>
          <w:rFonts w:ascii="Arial" w:cs="Arial" w:eastAsia="Arial" w:hAnsi="Arial"/>
          <w:sz w:val="18"/>
          <w:szCs w:val="18"/>
          <w:color w:val="auto"/>
        </w:rPr>
        <w:t>(principal financial officer</w:t>
      </w:r>
    </w:p>
    <w:p>
      <w:pPr>
        <w:ind w:left="2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2023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November 7, 2023</w:t>
            </w:r>
          </w:p>
        </w:tc>
        <w:tc>
          <w:tcPr>
            <w:tcW w:w="6080" w:type="dxa"/>
            <w:vAlign w:val="bottom"/>
            <w:gridSpan w:val="2"/>
          </w:tcPr>
          <w:p>
            <w:pPr>
              <w:ind w:left="2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D. Arling</w:t>
            </w:r>
          </w:p>
        </w:tc>
      </w:tr>
      <w:tr>
        <w:trPr>
          <w:trHeight w:val="222"/>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D. Arling</w:t>
            </w:r>
          </w:p>
        </w:tc>
      </w:tr>
      <w:tr>
        <w:trPr>
          <w:trHeight w:val="230"/>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9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4960" w:type="dxa"/>
            <w:vAlign w:val="bottom"/>
          </w:tcPr>
          <w:p>
            <w:pPr>
              <w:spacing w:after="0"/>
              <w:rPr>
                <w:sz w:val="24"/>
                <w:szCs w:val="24"/>
                <w:color w:val="auto"/>
              </w:rPr>
            </w:pPr>
          </w:p>
        </w:tc>
        <w:tc>
          <w:tcPr>
            <w:tcW w:w="6080" w:type="dxa"/>
            <w:vAlign w:val="bottom"/>
            <w:gridSpan w:val="2"/>
          </w:tcPr>
          <w:p>
            <w:pPr>
              <w:ind w:left="2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M. Hackworth</w:t>
            </w:r>
          </w:p>
        </w:tc>
      </w:tr>
      <w:tr>
        <w:trPr>
          <w:trHeight w:val="222"/>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49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49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2"/>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32"/>
    </w:lvl>
  </w:abstractNum>
  <w:abstractNum w:abstractNumId="20">
    <w:nsid w:val="721DA317"/>
    <w:multiLevelType w:val="hybridMultilevel"/>
    <w:lvl w:ilvl="0">
      <w:lvlJc w:val="left"/>
      <w:lvlText w:val="%1"/>
      <w:numFmt w:val="decimal"/>
      <w:start w:val="104"/>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2023-11-07T12:52:43Z</dcterms:created>
  <dcterms:modified xsi:type="dcterms:W3CDTF">2023-11-07T12:52:43Z</dcterms:modified>
</cp:coreProperties>
</file>