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86"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54" w:lineRule="exact"/>
        <w:rPr>
          <w:sz w:val="24"/>
          <w:szCs w:val="24"/>
          <w:color w:val="auto"/>
        </w:rPr>
      </w:pPr>
    </w:p>
    <w:p>
      <w:pPr>
        <w:ind w:left="720" w:right="20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8" w:lineRule="exact"/>
        <w:rPr>
          <w:sz w:val="24"/>
          <w:szCs w:val="24"/>
          <w:color w:val="auto"/>
        </w:rPr>
      </w:pPr>
    </w:p>
    <w:p>
      <w:pPr>
        <w:ind w:left="3840"/>
        <w:spacing w:after="0"/>
        <w:rPr>
          <w:sz w:val="20"/>
          <w:szCs w:val="20"/>
          <w:color w:val="auto"/>
        </w:rPr>
      </w:pPr>
      <w:r>
        <w:rPr>
          <w:rFonts w:ascii="Arial" w:cs="Arial" w:eastAsia="Arial" w:hAnsi="Arial"/>
          <w:sz w:val="22"/>
          <w:szCs w:val="22"/>
          <w:b w:val="1"/>
          <w:bCs w:val="1"/>
          <w:color w:val="auto"/>
        </w:rPr>
        <w:t>For the quarterly period ended June 30, 2015</w:t>
      </w:r>
    </w:p>
    <w:p>
      <w:pPr>
        <w:spacing w:after="0" w:line="85" w:lineRule="exact"/>
        <w:rPr>
          <w:sz w:val="24"/>
          <w:szCs w:val="24"/>
          <w:color w:val="auto"/>
        </w:rPr>
      </w:pPr>
    </w:p>
    <w:p>
      <w:pPr>
        <w:ind w:left="5560"/>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8" w:lineRule="exact"/>
        <w:rPr>
          <w:sz w:val="24"/>
          <w:szCs w:val="24"/>
          <w:color w:val="auto"/>
        </w:rPr>
      </w:pPr>
    </w:p>
    <w:p>
      <w:pPr>
        <w:ind w:left="440"/>
        <w:spacing w:after="0"/>
        <w:tabs>
          <w:tab w:leader="none" w:pos="386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0-21044</w:t>
      </w:r>
    </w:p>
    <w:p>
      <w:pPr>
        <w:spacing w:after="0" w:line="71"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UNIVERSAL ELECTRONICS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40"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00" w:type="dxa"/>
            <w:vAlign w:val="bottom"/>
          </w:tcPr>
          <w:p>
            <w:pPr>
              <w:jc w:val="right"/>
              <w:ind w:right="39"/>
              <w:spacing w:after="0"/>
              <w:rPr>
                <w:sz w:val="20"/>
                <w:szCs w:val="20"/>
                <w:color w:val="auto"/>
              </w:rPr>
            </w:pPr>
            <w:r>
              <w:rPr>
                <w:rFonts w:ascii="Arial" w:cs="Arial" w:eastAsia="Arial" w:hAnsi="Arial"/>
                <w:sz w:val="18"/>
                <w:szCs w:val="18"/>
                <w:b w:val="1"/>
                <w:bCs w:val="1"/>
                <w:color w:val="auto"/>
              </w:rPr>
              <w:t>33-0204817</w:t>
            </w:r>
          </w:p>
        </w:tc>
      </w:tr>
      <w:tr>
        <w:trPr>
          <w:trHeight w:val="180"/>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5100" w:type="dxa"/>
            <w:vAlign w:val="bottom"/>
          </w:tcPr>
          <w:p>
            <w:pPr>
              <w:jc w:val="center"/>
              <w:ind w:left="389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 or Organization)</w:t>
            </w:r>
          </w:p>
        </w:tc>
        <w:tc>
          <w:tcPr>
            <w:tcW w:w="5100" w:type="dxa"/>
            <w:vAlign w:val="bottom"/>
          </w:tcPr>
          <w:p>
            <w:pPr>
              <w:jc w:val="center"/>
              <w:ind w:left="3899"/>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89"/>
              </w:rPr>
              <w:t>201 E. Sandpointe Avenue, 8</w:t>
            </w:r>
            <w:r>
              <w:rPr>
                <w:rFonts w:ascii="Arial" w:cs="Arial" w:eastAsia="Arial" w:hAnsi="Arial"/>
                <w:sz w:val="25"/>
                <w:szCs w:val="25"/>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5100" w:type="dxa"/>
            <w:vAlign w:val="bottom"/>
          </w:tcPr>
          <w:p>
            <w:pPr>
              <w:spacing w:after="0"/>
              <w:rPr>
                <w:sz w:val="24"/>
                <w:szCs w:val="24"/>
                <w:color w:val="auto"/>
              </w:rPr>
            </w:pPr>
          </w:p>
        </w:tc>
      </w:tr>
      <w:tr>
        <w:trPr>
          <w:trHeight w:val="234"/>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3"/>
              </w:rPr>
              <w:t>Santa Ana, California</w:t>
            </w:r>
          </w:p>
        </w:tc>
        <w:tc>
          <w:tcPr>
            <w:tcW w:w="5100" w:type="dxa"/>
            <w:vAlign w:val="bottom"/>
          </w:tcPr>
          <w:p>
            <w:pPr>
              <w:jc w:val="right"/>
              <w:ind w:right="239"/>
              <w:spacing w:after="0"/>
              <w:rPr>
                <w:sz w:val="20"/>
                <w:szCs w:val="20"/>
                <w:color w:val="auto"/>
              </w:rPr>
            </w:pPr>
            <w:r>
              <w:rPr>
                <w:rFonts w:ascii="Arial" w:cs="Arial" w:eastAsia="Arial" w:hAnsi="Arial"/>
                <w:sz w:val="18"/>
                <w:szCs w:val="18"/>
                <w:b w:val="1"/>
                <w:bCs w:val="1"/>
                <w:color w:val="auto"/>
              </w:rPr>
              <w:t>92707</w:t>
            </w:r>
          </w:p>
        </w:tc>
      </w:tr>
      <w:tr>
        <w:trPr>
          <w:trHeight w:val="218"/>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100" w:type="dxa"/>
            <w:vAlign w:val="bottom"/>
          </w:tcPr>
          <w:p>
            <w:pPr>
              <w:jc w:val="center"/>
              <w:ind w:left="3919"/>
              <w:spacing w:after="0"/>
              <w:rPr>
                <w:sz w:val="20"/>
                <w:szCs w:val="20"/>
                <w:color w:val="auto"/>
              </w:rPr>
            </w:pPr>
            <w:r>
              <w:rPr>
                <w:rFonts w:ascii="Arial" w:cs="Arial" w:eastAsia="Arial" w:hAnsi="Arial"/>
                <w:sz w:val="14"/>
                <w:szCs w:val="14"/>
                <w:b w:val="1"/>
                <w:bCs w:val="1"/>
                <w:color w:val="auto"/>
                <w:w w:val="95"/>
              </w:rPr>
              <w:t>(Zip Code)</w:t>
            </w:r>
          </w:p>
        </w:tc>
      </w:tr>
      <w:tr>
        <w:trPr>
          <w:trHeight w:val="390"/>
        </w:trPr>
        <w:tc>
          <w:tcPr>
            <w:tcW w:w="7880" w:type="dxa"/>
            <w:vAlign w:val="bottom"/>
            <w:gridSpan w:val="2"/>
          </w:tcPr>
          <w:p>
            <w:pPr>
              <w:jc w:val="center"/>
              <w:ind w:left="738"/>
              <w:spacing w:after="0"/>
              <w:rPr>
                <w:sz w:val="20"/>
                <w:szCs w:val="20"/>
                <w:color w:val="auto"/>
              </w:rPr>
            </w:pPr>
            <w:r>
              <w:rPr>
                <w:rFonts w:ascii="Arial" w:cs="Arial" w:eastAsia="Arial" w:hAnsi="Arial"/>
                <w:sz w:val="18"/>
                <w:szCs w:val="18"/>
                <w:b w:val="1"/>
                <w:bCs w:val="1"/>
                <w:color w:val="auto"/>
                <w:w w:val="89"/>
              </w:rPr>
              <w:t>Registrant's telephone number, including area code: (714) 918-9500</w:t>
            </w:r>
          </w:p>
        </w:tc>
      </w:tr>
      <w:tr>
        <w:trPr>
          <w:trHeight w:val="284"/>
        </w:trPr>
        <w:tc>
          <w:tcPr>
            <w:tcW w:w="2780" w:type="dxa"/>
            <w:vAlign w:val="bottom"/>
          </w:tcPr>
          <w:p>
            <w:pPr>
              <w:spacing w:after="0"/>
              <w:rPr>
                <w:sz w:val="24"/>
                <w:szCs w:val="24"/>
                <w:color w:val="auto"/>
              </w:rPr>
            </w:pPr>
          </w:p>
        </w:tc>
        <w:tc>
          <w:tcPr>
            <w:tcW w:w="5100" w:type="dxa"/>
            <w:vAlign w:val="bottom"/>
          </w:tcPr>
          <w:p>
            <w:pPr>
              <w:jc w:val="right"/>
              <w:ind w:right="1939"/>
              <w:spacing w:after="0"/>
              <w:rPr>
                <w:sz w:val="20"/>
                <w:szCs w:val="20"/>
                <w:color w:val="auto"/>
              </w:rPr>
            </w:pPr>
            <w:r>
              <w:rPr>
                <w:rFonts w:ascii="Arial" w:cs="Arial" w:eastAsia="Arial" w:hAnsi="Arial"/>
                <w:sz w:val="18"/>
                <w:szCs w:val="18"/>
                <w:color w:val="auto"/>
                <w:w w:val="89"/>
              </w:rPr>
              <w:t>__________________________________</w:t>
            </w:r>
          </w:p>
        </w:tc>
      </w:tr>
    </w:tbl>
    <w:p>
      <w:pPr>
        <w:spacing w:after="0" w:line="148" w:lineRule="exact"/>
        <w:rPr>
          <w:sz w:val="24"/>
          <w:szCs w:val="24"/>
          <w:color w:val="auto"/>
        </w:rPr>
      </w:pPr>
    </w:p>
    <w:p>
      <w:pPr>
        <w:ind w:right="480"/>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28"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any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74" w:right="239" w:bottom="1440" w:gutter="0" w:footer="0" w:header="0"/>
        </w:sect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660" w:space="540"/>
            <w:col w:w="5560" w:space="720"/>
            <w:col w:w="1880" w:space="720"/>
            <w:col w:w="340"/>
          </w:cols>
          <w:pgMar w:left="240" w:top="274"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5">
            <w:col w:w="1560" w:space="640"/>
            <w:col w:w="180" w:space="80"/>
            <w:col w:w="5300" w:space="720"/>
            <w:col w:w="1960" w:space="640"/>
            <w:col w:w="340"/>
          </w:cols>
          <w:pgMar w:left="240" w:top="274"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4" w:lineRule="exact"/>
        <w:rPr>
          <w:sz w:val="24"/>
          <w:szCs w:val="24"/>
          <w:color w:val="auto"/>
        </w:rPr>
      </w:pPr>
    </w:p>
    <w:p>
      <w:pPr>
        <w:sectPr>
          <w:pgSz w:w="11900" w:h="16838" w:orient="portrait"/>
          <w:cols w:equalWidth="0" w:num="5">
            <w:col w:w="7440" w:space="160"/>
            <w:col w:w="260" w:space="100"/>
            <w:col w:w="160" w:space="180"/>
            <w:col w:w="220" w:space="80"/>
            <w:col w:w="2820"/>
          </w:cols>
          <w:pgMar w:left="240" w:top="274" w:right="239" w:bottom="1440" w:gutter="0" w:footer="0" w:header="0"/>
          <w:type w:val="continuous"/>
        </w:sectPr>
      </w:pPr>
    </w:p>
    <w:p>
      <w:pPr>
        <w:ind w:right="34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15,180,690 shares of Common Stock, par value $0.01 per share, of the registrant were outstanding on August 4, 2015.</w:t>
      </w:r>
    </w:p>
    <w:p>
      <w:pPr>
        <w:sectPr>
          <w:pgSz w:w="11900" w:h="16838" w:orient="portrait"/>
          <w:cols w:equalWidth="0" w:num="1">
            <w:col w:w="11420"/>
          </w:cols>
          <w:pgMar w:left="240" w:top="27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80" w:type="dxa"/>
            <w:vAlign w:val="bottom"/>
            <w:gridSpan w:val="3"/>
          </w:tcPr>
          <w:p>
            <w:pPr>
              <w:jc w:val="center"/>
              <w:ind w:right="1440"/>
              <w:spacing w:after="0"/>
              <w:rPr>
                <w:sz w:val="20"/>
                <w:szCs w:val="20"/>
                <w:color w:val="auto"/>
              </w:rPr>
            </w:pPr>
            <w:r>
              <w:rPr>
                <w:rFonts w:ascii="Arial" w:cs="Arial" w:eastAsia="Arial" w:hAnsi="Arial"/>
                <w:sz w:val="18"/>
                <w:szCs w:val="18"/>
                <w:b w:val="1"/>
                <w:bCs w:val="1"/>
                <w:color w:val="auto"/>
              </w:rPr>
              <w:t>UNIVERSAL ELECTRONICS INC.</w:t>
            </w: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940" w:type="dxa"/>
            <w:vAlign w:val="bottom"/>
            <w:gridSpan w:val="2"/>
          </w:tcPr>
          <w:p>
            <w:pPr>
              <w:jc w:val="center"/>
              <w:ind w:right="2400"/>
              <w:spacing w:after="0"/>
              <w:rPr>
                <w:sz w:val="20"/>
                <w:szCs w:val="20"/>
                <w:color w:val="auto"/>
              </w:rPr>
            </w:pPr>
            <w:r>
              <w:rPr>
                <w:rFonts w:ascii="Arial" w:cs="Arial" w:eastAsia="Arial" w:hAnsi="Arial"/>
                <w:sz w:val="18"/>
                <w:szCs w:val="18"/>
                <w:b w:val="1"/>
                <w:bCs w:val="1"/>
                <w:color w:val="auto"/>
              </w:rPr>
              <w:t>INDEX</w:t>
            </w: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7"/>
        </w:trPr>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158"/>
        </w:trPr>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520" w:type="dxa"/>
            <w:vAlign w:val="bottom"/>
            <w:tcBorders>
              <w:bottom w:val="single" w:sz="8" w:color="auto"/>
            </w:tcBorders>
            <w:gridSpan w:val="3"/>
          </w:tcPr>
          <w:p>
            <w:pPr>
              <w:jc w:val="right"/>
              <w:spacing w:after="0" w:line="158" w:lineRule="exact"/>
              <w:rPr>
                <w:sz w:val="20"/>
                <w:szCs w:val="20"/>
                <w:color w:val="auto"/>
              </w:rPr>
            </w:pPr>
            <w:r>
              <w:rPr>
                <w:rFonts w:ascii="Arial" w:cs="Arial" w:eastAsia="Arial" w:hAnsi="Arial"/>
                <w:sz w:val="14"/>
                <w:szCs w:val="14"/>
                <w:b w:val="1"/>
                <w:bCs w:val="1"/>
                <w:color w:val="auto"/>
                <w:w w:val="94"/>
              </w:rPr>
              <w:t>Number</w:t>
            </w:r>
          </w:p>
        </w:tc>
      </w:tr>
      <w:tr>
        <w:trPr>
          <w:trHeight w:val="223"/>
        </w:trPr>
        <w:tc>
          <w:tcPr>
            <w:tcW w:w="8840" w:type="dxa"/>
            <w:vAlign w:val="bottom"/>
            <w:gridSpan w:val="18"/>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2260" w:type="dxa"/>
            <w:vAlign w:val="bottom"/>
            <w:gridSpan w:val="4"/>
          </w:tcPr>
          <w:p>
            <w:pPr>
              <w:jc w:val="right"/>
              <w:spacing w:after="0"/>
              <w:rPr>
                <w:rFonts w:ascii="Arial" w:cs="Arial" w:eastAsia="Arial" w:hAnsi="Arial"/>
                <w:sz w:val="18"/>
                <w:szCs w:val="18"/>
                <w:color w:val="0000EE"/>
              </w:rPr>
            </w:pPr>
            <w:hyperlink w:anchor="page2">
              <w:r>
                <w:rPr>
                  <w:rFonts w:ascii="Arial" w:cs="Arial" w:eastAsia="Arial" w:hAnsi="Arial"/>
                  <w:sz w:val="18"/>
                  <w:szCs w:val="18"/>
                  <w:color w:val="0000EE"/>
                </w:rPr>
                <w:t>3</w:t>
              </w:r>
            </w:hyperlink>
          </w:p>
        </w:tc>
      </w:tr>
      <w:tr>
        <w:trPr>
          <w:trHeight w:val="20"/>
        </w:trPr>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88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Consolidated Financial Statements (Unaudited)</w:t>
              </w:r>
            </w:hyperlink>
          </w:p>
        </w:tc>
        <w:tc>
          <w:tcPr>
            <w:tcW w:w="2260" w:type="dxa"/>
            <w:vAlign w:val="bottom"/>
            <w:gridSpan w:val="4"/>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50"/>
        </w:trPr>
        <w:tc>
          <w:tcPr>
            <w:tcW w:w="240" w:type="dxa"/>
            <w:vAlign w:val="bottom"/>
            <w:tcBorders>
              <w:top w:val="single" w:sz="8" w:color="0000EE"/>
            </w:tcBorders>
          </w:tcPr>
          <w:p>
            <w:pPr>
              <w:spacing w:after="0"/>
              <w:rPr>
                <w:sz w:val="21"/>
                <w:szCs w:val="21"/>
                <w:color w:val="auto"/>
              </w:rPr>
            </w:pPr>
          </w:p>
        </w:tc>
        <w:tc>
          <w:tcPr>
            <w:tcW w:w="21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w:t>
              </w:r>
            </w:hyperlink>
          </w:p>
        </w:tc>
        <w:tc>
          <w:tcPr>
            <w:tcW w:w="1620" w:type="dxa"/>
            <w:vAlign w:val="bottom"/>
            <w:tcBorders>
              <w:top w:val="single" w:sz="8" w:color="0000EE"/>
            </w:tcBorders>
            <w:gridSpan w:val="7"/>
          </w:tcPr>
          <w:p>
            <w:pPr>
              <w:spacing w:after="0"/>
              <w:rPr>
                <w:sz w:val="21"/>
                <w:szCs w:val="21"/>
                <w:color w:val="auto"/>
              </w:rPr>
            </w:pPr>
          </w:p>
        </w:tc>
        <w:tc>
          <w:tcPr>
            <w:tcW w:w="4880" w:type="dxa"/>
            <w:vAlign w:val="bottom"/>
            <w:gridSpan w:val="3"/>
          </w:tcPr>
          <w:p>
            <w:pPr>
              <w:spacing w:after="0"/>
              <w:rPr>
                <w:sz w:val="21"/>
                <w:szCs w:val="21"/>
                <w:color w:val="auto"/>
              </w:rPr>
            </w:pPr>
          </w:p>
        </w:tc>
        <w:tc>
          <w:tcPr>
            <w:tcW w:w="2160" w:type="dxa"/>
            <w:vAlign w:val="bottom"/>
            <w:gridSpan w:val="3"/>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240" w:type="dxa"/>
            <w:vAlign w:val="bottom"/>
          </w:tcPr>
          <w:p>
            <w:pPr>
              <w:spacing w:after="0"/>
              <w:rPr>
                <w:sz w:val="21"/>
                <w:szCs w:val="21"/>
                <w:color w:val="auto"/>
              </w:rPr>
            </w:pPr>
          </w:p>
        </w:tc>
        <w:tc>
          <w:tcPr>
            <w:tcW w:w="860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Income Statements</w:t>
              </w:r>
            </w:hyperlink>
          </w:p>
        </w:tc>
        <w:tc>
          <w:tcPr>
            <w:tcW w:w="2260" w:type="dxa"/>
            <w:vAlign w:val="bottom"/>
            <w:gridSpan w:val="4"/>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4</w:t>
              </w:r>
            </w:hyperlink>
          </w:p>
        </w:tc>
      </w:tr>
      <w:tr>
        <w:trPr>
          <w:trHeight w:val="20"/>
        </w:trPr>
        <w:tc>
          <w:tcPr>
            <w:tcW w:w="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860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Comprehensive Income Statements</w:t>
              </w:r>
            </w:hyperlink>
          </w:p>
        </w:tc>
        <w:tc>
          <w:tcPr>
            <w:tcW w:w="226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5</w:t>
              </w:r>
            </w:hyperlink>
          </w:p>
        </w:tc>
      </w:tr>
      <w:tr>
        <w:trPr>
          <w:trHeight w:val="250"/>
        </w:trPr>
        <w:tc>
          <w:tcPr>
            <w:tcW w:w="240" w:type="dxa"/>
            <w:vAlign w:val="bottom"/>
          </w:tcPr>
          <w:p>
            <w:pPr>
              <w:spacing w:after="0"/>
              <w:rPr>
                <w:sz w:val="21"/>
                <w:szCs w:val="21"/>
                <w:color w:val="auto"/>
              </w:rPr>
            </w:pPr>
          </w:p>
        </w:tc>
        <w:tc>
          <w:tcPr>
            <w:tcW w:w="3540" w:type="dxa"/>
            <w:vAlign w:val="bottom"/>
            <w:tcBorders>
              <w:top w:val="single" w:sz="8" w:color="0000EE"/>
            </w:tcBorders>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w:t>
              </w:r>
            </w:hyperlink>
          </w:p>
        </w:tc>
        <w:tc>
          <w:tcPr>
            <w:tcW w:w="5060" w:type="dxa"/>
            <w:vAlign w:val="bottom"/>
            <w:gridSpan w:val="4"/>
          </w:tcPr>
          <w:p>
            <w:pPr>
              <w:spacing w:after="0"/>
              <w:rPr>
                <w:sz w:val="21"/>
                <w:szCs w:val="21"/>
                <w:color w:val="auto"/>
              </w:rPr>
            </w:pPr>
          </w:p>
        </w:tc>
        <w:tc>
          <w:tcPr>
            <w:tcW w:w="2160" w:type="dxa"/>
            <w:vAlign w:val="bottom"/>
            <w:gridSpan w:val="3"/>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6</w:t>
              </w:r>
            </w:hyperlink>
          </w:p>
        </w:tc>
      </w:tr>
      <w:tr>
        <w:trPr>
          <w:trHeight w:val="20"/>
        </w:trPr>
        <w:tc>
          <w:tcPr>
            <w:tcW w:w="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860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Consolidated Financial Statements</w:t>
              </w:r>
            </w:hyperlink>
          </w:p>
        </w:tc>
        <w:tc>
          <w:tcPr>
            <w:tcW w:w="2260" w:type="dxa"/>
            <w:vAlign w:val="bottom"/>
            <w:gridSpan w:val="4"/>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7</w:t>
              </w:r>
            </w:hyperlink>
          </w:p>
        </w:tc>
      </w:tr>
      <w:tr>
        <w:trPr>
          <w:trHeight w:val="20"/>
        </w:trPr>
        <w:tc>
          <w:tcPr>
            <w:tcW w:w="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7000" w:type="dxa"/>
            <w:vAlign w:val="bottom"/>
            <w:gridSpan w:val="17"/>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Item 2. Management's Discussion and Analysis of Financial Condition and Results of Operations</w:t>
              </w:r>
            </w:hyperlink>
          </w:p>
        </w:tc>
        <w:tc>
          <w:tcPr>
            <w:tcW w:w="1840" w:type="dxa"/>
            <w:vAlign w:val="bottom"/>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21</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6"/>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Item 3. Quantitative and Qualitative Disclosures About Market Risk</w:t>
              </w:r>
            </w:hyperlink>
          </w:p>
        </w:tc>
        <w:tc>
          <w:tcPr>
            <w:tcW w:w="2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3940" w:type="dxa"/>
            <w:vAlign w:val="bottom"/>
            <w:tcBorders>
              <w:left w:val="single" w:sz="8" w:color="0000EE"/>
            </w:tcBorders>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320" w:type="dxa"/>
            <w:vAlign w:val="bottom"/>
            <w:gridSpan w:val="7"/>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Item 4. Controls and Procedures</w:t>
              </w:r>
            </w:hyperlink>
          </w:p>
        </w:tc>
        <w:tc>
          <w:tcPr>
            <w:tcW w:w="2580" w:type="dxa"/>
            <w:vAlign w:val="bottom"/>
            <w:gridSpan w:val="9"/>
          </w:tcPr>
          <w:p>
            <w:pPr>
              <w:spacing w:after="0"/>
              <w:rPr>
                <w:sz w:val="21"/>
                <w:szCs w:val="21"/>
                <w:color w:val="auto"/>
              </w:rPr>
            </w:pPr>
          </w:p>
        </w:tc>
        <w:tc>
          <w:tcPr>
            <w:tcW w:w="3940" w:type="dxa"/>
            <w:vAlign w:val="bottom"/>
            <w:gridSpan w:val="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28</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840" w:type="dxa"/>
            <w:vAlign w:val="bottom"/>
            <w:gridSpan w:val="18"/>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OTHER INFORMATION</w:t>
              </w:r>
            </w:hyperlink>
          </w:p>
        </w:tc>
        <w:tc>
          <w:tcPr>
            <w:tcW w:w="2260" w:type="dxa"/>
            <w:vAlign w:val="bottom"/>
            <w:gridSpan w:val="4"/>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760" w:type="dxa"/>
            <w:vAlign w:val="bottom"/>
            <w:gridSpan w:val="1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1. Legal Proceedings</w:t>
              </w:r>
            </w:hyperlink>
          </w:p>
        </w:tc>
        <w:tc>
          <w:tcPr>
            <w:tcW w:w="6080" w:type="dxa"/>
            <w:vAlign w:val="bottom"/>
            <w:gridSpan w:val="8"/>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20" w:type="dxa"/>
            <w:vAlign w:val="bottom"/>
            <w:gridSpan w:val="10"/>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880" w:type="dxa"/>
            <w:vAlign w:val="bottom"/>
            <w:gridSpan w:val="6"/>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1A. Risk Factors</w:t>
              </w:r>
            </w:hyperlink>
          </w:p>
        </w:tc>
        <w:tc>
          <w:tcPr>
            <w:tcW w:w="6960" w:type="dxa"/>
            <w:vAlign w:val="bottom"/>
            <w:gridSpan w:val="1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20" w:type="dxa"/>
            <w:vAlign w:val="bottom"/>
            <w:gridSpan w:val="11"/>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6"/>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Item 2. Unregistered Sales of Equity Securities and Use of Proceeds</w:t>
              </w:r>
            </w:hyperlink>
          </w:p>
        </w:tc>
        <w:tc>
          <w:tcPr>
            <w:tcW w:w="3940" w:type="dxa"/>
            <w:vAlign w:val="bottom"/>
            <w:gridSpan w:val="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760" w:type="dxa"/>
            <w:vAlign w:val="bottom"/>
            <w:gridSpan w:val="12"/>
            <w:shd w:val="clear" w:color="auto" w:fill="0000EE"/>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6"/>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6. Exhibits</w:t>
              </w:r>
            </w:hyperlink>
          </w:p>
        </w:tc>
        <w:tc>
          <w:tcPr>
            <w:tcW w:w="3940" w:type="dxa"/>
            <w:vAlign w:val="bottom"/>
            <w:gridSpan w:val="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29</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700" w:type="dxa"/>
            <w:vAlign w:val="bottom"/>
            <w:gridSpan w:val="14"/>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gridSpan w:val="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Signature</w:t>
              </w:r>
            </w:hyperlink>
          </w:p>
        </w:tc>
        <w:tc>
          <w:tcPr>
            <w:tcW w:w="7700" w:type="dxa"/>
            <w:vAlign w:val="bottom"/>
            <w:gridSpan w:val="14"/>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30</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60" w:type="dxa"/>
            <w:vAlign w:val="bottom"/>
            <w:gridSpan w:val="15"/>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80" w:type="dxa"/>
            <w:vAlign w:val="bottom"/>
            <w:gridSpan w:val="3"/>
          </w:tcPr>
          <w:p>
            <w:pPr>
              <w:spacing w:after="0"/>
              <w:rPr>
                <w:rFonts w:ascii="Arial" w:cs="Arial" w:eastAsia="Arial" w:hAnsi="Arial"/>
                <w:sz w:val="18"/>
                <w:szCs w:val="18"/>
                <w:color w:val="0000EE"/>
                <w:w w:val="93"/>
              </w:rPr>
            </w:pPr>
            <w:hyperlink w:anchor="page30">
              <w:r>
                <w:rPr>
                  <w:rFonts w:ascii="Arial" w:cs="Arial" w:eastAsia="Arial" w:hAnsi="Arial"/>
                  <w:sz w:val="18"/>
                  <w:szCs w:val="18"/>
                  <w:color w:val="0000EE"/>
                  <w:w w:val="93"/>
                </w:rPr>
                <w:t>Exhibit Index</w:t>
              </w:r>
            </w:hyperlink>
          </w:p>
        </w:tc>
        <w:tc>
          <w:tcPr>
            <w:tcW w:w="7860" w:type="dxa"/>
            <w:vAlign w:val="bottom"/>
            <w:gridSpan w:val="15"/>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31</w:t>
              </w:r>
            </w:hyperlink>
          </w:p>
        </w:tc>
      </w:tr>
      <w:tr>
        <w:trPr>
          <w:trHeight w:val="20"/>
        </w:trPr>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100"/>
          </w:cols>
          <w:pgMar w:left="280" w:top="121" w:right="51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share-related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p>
      <w:pPr>
        <w:jc w:val="right"/>
        <w:ind w:right="260"/>
        <w:spacing w:after="0"/>
        <w:tabs>
          <w:tab w:leader="none" w:pos="1140" w:val="left"/>
        </w:tabs>
        <w:rPr>
          <w:sz w:val="20"/>
          <w:szCs w:val="20"/>
          <w:color w:val="auto"/>
        </w:rPr>
      </w:pPr>
      <w:r>
        <w:rPr>
          <w:rFonts w:ascii="Arial" w:cs="Arial" w:eastAsia="Arial" w:hAnsi="Arial"/>
          <w:sz w:val="14"/>
          <w:szCs w:val="14"/>
          <w:b w:val="1"/>
          <w:bCs w:val="1"/>
          <w:color w:val="auto"/>
        </w:rPr>
        <w:t>June 30, 2015</w:t>
      </w:r>
      <w:r>
        <w:rPr>
          <w:sz w:val="20"/>
          <w:szCs w:val="20"/>
          <w:color w:val="auto"/>
        </w:rPr>
        <w:tab/>
      </w:r>
      <w:r>
        <w:rPr>
          <w:rFonts w:ascii="Arial" w:cs="Arial" w:eastAsia="Arial" w:hAnsi="Arial"/>
          <w:sz w:val="12"/>
          <w:szCs w:val="12"/>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50" w:lineRule="exact"/>
        <w:rPr>
          <w:sz w:val="20"/>
          <w:szCs w:val="20"/>
          <w:color w:val="auto"/>
        </w:rPr>
      </w:pPr>
    </w:p>
    <w:p>
      <w:pPr>
        <w:ind w:left="3640"/>
        <w:spacing w:after="0"/>
        <w:rPr>
          <w:sz w:val="20"/>
          <w:szCs w:val="20"/>
          <w:color w:val="auto"/>
        </w:rPr>
      </w:pPr>
      <w:r>
        <w:rPr>
          <w:rFonts w:ascii="Arial" w:cs="Arial" w:eastAsia="Arial" w:hAnsi="Arial"/>
          <w:sz w:val="16"/>
          <w:szCs w:val="16"/>
          <w:b w:val="1"/>
          <w:bCs w:val="1"/>
          <w:color w:val="auto"/>
        </w:rPr>
        <w:t>ASSETS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tabs>
          <w:tab w:leader="none" w:pos="7900" w:val="left"/>
        </w:tabs>
        <w:rPr>
          <w:sz w:val="20"/>
          <w:szCs w:val="20"/>
          <w:color w:val="auto"/>
        </w:rPr>
      </w:pPr>
      <w:r>
        <w:rPr>
          <w:rFonts w:ascii="Arial" w:cs="Arial" w:eastAsia="Arial" w:hAnsi="Arial"/>
          <w:sz w:val="16"/>
          <w:szCs w:val="16"/>
          <w:color w:val="auto"/>
        </w:rPr>
        <w:t>Cash and cash equivalents</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Inventories, net</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Income tax receivable</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Total current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Goodwill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income taxes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jc w:val="right"/>
        <w:ind w:right="200"/>
        <w:spacing w:after="0"/>
        <w:tabs>
          <w:tab w:leader="none" w:pos="260" w:val="left"/>
        </w:tabs>
        <w:rPr>
          <w:sz w:val="20"/>
          <w:szCs w:val="20"/>
          <w:color w:val="auto"/>
        </w:rPr>
      </w:pPr>
      <w:r>
        <w:rPr>
          <w:rFonts w:ascii="Arial" w:cs="Arial" w:eastAsia="Arial" w:hAnsi="Arial"/>
          <w:sz w:val="16"/>
          <w:szCs w:val="16"/>
          <w:color w:val="auto"/>
        </w:rPr>
        <w:t>Total assets</w:t>
      </w:r>
      <w:r>
        <w:rPr>
          <w:sz w:val="20"/>
          <w:szCs w:val="20"/>
          <w:color w:val="auto"/>
        </w:rPr>
        <w:tab/>
      </w:r>
      <w:r>
        <w:rPr>
          <w:rFonts w:ascii="Arial" w:cs="Arial" w:eastAsia="Arial" w:hAnsi="Arial"/>
          <w:sz w:val="14"/>
          <w:szCs w:val="14"/>
          <w:color w:val="auto"/>
        </w:rPr>
        <w:t>$</w:t>
      </w:r>
    </w:p>
    <w:p>
      <w:pPr>
        <w:spacing w:after="0" w:line="96" w:lineRule="exact"/>
        <w:rPr>
          <w:sz w:val="20"/>
          <w:szCs w:val="20"/>
          <w:color w:val="auto"/>
        </w:rPr>
      </w:pPr>
    </w:p>
    <w:p>
      <w:pPr>
        <w:ind w:left="2200"/>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w:t>
      </w:r>
    </w:p>
    <w:p>
      <w:pPr>
        <w:spacing w:after="0" w:line="86" w:lineRule="exact"/>
        <w:rPr>
          <w:sz w:val="20"/>
          <w:szCs w:val="20"/>
          <w:color w:val="auto"/>
        </w:rPr>
      </w:pPr>
    </w:p>
    <w:p>
      <w:pPr>
        <w:ind w:left="720"/>
        <w:spacing w:after="0"/>
        <w:tabs>
          <w:tab w:leader="none" w:pos="7900" w:val="left"/>
        </w:tabs>
        <w:rPr>
          <w:sz w:val="20"/>
          <w:szCs w:val="20"/>
          <w:color w:val="auto"/>
        </w:rPr>
      </w:pPr>
      <w:r>
        <w:rPr>
          <w:rFonts w:ascii="Arial" w:cs="Arial" w:eastAsia="Arial" w:hAnsi="Arial"/>
          <w:sz w:val="16"/>
          <w:szCs w:val="16"/>
          <w:color w:val="auto"/>
        </w:rPr>
        <w:t>Accounts payable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Line of credit</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Accrued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Accrued sales discounts, rebates and royalties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Accrued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Deferred income taxes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Other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Total current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Deferred income taxes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Income tax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Other long-term liabilities</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Preferred stock, $0.01 par value, 5,000,000 shares authorized; none issued or outstanding</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Common stock, $0.01 par value, 50,000,000 shares authorized; 23,046,634 and 22,909,884 shares issued on June</w:t>
      </w:r>
    </w:p>
    <w:p>
      <w:pPr>
        <w:spacing w:after="0" w:line="4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30, 2015 and December 31, 2014,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Paid-in capital</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291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336" w:lineRule="exact"/>
        <w:rPr>
          <w:sz w:val="20"/>
          <w:szCs w:val="20"/>
          <w:color w:val="auto"/>
        </w:rPr>
      </w:pPr>
    </w:p>
    <w:p>
      <w:pPr>
        <w:ind w:left="380" w:right="3000"/>
        <w:spacing w:after="0" w:line="288" w:lineRule="auto"/>
        <w:rPr>
          <w:sz w:val="20"/>
          <w:szCs w:val="20"/>
          <w:color w:val="auto"/>
        </w:rPr>
      </w:pPr>
      <w:r>
        <w:rPr>
          <w:rFonts w:ascii="Arial" w:cs="Arial" w:eastAsia="Arial" w:hAnsi="Arial"/>
          <w:sz w:val="16"/>
          <w:szCs w:val="16"/>
          <w:color w:val="auto"/>
        </w:rPr>
        <w:t>Less cost of common stock in treasury, 7,657,183 and 7,008,475 shares on June 30, 2015 and December 31, 2014,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82,162</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112,521</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103,624</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97,989</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109,121</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97,474</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6,942</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6,856</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71</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77</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5,160</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5,048</w:t>
            </w:r>
          </w:p>
        </w:tc>
      </w:tr>
      <w:tr>
        <w:trPr>
          <w:trHeight w:val="33"/>
        </w:trPr>
        <w:tc>
          <w:tcPr>
            <w:tcW w:w="8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307,080</w:t>
            </w:r>
          </w:p>
        </w:tc>
        <w:tc>
          <w:tcPr>
            <w:tcW w:w="5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319,965</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84,038</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76,135</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30,593</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30,739</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23,761</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24,614</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6,747</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6,146</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5,706</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5,471</w:t>
            </w:r>
          </w:p>
        </w:tc>
      </w:tr>
      <w:tr>
        <w:trPr>
          <w:trHeight w:val="33"/>
        </w:trPr>
        <w:tc>
          <w:tcPr>
            <w:tcW w:w="8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457,925</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463,070</w:t>
            </w:r>
          </w:p>
        </w:tc>
      </w:tr>
      <w:tr>
        <w:trPr>
          <w:trHeight w:val="33"/>
        </w:trPr>
        <w:tc>
          <w:tcPr>
            <w:tcW w:w="8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58"/>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78,022</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69,991</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12,000</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33,672</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40,656</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6,558</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8,097</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4,293</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4,263</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13,614</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13,358</w:t>
            </w:r>
          </w:p>
        </w:tc>
      </w:tr>
      <w:tr>
        <w:trPr>
          <w:trHeight w:val="33"/>
        </w:trPr>
        <w:tc>
          <w:tcPr>
            <w:tcW w:w="8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148,159</w:t>
            </w:r>
          </w:p>
        </w:tc>
        <w:tc>
          <w:tcPr>
            <w:tcW w:w="5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136,365</w:t>
            </w:r>
          </w:p>
        </w:tc>
      </w:tr>
      <w:tr>
        <w:trPr>
          <w:trHeight w:val="54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8,529</w:t>
            </w:r>
          </w:p>
        </w:tc>
        <w:tc>
          <w:tcPr>
            <w:tcW w:w="54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8,456</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566</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566</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2,031</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2,062</w:t>
            </w:r>
          </w:p>
        </w:tc>
      </w:tr>
      <w:tr>
        <w:trPr>
          <w:trHeight w:val="33"/>
        </w:trPr>
        <w:tc>
          <w:tcPr>
            <w:tcW w:w="8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159,285</w:t>
            </w:r>
          </w:p>
        </w:tc>
        <w:tc>
          <w:tcPr>
            <w:tcW w:w="5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147,449</w:t>
            </w:r>
          </w:p>
        </w:tc>
      </w:tr>
      <w:tr>
        <w:trPr>
          <w:trHeight w:val="33"/>
        </w:trPr>
        <w:tc>
          <w:tcPr>
            <w:tcW w:w="8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757"/>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59"/>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230</w:t>
            </w:r>
          </w:p>
        </w:tc>
        <w:tc>
          <w:tcPr>
            <w:tcW w:w="54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229</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221,621</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214,710</w:t>
            </w:r>
          </w:p>
        </w:tc>
      </w:tr>
      <w:tr>
        <w:trPr>
          <w:trHeight w:val="270"/>
        </w:trPr>
        <w:tc>
          <w:tcPr>
            <w:tcW w:w="820" w:type="dxa"/>
            <w:vAlign w:val="bottom"/>
          </w:tcPr>
          <w:p>
            <w:pPr>
              <w:jc w:val="right"/>
              <w:ind w:right="99"/>
              <w:spacing w:after="0"/>
              <w:rPr>
                <w:sz w:val="20"/>
                <w:szCs w:val="20"/>
                <w:color w:val="auto"/>
              </w:rPr>
            </w:pPr>
            <w:r>
              <w:rPr>
                <w:rFonts w:ascii="Arial" w:cs="Arial" w:eastAsia="Arial" w:hAnsi="Arial"/>
                <w:sz w:val="16"/>
                <w:szCs w:val="16"/>
                <w:color w:val="auto"/>
              </w:rPr>
              <w:t>(7,606)</w:t>
            </w:r>
          </w:p>
        </w:tc>
        <w:tc>
          <w:tcPr>
            <w:tcW w:w="5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(4,446)</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239,630</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226,066</w:t>
            </w:r>
          </w:p>
        </w:tc>
      </w:tr>
      <w:tr>
        <w:trPr>
          <w:trHeight w:val="33"/>
        </w:trPr>
        <w:tc>
          <w:tcPr>
            <w:tcW w:w="8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453,875</w:t>
            </w:r>
          </w:p>
        </w:tc>
        <w:tc>
          <w:tcPr>
            <w:tcW w:w="5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436,559</w:t>
            </w:r>
          </w:p>
        </w:tc>
      </w:tr>
      <w:tr>
        <w:trPr>
          <w:trHeight w:val="459"/>
        </w:trPr>
        <w:tc>
          <w:tcPr>
            <w:tcW w:w="820" w:type="dxa"/>
            <w:vAlign w:val="bottom"/>
          </w:tcPr>
          <w:p>
            <w:pPr>
              <w:jc w:val="right"/>
              <w:ind w:right="99"/>
              <w:spacing w:after="0"/>
              <w:rPr>
                <w:sz w:val="20"/>
                <w:szCs w:val="20"/>
                <w:color w:val="auto"/>
              </w:rPr>
            </w:pPr>
            <w:r>
              <w:rPr>
                <w:rFonts w:ascii="Arial" w:cs="Arial" w:eastAsia="Arial" w:hAnsi="Arial"/>
                <w:sz w:val="16"/>
                <w:szCs w:val="16"/>
                <w:color w:val="auto"/>
                <w:w w:val="90"/>
              </w:rPr>
              <w:t>(155,235)</w:t>
            </w:r>
          </w:p>
        </w:tc>
        <w:tc>
          <w:tcPr>
            <w:tcW w:w="5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(120,938)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wp:posOffset>
            </wp:positionH>
            <wp:positionV relativeFrom="paragraph">
              <wp:posOffset>-441325</wp:posOffset>
            </wp:positionV>
            <wp:extent cx="10979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-650240</wp:posOffset>
            </wp:positionH>
            <wp:positionV relativeFrom="paragraph">
              <wp:posOffset>-1933575</wp:posOffset>
            </wp:positionV>
            <wp:extent cx="10979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-650240</wp:posOffset>
            </wp:positionH>
            <wp:positionV relativeFrom="paragraph">
              <wp:posOffset>-4343400</wp:posOffset>
            </wp:positionV>
            <wp:extent cx="10979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33" w:lineRule="exact"/>
        <w:rPr>
          <w:sz w:val="20"/>
          <w:szCs w:val="20"/>
          <w:color w:val="auto"/>
        </w:rPr>
      </w:pPr>
    </w:p>
    <w:p>
      <w:pPr>
        <w:sectPr>
          <w:pgSz w:w="11900" w:h="16838" w:orient="portrait"/>
          <w:cols w:equalWidth="0" w:num="2">
            <w:col w:w="8200" w:space="720"/>
            <w:col w:w="2500"/>
          </w:cols>
          <w:pgMar w:left="240" w:top="118" w:right="23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7900" w:type="dxa"/>
            <w:vAlign w:val="bottom"/>
          </w:tcPr>
          <w:p>
            <w:pPr>
              <w:ind w:left="1140"/>
              <w:spacing w:after="0"/>
              <w:rPr>
                <w:sz w:val="20"/>
                <w:szCs w:val="20"/>
                <w:color w:val="auto"/>
              </w:rPr>
            </w:pPr>
            <w:r>
              <w:rPr>
                <w:rFonts w:ascii="Arial" w:cs="Arial" w:eastAsia="Arial" w:hAnsi="Arial"/>
                <w:sz w:val="16"/>
                <w:szCs w:val="16"/>
                <w:color w:val="auto"/>
              </w:rPr>
              <w:t>Total stockholders' equity</w:t>
            </w:r>
          </w:p>
        </w:tc>
        <w:tc>
          <w:tcPr>
            <w:tcW w:w="5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298,640</w:t>
            </w: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315,621</w:t>
            </w:r>
          </w:p>
        </w:tc>
      </w:tr>
      <w:tr>
        <w:trPr>
          <w:trHeight w:val="33"/>
        </w:trPr>
        <w:tc>
          <w:tcPr>
            <w:tcW w:w="79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liabilities and stockholders' equity</w:t>
            </w: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457,925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463,070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See Note 4 for further information concerning our purchases from a related party vendor.</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type w:val="continuous"/>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8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147,551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146,315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280,256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276,160</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107,271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102,757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202,567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196,056</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40,280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77,689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80,104</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4,096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4,119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8,530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8,396</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25,784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27,765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52,656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54,044</w:t>
            </w:r>
          </w:p>
        </w:tc>
        <w:tc>
          <w:tcPr>
            <w:tcW w:w="0" w:type="dxa"/>
            <w:vAlign w:val="bottom"/>
          </w:tcPr>
          <w:p>
            <w:pPr>
              <w:spacing w:after="0"/>
              <w:rPr>
                <w:sz w:val="1"/>
                <w:szCs w:val="1"/>
                <w:color w:val="auto"/>
              </w:rPr>
            </w:pPr>
          </w:p>
        </w:tc>
      </w:tr>
      <w:tr>
        <w:trPr>
          <w:trHeight w:val="237"/>
        </w:trPr>
        <w:tc>
          <w:tcPr>
            <w:tcW w:w="51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10,400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11,674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16,503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17,664</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16,894</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2,185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3,439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4,133</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8,488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12,761</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0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0.53</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67"/>
        </w:trPr>
        <w:tc>
          <w:tcPr>
            <w:tcW w:w="5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Shares used in computing earnings per share: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15,732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15,784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15,819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15,785</w:t>
            </w:r>
          </w:p>
        </w:tc>
        <w:tc>
          <w:tcPr>
            <w:tcW w:w="0" w:type="dxa"/>
            <w:vAlign w:val="bottom"/>
          </w:tcPr>
          <w:p>
            <w:pPr>
              <w:spacing w:after="0"/>
              <w:rPr>
                <w:sz w:val="1"/>
                <w:szCs w:val="1"/>
                <w:color w:val="auto"/>
              </w:rPr>
            </w:pPr>
          </w:p>
        </w:tc>
      </w:tr>
      <w:tr>
        <w:trPr>
          <w:trHeight w:val="67"/>
        </w:trPr>
        <w:tc>
          <w:tcPr>
            <w:tcW w:w="5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0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16,151</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a related party vendor.</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118" w:right="35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COMPREHENSIVE INCOME STATEMENTS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0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8,375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8,488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13,564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12,761</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foreign currency translation adjustment</w:t>
            </w:r>
          </w:p>
        </w:tc>
        <w:tc>
          <w:tcPr>
            <w:tcW w:w="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1,098</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r>
      <w:tr>
        <w:trPr>
          <w:trHeight w:val="237"/>
        </w:trPr>
        <w:tc>
          <w:tcPr>
            <w:tcW w:w="506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900" w:type="dxa"/>
            <w:vAlign w:val="bottom"/>
            <w:tcBorders>
              <w:top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9,473</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8,755</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10,404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10,917</w:t>
            </w:r>
          </w:p>
        </w:tc>
      </w:tr>
      <w:tr>
        <w:trPr>
          <w:trHeight w:val="27"/>
        </w:trPr>
        <w:tc>
          <w:tcPr>
            <w:tcW w:w="50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a related party vendor.</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118" w:right="4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2014</w:t>
            </w: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13,564</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12,761</w:t>
            </w:r>
          </w:p>
        </w:tc>
      </w:tr>
      <w:tr>
        <w:trPr>
          <w:trHeight w:val="27"/>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8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9,412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8,849</w:t>
            </w:r>
          </w:p>
        </w:tc>
      </w:tr>
      <w:tr>
        <w:trPr>
          <w:trHeight w:val="27"/>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Provision for doubtful accounts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r>
      <w:tr>
        <w:trPr>
          <w:trHeight w:val="243"/>
        </w:trPr>
        <w:tc>
          <w:tcPr>
            <w:tcW w:w="8100" w:type="dxa"/>
            <w:vAlign w:val="bottom"/>
          </w:tcPr>
          <w:p>
            <w:pPr>
              <w:ind w:left="820"/>
              <w:spacing w:after="0"/>
              <w:rPr>
                <w:sz w:val="20"/>
                <w:szCs w:val="20"/>
                <w:color w:val="auto"/>
              </w:rPr>
            </w:pPr>
            <w:r>
              <w:rPr>
                <w:rFonts w:ascii="Arial" w:cs="Arial" w:eastAsia="Arial" w:hAnsi="Arial"/>
                <w:sz w:val="18"/>
                <w:szCs w:val="18"/>
                <w:color w:val="auto"/>
              </w:rPr>
              <w:t>Provision for inventory write-downs</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1,550</w:t>
            </w:r>
          </w:p>
        </w:tc>
      </w:tr>
      <w:tr>
        <w:trPr>
          <w:trHeight w:val="27"/>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Deferred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901</w:t>
            </w:r>
          </w:p>
        </w:tc>
      </w:tr>
      <w:tr>
        <w:trPr>
          <w:trHeight w:val="243"/>
        </w:trPr>
        <w:tc>
          <w:tcPr>
            <w:tcW w:w="8100" w:type="dxa"/>
            <w:vAlign w:val="bottom"/>
          </w:tcPr>
          <w:p>
            <w:pPr>
              <w:ind w:left="820"/>
              <w:spacing w:after="0"/>
              <w:rPr>
                <w:sz w:val="20"/>
                <w:szCs w:val="20"/>
                <w:color w:val="auto"/>
              </w:rPr>
            </w:pPr>
            <w:r>
              <w:rPr>
                <w:rFonts w:ascii="Arial" w:cs="Arial" w:eastAsia="Arial" w:hAnsi="Arial"/>
                <w:sz w:val="18"/>
                <w:szCs w:val="18"/>
                <w:color w:val="auto"/>
              </w:rPr>
              <w:t>Tax benefit from exercise of stock options and vested restricted stock</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1,154</w:t>
            </w:r>
          </w:p>
        </w:tc>
      </w:tr>
      <w:tr>
        <w:trPr>
          <w:trHeight w:val="27"/>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Excess tax benefit from stock-based compensation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r>
      <w:tr>
        <w:trPr>
          <w:trHeight w:val="243"/>
        </w:trPr>
        <w:tc>
          <w:tcPr>
            <w:tcW w:w="8100" w:type="dxa"/>
            <w:vAlign w:val="bottom"/>
          </w:tcPr>
          <w:p>
            <w:pPr>
              <w:ind w:left="820"/>
              <w:spacing w:after="0"/>
              <w:rPr>
                <w:sz w:val="20"/>
                <w:szCs w:val="20"/>
                <w:color w:val="auto"/>
              </w:rPr>
            </w:pPr>
            <w:r>
              <w:rPr>
                <w:rFonts w:ascii="Arial" w:cs="Arial" w:eastAsia="Arial" w:hAnsi="Arial"/>
                <w:sz w:val="18"/>
                <w:szCs w:val="18"/>
                <w:color w:val="auto"/>
              </w:rPr>
              <w:t>Shares issued for employee benefit plan</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537</w:t>
            </w:r>
          </w:p>
        </w:tc>
      </w:tr>
      <w:tr>
        <w:trPr>
          <w:trHeight w:val="27"/>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Stock-based compensation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3,251</w:t>
            </w:r>
          </w:p>
        </w:tc>
      </w:tr>
      <w:tr>
        <w:trPr>
          <w:trHeight w:val="243"/>
        </w:trPr>
        <w:tc>
          <w:tcPr>
            <w:tcW w:w="8100" w:type="dxa"/>
            <w:vAlign w:val="bottom"/>
          </w:tcPr>
          <w:p>
            <w:pPr>
              <w:ind w:left="48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Accounts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(12,856)</w:t>
            </w:r>
          </w:p>
        </w:tc>
      </w:tr>
      <w:tr>
        <w:trPr>
          <w:trHeight w:val="243"/>
        </w:trPr>
        <w:tc>
          <w:tcPr>
            <w:tcW w:w="8100" w:type="dxa"/>
            <w:vAlign w:val="bottom"/>
          </w:tcPr>
          <w:p>
            <w:pPr>
              <w:ind w:left="82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(14,994)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5,095</w:t>
            </w:r>
          </w:p>
        </w:tc>
      </w:tr>
      <w:tr>
        <w:trPr>
          <w:trHeight w:val="27"/>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Prepaid expenses and 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r>
      <w:tr>
        <w:trPr>
          <w:trHeight w:val="243"/>
        </w:trPr>
        <w:tc>
          <w:tcPr>
            <w:tcW w:w="8100" w:type="dxa"/>
            <w:vAlign w:val="bottom"/>
          </w:tcPr>
          <w:p>
            <w:pPr>
              <w:ind w:left="820"/>
              <w:spacing w:after="0"/>
              <w:rPr>
                <w:sz w:val="20"/>
                <w:szCs w:val="20"/>
                <w:color w:val="auto"/>
              </w:rPr>
            </w:pPr>
            <w:r>
              <w:rPr>
                <w:rFonts w:ascii="Arial" w:cs="Arial" w:eastAsia="Arial" w:hAnsi="Arial"/>
                <w:sz w:val="18"/>
                <w:szCs w:val="18"/>
                <w:color w:val="auto"/>
              </w:rPr>
              <w:t>Accounts payable and accrued expenses</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1,395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10,382</w:t>
            </w:r>
          </w:p>
        </w:tc>
      </w:tr>
      <w:tr>
        <w:trPr>
          <w:trHeight w:val="27"/>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Accrued 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r>
      <w:tr>
        <w:trPr>
          <w:trHeight w:val="237"/>
        </w:trPr>
        <w:tc>
          <w:tcPr>
            <w:tcW w:w="8100" w:type="dxa"/>
            <w:vAlign w:val="bottom"/>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5,942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28,791</w:t>
            </w:r>
          </w:p>
        </w:tc>
      </w:tr>
      <w:tr>
        <w:trPr>
          <w:trHeight w:val="27"/>
        </w:trPr>
        <w:tc>
          <w:tcPr>
            <w:tcW w:w="8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used for 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Acquisition of property, plant, and equipment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(15,655)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(7,714)</w:t>
            </w:r>
          </w:p>
        </w:tc>
      </w:tr>
      <w:tr>
        <w:trPr>
          <w:trHeight w:val="27"/>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intangible assets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37"/>
        </w:trPr>
        <w:tc>
          <w:tcPr>
            <w:tcW w:w="8100" w:type="dxa"/>
            <w:vAlign w:val="bottom"/>
          </w:tcPr>
          <w:p>
            <w:pPr>
              <w:ind w:left="700"/>
              <w:spacing w:after="0"/>
              <w:rPr>
                <w:sz w:val="20"/>
                <w:szCs w:val="20"/>
                <w:color w:val="auto"/>
              </w:rPr>
            </w:pPr>
            <w:r>
              <w:rPr>
                <w:rFonts w:ascii="Arial" w:cs="Arial" w:eastAsia="Arial" w:hAnsi="Arial"/>
                <w:sz w:val="18"/>
                <w:szCs w:val="18"/>
                <w:color w:val="auto"/>
              </w:rPr>
              <w:t>Net cash used for investing activities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(16,907)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(8,377)</w:t>
            </w:r>
          </w:p>
        </w:tc>
      </w:tr>
      <w:tr>
        <w:trPr>
          <w:trHeight w:val="27"/>
        </w:trPr>
        <w:tc>
          <w:tcPr>
            <w:tcW w:w="8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provided by (used for)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Borrowings under line of credit</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19,500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 on line of credit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Proceeds from stock options exercised</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1,648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4,665</w:t>
            </w:r>
          </w:p>
        </w:tc>
      </w:tr>
      <w:tr>
        <w:trPr>
          <w:trHeight w:val="27"/>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purchased</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(34,297)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(14,275)</w:t>
            </w: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Excess tax benefit from stock-based compensation</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1,142</w:t>
            </w:r>
          </w:p>
        </w:tc>
      </w:tr>
      <w:tr>
        <w:trPr>
          <w:trHeight w:val="27"/>
        </w:trPr>
        <w:tc>
          <w:tcPr>
            <w:tcW w:w="8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provided by (used for)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(8,468)</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(478)</w:t>
            </w:r>
          </w:p>
        </w:tc>
      </w:tr>
      <w:tr>
        <w:trPr>
          <w:trHeight w:val="27"/>
        </w:trPr>
        <w:tc>
          <w:tcPr>
            <w:tcW w:w="8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11,468</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112,521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76,174</w:t>
            </w:r>
          </w:p>
        </w:tc>
      </w:tr>
      <w:tr>
        <w:trPr>
          <w:trHeight w:val="27"/>
        </w:trPr>
        <w:tc>
          <w:tcPr>
            <w:tcW w:w="8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82,162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87,642</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Supplemental Cash Flow Information: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Income taxes paid</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2,979</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3,182</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a related party vendor.</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18" w:right="25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Significant Accounting Policies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opinion of management, the accompanying consolidated financial statements of Universal Electronics Inc. and its wholly-owned subsidiaries contain all the adjustments necessary for a fair presentation of financial position, results of operations and cash flows for the periods presented. All such adjustments are of a normal recurring nature. Information and footnote disclosures normally included in financial statements, which are prepared in accordance with accounting principles generally accepted in the United States of America ("U.S. GAAP"), have been condensed or omitted pursuant to the rules and regulations of the Securities and Exchange Commission. As used herein, the terms "Company," "we," "us," and "our" refer to Universal Electronics Inc. and its subsidiaries, unless the context indicates to the contrary.</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results of operations for the three and six months ended June 30, 2015 are not necessarily indicative of the results to be expected for the full year. These financial statements should be read in conjunction with the "Risk Factors," "Management's Discussion and Analysis of Financial Condition and Results of Operations," "Quantitative and Qualitative Disclosures About Market Risk," and the "Financial Statements and Supplementary Data" included in Items 1A, 7, 7A, and 8, respectively, of our Annual Report on Form 10-K for the year ended December 31, 2014.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Judgments and Assumptions</w:t>
      </w:r>
    </w:p>
    <w:p>
      <w:pPr>
        <w:spacing w:after="0" w:line="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financial statements in conformity with U.S. GAAP requires us to make estimates, judgments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allowances for sales returns and doubtful accounts, inventory valuation, our review of impairment of long-lived assets, intangible assets and goodwill, income taxes and stock-based compensation expense. Actual results may differ from these estimates and assumptions, and they may be adjusted as more information becomes available. Any adjustment may be material.</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to the consolidated financial statements included in our Annual Report on Form 10-K for the year ended December 31, 2014 for a summary of our significant accounting policies.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May 2014, the FASB issued ASU 2014-09, "Revenue from Contracts with Customers", which will supersede most existing U.S. GAAP revenue recognition guidance. This new standard requires an entity to recognize revenue to depict the transfer of goods or services to customers in an amount that reflects the consideration to which an entity expects to be entitled in exchange for those goods or services. In addition, ASU 2014-09 contains expanded disclosure requirements relating to the nature, amount, timing, and uncertainty of revenue and cash flows arising from contracts with customers. ASU 2014-09 is effective for fiscal periods beginning after December 15, 2016 and permits the use of either the full retrospective or cumulative effect transition method. On July 9, 2015, the FASB postponed the effective date of the new revenue standard by one year; however, early adoption is permitted as of the original effective date. We have not yet selected a transition method and are evaluating the impact that this new standard will have on our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Cash Equivalents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were held in the following geographic regions: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7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right"/>
              <w:ind w:right="37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4140" w:type="dxa"/>
            <w:vAlign w:val="bottom"/>
            <w:tcBorders>
              <w:bottom w:val="single" w:sz="8" w:color="CCEEFF"/>
            </w:tcBorders>
            <w:vMerge w:val="continue"/>
          </w:tcPr>
          <w:p>
            <w:pPr>
              <w:spacing w:after="0"/>
              <w:rPr>
                <w:sz w:val="16"/>
                <w:szCs w:val="16"/>
                <w:color w:val="auto"/>
              </w:rPr>
            </w:pPr>
          </w:p>
        </w:tc>
        <w:tc>
          <w:tcPr>
            <w:tcW w:w="37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840" w:type="dxa"/>
            <w:vAlign w:val="bottom"/>
            <w:tcBorders>
              <w:bottom w:val="single" w:sz="8" w:color="CCEEFF"/>
            </w:tcBorders>
            <w:gridSpan w:val="2"/>
            <w:shd w:val="clear" w:color="auto" w:fill="CCEEFF"/>
          </w:tcPr>
          <w:p>
            <w:pPr>
              <w:jc w:val="right"/>
              <w:ind w:right="928"/>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43,546</w:t>
            </w:r>
          </w:p>
        </w:tc>
        <w:tc>
          <w:tcPr>
            <w:tcW w:w="0" w:type="dxa"/>
            <w:vAlign w:val="bottom"/>
          </w:tcPr>
          <w:p>
            <w:pPr>
              <w:spacing w:after="0"/>
              <w:rPr>
                <w:sz w:val="1"/>
                <w:szCs w:val="1"/>
                <w:color w:val="auto"/>
              </w:rPr>
            </w:pP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Asia</w:t>
            </w:r>
          </w:p>
        </w:tc>
        <w:tc>
          <w:tcPr>
            <w:tcW w:w="3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64,988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50,799</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3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10,120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12,912</w:t>
            </w:r>
          </w:p>
        </w:tc>
        <w:tc>
          <w:tcPr>
            <w:tcW w:w="0" w:type="dxa"/>
            <w:vAlign w:val="bottom"/>
          </w:tcPr>
          <w:p>
            <w:pPr>
              <w:spacing w:after="0"/>
              <w:rPr>
                <w:sz w:val="1"/>
                <w:szCs w:val="1"/>
                <w:color w:val="auto"/>
              </w:rPr>
            </w:pP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South America</w:t>
            </w:r>
          </w:p>
        </w:tc>
        <w:tc>
          <w:tcPr>
            <w:tcW w:w="3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2,190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5,264</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cash and cash equivalents</w:t>
            </w:r>
          </w:p>
        </w:tc>
        <w:tc>
          <w:tcPr>
            <w:tcW w:w="4840" w:type="dxa"/>
            <w:vAlign w:val="bottom"/>
            <w:gridSpan w:val="2"/>
            <w:shd w:val="clear" w:color="auto" w:fill="CCEEFF"/>
          </w:tcPr>
          <w:p>
            <w:pPr>
              <w:jc w:val="right"/>
              <w:ind w:right="92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82,162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112,521</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bottom w:val="single" w:sz="8" w:color="CCEEFF"/>
            </w:tcBorders>
            <w:vMerge w:val="restart"/>
          </w:tcPr>
          <w:p>
            <w:pPr>
              <w:jc w:val="right"/>
              <w:ind w:right="2010"/>
              <w:spacing w:after="0"/>
              <w:rPr>
                <w:sz w:val="20"/>
                <w:szCs w:val="20"/>
                <w:color w:val="auto"/>
              </w:rPr>
            </w:pPr>
            <w:r>
              <w:rPr>
                <w:rFonts w:ascii="Arial" w:cs="Arial" w:eastAsia="Arial" w:hAnsi="Arial"/>
                <w:sz w:val="18"/>
                <w:szCs w:val="18"/>
                <w:color w:val="auto"/>
              </w:rPr>
              <w:t>7</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4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Accounts Receivable, Net and Revenue Concentrations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8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1540" w:type="dxa"/>
            <w:vAlign w:val="bottom"/>
            <w:gridSpan w:val="4"/>
          </w:tcPr>
          <w:p>
            <w:pPr>
              <w:ind w:left="160"/>
              <w:spacing w:after="0"/>
              <w:rPr>
                <w:sz w:val="20"/>
                <w:szCs w:val="20"/>
                <w:color w:val="auto"/>
              </w:rPr>
            </w:pPr>
            <w:r>
              <w:rPr>
                <w:rFonts w:ascii="Arial" w:cs="Arial" w:eastAsia="Arial" w:hAnsi="Arial"/>
                <w:sz w:val="14"/>
                <w:szCs w:val="14"/>
                <w:b w:val="1"/>
                <w:bCs w:val="1"/>
                <w:color w:val="auto"/>
              </w:rPr>
              <w:t>June 30, 2015</w:t>
            </w:r>
          </w:p>
        </w:tc>
        <w:tc>
          <w:tcPr>
            <w:tcW w:w="20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250"/>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8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Trade receivables, gross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97,238</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91,605</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80" w:type="dxa"/>
            <w:vAlign w:val="bottom"/>
            <w:gridSpan w:val="2"/>
          </w:tcPr>
          <w:p>
            <w:pPr>
              <w:ind w:left="20"/>
              <w:spacing w:after="0"/>
              <w:rPr>
                <w:sz w:val="20"/>
                <w:szCs w:val="20"/>
                <w:color w:val="auto"/>
              </w:rPr>
            </w:pPr>
            <w:r>
              <w:rPr>
                <w:rFonts w:ascii="Arial" w:cs="Arial" w:eastAsia="Arial" w:hAnsi="Arial"/>
                <w:sz w:val="18"/>
                <w:szCs w:val="18"/>
                <w:color w:val="auto"/>
              </w:rPr>
              <w:t>Allowance for doubtful accounts</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(686)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Allowance for sales returns</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80" w:type="dxa"/>
            <w:vAlign w:val="bottom"/>
            <w:gridSpan w:val="2"/>
          </w:tcPr>
          <w:p>
            <w:pPr>
              <w:ind w:left="360"/>
              <w:spacing w:after="0"/>
              <w:rPr>
                <w:sz w:val="20"/>
                <w:szCs w:val="20"/>
                <w:color w:val="auto"/>
              </w:rPr>
            </w:pPr>
            <w:r>
              <w:rPr>
                <w:rFonts w:ascii="Arial" w:cs="Arial" w:eastAsia="Arial" w:hAnsi="Arial"/>
                <w:sz w:val="18"/>
                <w:szCs w:val="18"/>
                <w:color w:val="auto"/>
              </w:rPr>
              <w:t>Net trade receivables</w:t>
            </w: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96,175</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90,372</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7,449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7,617</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80" w:type="dxa"/>
            <w:vAlign w:val="bottom"/>
            <w:gridSpan w:val="2"/>
          </w:tcPr>
          <w:p>
            <w:pPr>
              <w:ind w:left="36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103,624</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97,989</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Allowance for Doubtful Accounts</w:t>
            </w: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gridSpan w:val="3"/>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90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900" w:type="dxa"/>
            <w:vAlign w:val="bottom"/>
            <w:gridSpan w:val="3"/>
          </w:tcPr>
          <w:p>
            <w:pPr>
              <w:spacing w:after="0"/>
              <w:rPr>
                <w:sz w:val="20"/>
                <w:szCs w:val="20"/>
                <w:color w:val="auto"/>
              </w:rPr>
            </w:pPr>
            <w:r>
              <w:rPr>
                <w:rFonts w:ascii="Arial" w:cs="Arial" w:eastAsia="Arial" w:hAnsi="Arial"/>
                <w:sz w:val="18"/>
                <w:szCs w:val="18"/>
                <w:color w:val="auto"/>
              </w:rPr>
              <w:t>Changes in the allowance for doubtful accounts were as follows:</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6"/>
          </w:tcPr>
          <w:p>
            <w:pPr>
              <w:jc w:val="right"/>
              <w:ind w:right="813"/>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80" w:type="dxa"/>
            <w:vAlign w:val="bottom"/>
            <w:gridSpan w:val="2"/>
          </w:tcPr>
          <w:p>
            <w:pPr>
              <w:ind w:left="20"/>
              <w:spacing w:after="0"/>
              <w:rPr>
                <w:sz w:val="20"/>
                <w:szCs w:val="20"/>
                <w:color w:val="auto"/>
              </w:rPr>
            </w:pPr>
            <w:r>
              <w:rPr>
                <w:rFonts w:ascii="Arial" w:cs="Arial" w:eastAsia="Arial" w:hAnsi="Arial"/>
                <w:sz w:val="18"/>
                <w:szCs w:val="18"/>
                <w:color w:val="auto"/>
              </w:rPr>
              <w:t>Additions to costs and expenses</w:t>
            </w:r>
          </w:p>
        </w:tc>
        <w:tc>
          <w:tcPr>
            <w:tcW w:w="28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(Write-offs)/FX effects</w:t>
            </w: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686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allowance for sales returns at June 30, 2015 and December 31, 2014 included reserves for items returned prior to period-end that were not completely processed, and therefore had not yet been removed from the allowance for sales returns balance. If these returns had been fully processed, the allowance for sales returns balance would have been approximately $0.2 million and $0.4 million on June 30, 2015 and December 31, 2014, respectively. The value of these returned goods was included in our inventory balance at June 30, 2015 and December 31, 2014.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sales to the following customers totaled more than 10% of our net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Three Months Ended June 30,</w:t>
            </w:r>
          </w:p>
        </w:tc>
        <w:tc>
          <w:tcPr>
            <w:tcW w:w="12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r>
      <w:tr>
        <w:trPr>
          <w:trHeight w:val="264"/>
        </w:trPr>
        <w:tc>
          <w:tcPr>
            <w:tcW w:w="49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120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2014</w:t>
            </w:r>
          </w:p>
        </w:tc>
        <w:tc>
          <w:tcPr>
            <w:tcW w:w="120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r>
      <w:tr>
        <w:trPr>
          <w:trHeight w:val="264"/>
        </w:trPr>
        <w:tc>
          <w:tcPr>
            <w:tcW w:w="4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3"/>
              </w:rPr>
              <w:t>$ (thousands)</w:t>
            </w: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 of Net Sales</w:t>
            </w:r>
          </w:p>
        </w:tc>
        <w:tc>
          <w:tcPr>
            <w:tcW w:w="180" w:type="dxa"/>
            <w:vAlign w:val="bottom"/>
          </w:tcPr>
          <w:p>
            <w:pPr>
              <w:spacing w:after="0"/>
              <w:rPr>
                <w:sz w:val="22"/>
                <w:szCs w:val="22"/>
                <w:color w:val="auto"/>
              </w:rPr>
            </w:pPr>
          </w:p>
        </w:tc>
        <w:tc>
          <w:tcPr>
            <w:tcW w:w="15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1"/>
              </w:rPr>
              <w:t>$ (thousands)</w:t>
            </w: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 of Net Sales</w:t>
            </w: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Comcast Corporation</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30,381</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w w:val="93"/>
              </w:rPr>
              <w:t>20.6%</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Arial" w:cs="Arial" w:eastAsia="Arial" w:hAnsi="Arial"/>
                <w:sz w:val="18"/>
                <w:szCs w:val="18"/>
                <w:color w:val="auto"/>
              </w:rPr>
              <w:t>15,068</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374"/>
        </w:trPr>
        <w:tc>
          <w:tcPr>
            <w:tcW w:w="4920" w:type="dxa"/>
            <w:vAlign w:val="bottom"/>
          </w:tcPr>
          <w:p>
            <w:pPr>
              <w:ind w:left="40"/>
              <w:spacing w:after="0"/>
              <w:rPr>
                <w:sz w:val="20"/>
                <w:szCs w:val="20"/>
                <w:color w:val="auto"/>
              </w:rPr>
            </w:pPr>
            <w:r>
              <w:rPr>
                <w:rFonts w:ascii="Arial" w:cs="Arial" w:eastAsia="Arial" w:hAnsi="Arial"/>
                <w:sz w:val="18"/>
                <w:szCs w:val="18"/>
                <w:color w:val="auto"/>
              </w:rPr>
              <w:t>DIRECTV</w:t>
            </w:r>
          </w:p>
        </w:tc>
        <w:tc>
          <w:tcPr>
            <w:tcW w:w="16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18,125</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ind w:left="700"/>
              <w:spacing w:after="0"/>
              <w:rPr>
                <w:sz w:val="20"/>
                <w:szCs w:val="20"/>
                <w:color w:val="auto"/>
              </w:rPr>
            </w:pPr>
            <w:r>
              <w:rPr>
                <w:rFonts w:ascii="Arial" w:cs="Arial" w:eastAsia="Arial" w:hAnsi="Arial"/>
                <w:sz w:val="18"/>
                <w:szCs w:val="18"/>
                <w:color w:val="auto"/>
              </w:rPr>
              <w:t>12.3</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3"/>
          </w:tcPr>
          <w:p>
            <w:pPr>
              <w:jc w:val="right"/>
              <w:ind w:right="280"/>
              <w:spacing w:after="0" w:line="373" w:lineRule="exact"/>
              <w:rPr>
                <w:sz w:val="20"/>
                <w:szCs w:val="20"/>
                <w:color w:val="auto"/>
              </w:rPr>
            </w:pPr>
            <w:r>
              <w:rPr>
                <w:rFonts w:ascii="Arial" w:cs="Arial" w:eastAsia="Arial" w:hAnsi="Arial"/>
                <w:sz w:val="36"/>
                <w:szCs w:val="36"/>
                <w:color w:val="auto"/>
                <w:vertAlign w:val="subscript"/>
              </w:rPr>
              <w:t>—</w:t>
            </w:r>
            <w:r>
              <w:rPr>
                <w:rFonts w:ascii="Arial" w:cs="Arial" w:eastAsia="Arial" w:hAnsi="Arial"/>
                <w:sz w:val="13"/>
                <w:szCs w:val="13"/>
                <w:color w:val="auto"/>
              </w:rPr>
              <w:t xml:space="preserve">  (1)</w:t>
            </w:r>
          </w:p>
        </w:tc>
        <w:tc>
          <w:tcPr>
            <w:tcW w:w="1540" w:type="dxa"/>
            <w:vAlign w:val="bottom"/>
            <w:gridSpan w:val="2"/>
          </w:tcPr>
          <w:p>
            <w:pPr>
              <w:ind w:left="840"/>
              <w:spacing w:after="0" w:line="373" w:lineRule="exact"/>
              <w:rPr>
                <w:sz w:val="20"/>
                <w:szCs w:val="20"/>
                <w:color w:val="auto"/>
              </w:rPr>
            </w:pPr>
            <w:r>
              <w:rPr>
                <w:rFonts w:ascii="Arial" w:cs="Arial" w:eastAsia="Arial" w:hAnsi="Arial"/>
                <w:sz w:val="36"/>
                <w:szCs w:val="36"/>
                <w:color w:val="auto"/>
                <w:vertAlign w:val="subscript"/>
              </w:rPr>
              <w:t>—</w:t>
            </w:r>
            <w:r>
              <w:rPr>
                <w:rFonts w:ascii="Arial" w:cs="Arial" w:eastAsia="Arial" w:hAnsi="Arial"/>
                <w:sz w:val="13"/>
                <w:szCs w:val="13"/>
                <w:color w:val="auto"/>
              </w:rPr>
              <w:t xml:space="preserve">   (1)</w:t>
            </w:r>
          </w:p>
        </w:tc>
      </w:tr>
    </w:tbl>
    <w:p>
      <w:pPr>
        <w:ind w:left="660" w:hanging="328"/>
        <w:spacing w:after="0" w:line="183"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Net sales to this customer did not total more than 10% of our total net sales in the prior period.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Six Months Ended June 30,</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r>
      <w:tr>
        <w:trPr>
          <w:trHeight w:val="264"/>
        </w:trPr>
        <w:tc>
          <w:tcPr>
            <w:tcW w:w="49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120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2014</w:t>
            </w:r>
          </w:p>
        </w:tc>
        <w:tc>
          <w:tcPr>
            <w:tcW w:w="120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r>
      <w:tr>
        <w:trPr>
          <w:trHeight w:val="264"/>
        </w:trPr>
        <w:tc>
          <w:tcPr>
            <w:tcW w:w="49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3"/>
              </w:rPr>
              <w:t>$ (thousands)</w:t>
            </w:r>
          </w:p>
        </w:tc>
        <w:tc>
          <w:tcPr>
            <w:tcW w:w="3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of Net Sales</w:t>
            </w:r>
          </w:p>
        </w:tc>
        <w:tc>
          <w:tcPr>
            <w:tcW w:w="3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(thousands)</w:t>
            </w:r>
          </w:p>
        </w:tc>
        <w:tc>
          <w:tcPr>
            <w:tcW w:w="3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of Net Sales</w:t>
            </w:r>
          </w:p>
        </w:tc>
        <w:tc>
          <w:tcPr>
            <w:tcW w:w="340" w:type="dxa"/>
            <w:vAlign w:val="bottom"/>
            <w:tcBorders>
              <w:bottom w:val="single" w:sz="8" w:color="CCEEFF"/>
            </w:tcBorders>
          </w:tcPr>
          <w:p>
            <w:pPr>
              <w:spacing w:after="0"/>
              <w:rPr>
                <w:sz w:val="22"/>
                <w:szCs w:val="22"/>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Comcast Corporation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45,958</w:t>
            </w: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3"/>
              </w:rPr>
              <w:t>16.4%</w:t>
            </w:r>
          </w:p>
        </w:tc>
        <w:tc>
          <w:tcPr>
            <w:tcW w:w="34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ind w:left="84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2"/>
                <w:szCs w:val="12"/>
                <w:color w:val="auto"/>
              </w:rPr>
              <w:t xml:space="preserve"> (1)</w:t>
            </w:r>
          </w:p>
        </w:tc>
      </w:tr>
      <w:tr>
        <w:trPr>
          <w:trHeight w:val="374"/>
        </w:trPr>
        <w:tc>
          <w:tcPr>
            <w:tcW w:w="4920" w:type="dxa"/>
            <w:vAlign w:val="bottom"/>
          </w:tcPr>
          <w:p>
            <w:pPr>
              <w:ind w:left="40"/>
              <w:spacing w:after="0"/>
              <w:rPr>
                <w:sz w:val="20"/>
                <w:szCs w:val="20"/>
                <w:color w:val="auto"/>
              </w:rPr>
            </w:pPr>
            <w:r>
              <w:rPr>
                <w:rFonts w:ascii="Arial" w:cs="Arial" w:eastAsia="Arial" w:hAnsi="Arial"/>
                <w:sz w:val="18"/>
                <w:szCs w:val="18"/>
                <w:color w:val="auto"/>
              </w:rPr>
              <w:t>DIRECTV</w:t>
            </w:r>
          </w:p>
        </w:tc>
        <w:tc>
          <w:tcPr>
            <w:tcW w:w="16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35,490</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ind w:left="700"/>
              <w:spacing w:after="0"/>
              <w:rPr>
                <w:sz w:val="20"/>
                <w:szCs w:val="20"/>
                <w:color w:val="auto"/>
              </w:rPr>
            </w:pPr>
            <w:r>
              <w:rPr>
                <w:rFonts w:ascii="Arial" w:cs="Arial" w:eastAsia="Arial" w:hAnsi="Arial"/>
                <w:sz w:val="18"/>
                <w:szCs w:val="18"/>
                <w:color w:val="auto"/>
              </w:rPr>
              <w:t>12.7</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94"/>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540" w:type="dxa"/>
            <w:vAlign w:val="bottom"/>
            <w:gridSpan w:val="2"/>
          </w:tcPr>
          <w:p>
            <w:pPr>
              <w:ind w:left="840"/>
              <w:spacing w:after="0" w:line="373" w:lineRule="exact"/>
              <w:rPr>
                <w:sz w:val="20"/>
                <w:szCs w:val="20"/>
                <w:color w:val="auto"/>
              </w:rPr>
            </w:pPr>
            <w:r>
              <w:rPr>
                <w:rFonts w:ascii="Arial" w:cs="Arial" w:eastAsia="Arial" w:hAnsi="Arial"/>
                <w:sz w:val="36"/>
                <w:szCs w:val="36"/>
                <w:color w:val="auto"/>
                <w:vertAlign w:val="subscript"/>
              </w:rPr>
              <w:t>—</w:t>
            </w:r>
            <w:r>
              <w:rPr>
                <w:rFonts w:ascii="Arial" w:cs="Arial" w:eastAsia="Arial" w:hAnsi="Arial"/>
                <w:sz w:val="13"/>
                <w:szCs w:val="13"/>
                <w:color w:val="auto"/>
              </w:rPr>
              <w:t xml:space="preserve">   (1)</w:t>
            </w:r>
          </w:p>
        </w:tc>
      </w:tr>
    </w:tbl>
    <w:p>
      <w:pPr>
        <w:ind w:left="660" w:hanging="328"/>
        <w:spacing w:after="0" w:line="183"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Net sales to this customer did not total more than 10% of our total net sales in the prior period.</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18" w:right="239" w:bottom="1440" w:gutter="0" w:footer="0" w:header="0"/>
          <w:type w:val="continuous"/>
        </w:sectPr>
      </w:pPr>
    </w:p>
    <w:bookmarkStart w:id="8" w:name="page9"/>
    <w:bookmarkEnd w:id="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Trade receivables associated with Comcast Corporation accounted for $15.9 million, or 15.3%, of our accounts receivable, net at June 30, 2015. We had no other customer with trade receivables greater than 10% of our accounts receivable, net at June 30, 2015 or December 31,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 Net and Significant Supplier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2015</w:t>
            </w:r>
          </w:p>
        </w:tc>
        <w:tc>
          <w:tcPr>
            <w:tcW w:w="260" w:type="dxa"/>
            <w:vAlign w:val="bottom"/>
          </w:tcPr>
          <w:p>
            <w:pPr>
              <w:spacing w:after="0"/>
              <w:rPr>
                <w:sz w:val="16"/>
                <w:szCs w:val="16"/>
                <w:color w:val="auto"/>
              </w:rPr>
            </w:pPr>
          </w:p>
        </w:tc>
        <w:tc>
          <w:tcPr>
            <w:tcW w:w="1440" w:type="dxa"/>
            <w:vAlign w:val="bottom"/>
          </w:tcPr>
          <w:p>
            <w:pPr>
              <w:jc w:val="right"/>
              <w:ind w:right="33"/>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250"/>
        </w:trPr>
        <w:tc>
          <w:tcPr>
            <w:tcW w:w="7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33,635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24,763</w:t>
            </w:r>
          </w:p>
        </w:tc>
        <w:tc>
          <w:tcPr>
            <w:tcW w:w="0" w:type="dxa"/>
            <w:vAlign w:val="bottom"/>
          </w:tcPr>
          <w:p>
            <w:pPr>
              <w:spacing w:after="0"/>
              <w:rPr>
                <w:sz w:val="1"/>
                <w:szCs w:val="1"/>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Components</w:t>
            </w:r>
          </w:p>
        </w:tc>
        <w:tc>
          <w:tcPr>
            <w:tcW w:w="28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14,098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16,170</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 in process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2,622</w:t>
            </w:r>
          </w:p>
        </w:tc>
        <w:tc>
          <w:tcPr>
            <w:tcW w:w="0" w:type="dxa"/>
            <w:vAlign w:val="bottom"/>
          </w:tcPr>
          <w:p>
            <w:pPr>
              <w:spacing w:after="0"/>
              <w:rPr>
                <w:sz w:val="1"/>
                <w:szCs w:val="1"/>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28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55,870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56,458</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for excess and obsolete inventory</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0" w:type="dxa"/>
            <w:vAlign w:val="bottom"/>
          </w:tcPr>
          <w:p>
            <w:pPr>
              <w:spacing w:after="0"/>
              <w:rPr>
                <w:sz w:val="1"/>
                <w:szCs w:val="1"/>
                <w:color w:val="auto"/>
              </w:rPr>
            </w:pPr>
          </w:p>
        </w:tc>
      </w:tr>
      <w:tr>
        <w:trPr>
          <w:trHeight w:val="237"/>
        </w:trPr>
        <w:tc>
          <w:tcPr>
            <w:tcW w:w="7860" w:type="dxa"/>
            <w:vAlign w:val="bottom"/>
          </w:tcPr>
          <w:p>
            <w:pPr>
              <w:ind w:left="280"/>
              <w:spacing w:after="0"/>
              <w:rPr>
                <w:sz w:val="20"/>
                <w:szCs w:val="20"/>
                <w:color w:val="auto"/>
              </w:rPr>
            </w:pPr>
            <w:r>
              <w:rPr>
                <w:rFonts w:ascii="Arial" w:cs="Arial" w:eastAsia="Arial" w:hAnsi="Arial"/>
                <w:sz w:val="18"/>
                <w:szCs w:val="18"/>
                <w:color w:val="auto"/>
              </w:rPr>
              <w:t>Inventories, net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109,121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97,474</w:t>
            </w:r>
          </w:p>
        </w:tc>
        <w:tc>
          <w:tcPr>
            <w:tcW w:w="0" w:type="dxa"/>
            <w:vAlign w:val="bottom"/>
          </w:tcPr>
          <w:p>
            <w:pPr>
              <w:spacing w:after="0"/>
              <w:rPr>
                <w:sz w:val="1"/>
                <w:szCs w:val="1"/>
                <w:color w:val="auto"/>
              </w:rPr>
            </w:pPr>
          </w:p>
        </w:tc>
      </w:tr>
      <w:tr>
        <w:trPr>
          <w:trHeight w:val="27"/>
        </w:trPr>
        <w:tc>
          <w:tcPr>
            <w:tcW w:w="7860" w:type="dxa"/>
            <w:vAlign w:val="bottom"/>
            <w:vMerge w:val="restart"/>
          </w:tcPr>
          <w:p>
            <w:pPr>
              <w:spacing w:after="0"/>
              <w:rPr>
                <w:sz w:val="20"/>
                <w:szCs w:val="20"/>
                <w:color w:val="auto"/>
              </w:rPr>
            </w:pPr>
            <w:r>
              <w:rPr>
                <w:rFonts w:ascii="Arial" w:cs="Arial" w:eastAsia="Arial" w:hAnsi="Arial"/>
                <w:sz w:val="18"/>
                <w:szCs w:val="18"/>
                <w:i w:val="1"/>
                <w:iCs w:val="1"/>
                <w:color w:val="auto"/>
              </w:rPr>
              <w:t>Reserve for Excess and Obsolete Inventory</w:t>
            </w: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6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60" w:type="dxa"/>
            <w:vAlign w:val="bottom"/>
          </w:tcPr>
          <w:p>
            <w:pPr>
              <w:spacing w:after="0"/>
              <w:rPr>
                <w:sz w:val="20"/>
                <w:szCs w:val="20"/>
                <w:color w:val="auto"/>
              </w:rPr>
            </w:pPr>
            <w:r>
              <w:rPr>
                <w:rFonts w:ascii="Arial" w:cs="Arial" w:eastAsia="Arial" w:hAnsi="Arial"/>
                <w:sz w:val="18"/>
                <w:szCs w:val="18"/>
                <w:color w:val="auto"/>
              </w:rPr>
              <w:t>Changes in the reserve for excess and obsolete inventory were as follows:</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78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4"/>
          </w:tcPr>
          <w:p>
            <w:pPr>
              <w:jc w:val="right"/>
              <w:ind w:right="83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2,714</w:t>
            </w:r>
          </w:p>
        </w:tc>
        <w:tc>
          <w:tcPr>
            <w:tcW w:w="0" w:type="dxa"/>
            <w:vAlign w:val="bottom"/>
          </w:tcPr>
          <w:p>
            <w:pPr>
              <w:spacing w:after="0"/>
              <w:rPr>
                <w:sz w:val="1"/>
                <w:szCs w:val="1"/>
                <w:color w:val="auto"/>
              </w:rPr>
            </w:pPr>
          </w:p>
        </w:tc>
      </w:tr>
      <w:tr>
        <w:trPr>
          <w:trHeight w:val="270"/>
        </w:trPr>
        <w:tc>
          <w:tcPr>
            <w:tcW w:w="78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Additions charged to costs and expenses </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1,527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70"/>
        </w:trPr>
        <w:tc>
          <w:tcPr>
            <w:tcW w:w="78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Sell through </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Write-offs/FX effects</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2,898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660" w:hanging="328"/>
        <w:spacing w:after="0" w:line="226" w:lineRule="auto"/>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The additions charged to costs and expenses do not include inventory directly written-off that was scrapped during production totaling $0.1 million and $0.2 million for the six months ended June 30, 2015 and 2014, respectively. These amounts are production waste and are not included in management's reserve for excess and obsolete inventory.</w:t>
      </w:r>
    </w:p>
    <w:p>
      <w:pPr>
        <w:spacing w:after="0" w:line="38" w:lineRule="exact"/>
        <w:rPr>
          <w:rFonts w:ascii="Arial" w:cs="Arial" w:eastAsia="Arial" w:hAnsi="Arial"/>
          <w:sz w:val="25"/>
          <w:szCs w:val="25"/>
          <w:color w:val="auto"/>
          <w:vertAlign w:val="superscript"/>
        </w:rPr>
      </w:pPr>
    </w:p>
    <w:p>
      <w:pPr>
        <w:ind w:left="660" w:hanging="328"/>
        <w:spacing w:after="0"/>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These amounts represent the reduction in reserves associated with inventory items that were sold during the period.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w:t>
      </w:r>
    </w:p>
    <w:p>
      <w:pPr>
        <w:spacing w:after="0" w:line="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purchase integrated circuits, components and finished goods from multiple sources. We had purchases from the following significant supplier that totaled more than 10% of our total inventory purchases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2"/>
          </w:tcPr>
          <w:p>
            <w:pPr>
              <w:jc w:val="right"/>
              <w:ind w:right="1351"/>
              <w:spacing w:after="0"/>
              <w:rPr>
                <w:sz w:val="20"/>
                <w:szCs w:val="20"/>
                <w:color w:val="auto"/>
              </w:rPr>
            </w:pPr>
            <w:r>
              <w:rPr>
                <w:rFonts w:ascii="Arial" w:cs="Arial" w:eastAsia="Arial" w:hAnsi="Arial"/>
                <w:sz w:val="14"/>
                <w:szCs w:val="14"/>
                <w:b w:val="1"/>
                <w:bCs w:val="1"/>
                <w:color w:val="auto"/>
                <w:w w:val="83"/>
              </w:rPr>
              <w:t>2015</w:t>
            </w:r>
          </w:p>
        </w:tc>
        <w:tc>
          <w:tcPr>
            <w:tcW w:w="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2"/>
          </w:tcPr>
          <w:p>
            <w:pPr>
              <w:jc w:val="right"/>
              <w:ind w:right="166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52"/>
        </w:trPr>
        <w:tc>
          <w:tcPr>
            <w:tcW w:w="4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 of Total</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80" w:type="dxa"/>
            <w:vAlign w:val="bottom"/>
          </w:tcPr>
          <w:p>
            <w:pPr>
              <w:jc w:val="center"/>
              <w:ind w:right="268"/>
              <w:spacing w:after="0" w:line="153" w:lineRule="exact"/>
              <w:rPr>
                <w:sz w:val="20"/>
                <w:szCs w:val="20"/>
                <w:color w:val="auto"/>
              </w:rPr>
            </w:pPr>
            <w:r>
              <w:rPr>
                <w:rFonts w:ascii="Arial" w:cs="Arial" w:eastAsia="Arial" w:hAnsi="Arial"/>
                <w:sz w:val="14"/>
                <w:szCs w:val="14"/>
                <w:b w:val="1"/>
                <w:bCs w:val="1"/>
                <w:color w:val="auto"/>
                <w:w w:val="98"/>
              </w:rPr>
              <w:t>% of Total</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 (thousands)</w:t>
            </w:r>
          </w:p>
        </w:tc>
        <w:tc>
          <w:tcPr>
            <w:tcW w:w="1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Inventory</w:t>
            </w:r>
          </w:p>
        </w:tc>
        <w:tc>
          <w:tcPr>
            <w:tcW w:w="180" w:type="dxa"/>
            <w:vAlign w:val="bottom"/>
          </w:tcPr>
          <w:p>
            <w:pPr>
              <w:spacing w:after="0"/>
              <w:rPr>
                <w:sz w:val="12"/>
                <w:szCs w:val="12"/>
                <w:color w:val="auto"/>
              </w:rPr>
            </w:pPr>
          </w:p>
        </w:tc>
        <w:tc>
          <w:tcPr>
            <w:tcW w:w="10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3"/>
              </w:rPr>
              <w:t>$ (thousands)</w:t>
            </w:r>
          </w:p>
        </w:tc>
        <w:tc>
          <w:tcPr>
            <w:tcW w:w="340" w:type="dxa"/>
            <w:vAlign w:val="bottom"/>
          </w:tcPr>
          <w:p>
            <w:pPr>
              <w:spacing w:after="0"/>
              <w:rPr>
                <w:sz w:val="12"/>
                <w:szCs w:val="12"/>
                <w:color w:val="auto"/>
              </w:rPr>
            </w:pPr>
          </w:p>
        </w:tc>
        <w:tc>
          <w:tcPr>
            <w:tcW w:w="1880" w:type="dxa"/>
            <w:vAlign w:val="bottom"/>
          </w:tcPr>
          <w:p>
            <w:pPr>
              <w:jc w:val="center"/>
              <w:ind w:right="268"/>
              <w:spacing w:after="0" w:line="149" w:lineRule="exact"/>
              <w:rPr>
                <w:sz w:val="20"/>
                <w:szCs w:val="20"/>
                <w:color w:val="auto"/>
              </w:rPr>
            </w:pPr>
            <w:r>
              <w:rPr>
                <w:rFonts w:ascii="Arial" w:cs="Arial" w:eastAsia="Arial" w:hAnsi="Arial"/>
                <w:sz w:val="14"/>
                <w:szCs w:val="14"/>
                <w:b w:val="1"/>
                <w:bCs w:val="1"/>
                <w:color w:val="auto"/>
                <w:w w:val="98"/>
              </w:rPr>
              <w:t>Inventory</w:t>
            </w:r>
          </w:p>
        </w:tc>
        <w:tc>
          <w:tcPr>
            <w:tcW w:w="0" w:type="dxa"/>
            <w:vAlign w:val="bottom"/>
          </w:tcPr>
          <w:p>
            <w:pPr>
              <w:spacing w:after="0"/>
              <w:rPr>
                <w:sz w:val="1"/>
                <w:szCs w:val="1"/>
                <w:color w:val="auto"/>
              </w:rPr>
            </w:pPr>
          </w:p>
        </w:tc>
      </w:tr>
      <w:tr>
        <w:trPr>
          <w:trHeight w:val="192"/>
        </w:trPr>
        <w:tc>
          <w:tcPr>
            <w:tcW w:w="44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Purchases</w:t>
            </w:r>
          </w:p>
        </w:tc>
        <w:tc>
          <w:tcPr>
            <w:tcW w:w="3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w w:val="87"/>
              </w:rPr>
              <w:t>Purchases</w:t>
            </w:r>
          </w:p>
        </w:tc>
        <w:tc>
          <w:tcPr>
            <w:tcW w:w="0" w:type="dxa"/>
            <w:vAlign w:val="bottom"/>
          </w:tcPr>
          <w:p>
            <w:pPr>
              <w:spacing w:after="0"/>
              <w:rPr>
                <w:sz w:val="1"/>
                <w:szCs w:val="1"/>
                <w:color w:val="auto"/>
              </w:rPr>
            </w:pPr>
          </w:p>
        </w:tc>
      </w:tr>
      <w:tr>
        <w:trPr>
          <w:trHeight w:val="270"/>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Maxim Integrated Products International Limited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80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2"/>
                <w:szCs w:val="12"/>
                <w:color w:val="auto"/>
              </w:rPr>
              <w:t xml:space="preserve">  (1)</w:t>
            </w:r>
          </w:p>
        </w:tc>
        <w:tc>
          <w:tcPr>
            <w:tcW w:w="160" w:type="dxa"/>
            <w:vAlign w:val="bottom"/>
            <w:shd w:val="clear" w:color="auto" w:fill="CCEEFF"/>
          </w:tcPr>
          <w:p>
            <w:pPr>
              <w:spacing w:after="0"/>
              <w:rPr>
                <w:sz w:val="23"/>
                <w:szCs w:val="23"/>
                <w:color w:val="auto"/>
              </w:rPr>
            </w:pPr>
          </w:p>
        </w:tc>
        <w:tc>
          <w:tcPr>
            <w:tcW w:w="1860" w:type="dxa"/>
            <w:vAlign w:val="bottom"/>
            <w:gridSpan w:val="2"/>
            <w:shd w:val="clear" w:color="auto" w:fill="CCEEFF"/>
          </w:tcPr>
          <w:p>
            <w:pPr>
              <w:ind w:left="11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2"/>
                <w:szCs w:val="12"/>
                <w:color w:val="auto"/>
              </w:rPr>
              <w:t xml:space="preserve"> (1)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9,148</w:t>
            </w:r>
          </w:p>
        </w:tc>
        <w:tc>
          <w:tcPr>
            <w:tcW w:w="222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Purchases from this supplier did not total more than 10% of our total inventory purchases in this period.</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4"/>
                <w:szCs w:val="14"/>
                <w:b w:val="1"/>
                <w:bCs w:val="1"/>
                <w:color w:val="auto"/>
              </w:rPr>
              <w:t>Six Months Ended June 30,</w:t>
            </w: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2"/>
          </w:tcPr>
          <w:p>
            <w:pPr>
              <w:jc w:val="right"/>
              <w:ind w:right="1331"/>
              <w:spacing w:after="0"/>
              <w:rPr>
                <w:sz w:val="20"/>
                <w:szCs w:val="20"/>
                <w:color w:val="auto"/>
              </w:rPr>
            </w:pPr>
            <w:r>
              <w:rPr>
                <w:rFonts w:ascii="Arial" w:cs="Arial" w:eastAsia="Arial" w:hAnsi="Arial"/>
                <w:sz w:val="14"/>
                <w:szCs w:val="14"/>
                <w:b w:val="1"/>
                <w:bCs w:val="1"/>
                <w:color w:val="auto"/>
                <w:w w:val="89"/>
              </w:rPr>
              <w:t>2015</w:t>
            </w:r>
          </w:p>
        </w:tc>
        <w:tc>
          <w:tcPr>
            <w:tcW w:w="3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2"/>
          </w:tcPr>
          <w:p>
            <w:pPr>
              <w:jc w:val="right"/>
              <w:ind w:right="168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52"/>
        </w:trPr>
        <w:tc>
          <w:tcPr>
            <w:tcW w:w="4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80" w:type="dxa"/>
            <w:vAlign w:val="bottom"/>
          </w:tcPr>
          <w:p>
            <w:pPr>
              <w:jc w:val="center"/>
              <w:ind w:right="288"/>
              <w:spacing w:after="0" w:line="153" w:lineRule="exact"/>
              <w:rPr>
                <w:sz w:val="20"/>
                <w:szCs w:val="20"/>
                <w:color w:val="auto"/>
              </w:rPr>
            </w:pPr>
            <w:r>
              <w:rPr>
                <w:rFonts w:ascii="Arial" w:cs="Arial" w:eastAsia="Arial" w:hAnsi="Arial"/>
                <w:sz w:val="14"/>
                <w:szCs w:val="14"/>
                <w:b w:val="1"/>
                <w:bCs w:val="1"/>
                <w:color w:val="auto"/>
                <w:w w:val="95"/>
              </w:rPr>
              <w:t>% of Total</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 (thousands)</w:t>
            </w:r>
          </w:p>
        </w:tc>
        <w:tc>
          <w:tcPr>
            <w:tcW w:w="16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Inventory</w:t>
            </w:r>
          </w:p>
        </w:tc>
        <w:tc>
          <w:tcPr>
            <w:tcW w:w="160" w:type="dxa"/>
            <w:vAlign w:val="bottom"/>
          </w:tcPr>
          <w:p>
            <w:pPr>
              <w:spacing w:after="0"/>
              <w:rPr>
                <w:sz w:val="12"/>
                <w:szCs w:val="12"/>
                <w:color w:val="auto"/>
              </w:rPr>
            </w:pPr>
          </w:p>
        </w:tc>
        <w:tc>
          <w:tcPr>
            <w:tcW w:w="108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1"/>
              </w:rPr>
              <w:t>$ (thousands)</w:t>
            </w:r>
          </w:p>
        </w:tc>
        <w:tc>
          <w:tcPr>
            <w:tcW w:w="340" w:type="dxa"/>
            <w:vAlign w:val="bottom"/>
          </w:tcPr>
          <w:p>
            <w:pPr>
              <w:spacing w:after="0"/>
              <w:rPr>
                <w:sz w:val="12"/>
                <w:szCs w:val="12"/>
                <w:color w:val="auto"/>
              </w:rPr>
            </w:pPr>
          </w:p>
        </w:tc>
        <w:tc>
          <w:tcPr>
            <w:tcW w:w="1880" w:type="dxa"/>
            <w:vAlign w:val="bottom"/>
          </w:tcPr>
          <w:p>
            <w:pPr>
              <w:jc w:val="center"/>
              <w:ind w:right="288"/>
              <w:spacing w:after="0" w:line="149" w:lineRule="exact"/>
              <w:rPr>
                <w:sz w:val="20"/>
                <w:szCs w:val="20"/>
                <w:color w:val="auto"/>
              </w:rPr>
            </w:pPr>
            <w:r>
              <w:rPr>
                <w:rFonts w:ascii="Arial" w:cs="Arial" w:eastAsia="Arial" w:hAnsi="Arial"/>
                <w:sz w:val="14"/>
                <w:szCs w:val="14"/>
                <w:b w:val="1"/>
                <w:bCs w:val="1"/>
                <w:color w:val="auto"/>
                <w:w w:val="95"/>
              </w:rPr>
              <w:t>Inventory</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Purchases</w:t>
            </w:r>
          </w:p>
        </w:tc>
        <w:tc>
          <w:tcPr>
            <w:tcW w:w="3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center"/>
              <w:ind w:right="308"/>
              <w:spacing w:after="0"/>
              <w:rPr>
                <w:sz w:val="20"/>
                <w:szCs w:val="20"/>
                <w:color w:val="auto"/>
              </w:rPr>
            </w:pPr>
            <w:r>
              <w:rPr>
                <w:rFonts w:ascii="Arial" w:cs="Arial" w:eastAsia="Arial" w:hAnsi="Arial"/>
                <w:sz w:val="14"/>
                <w:szCs w:val="14"/>
                <w:b w:val="1"/>
                <w:bCs w:val="1"/>
                <w:color w:val="auto"/>
                <w:w w:val="87"/>
              </w:rPr>
              <w:t>Purchases</w:t>
            </w:r>
          </w:p>
        </w:tc>
        <w:tc>
          <w:tcPr>
            <w:tcW w:w="0" w:type="dxa"/>
            <w:vAlign w:val="bottom"/>
          </w:tcPr>
          <w:p>
            <w:pPr>
              <w:spacing w:after="0"/>
              <w:rPr>
                <w:sz w:val="1"/>
                <w:szCs w:val="1"/>
                <w:color w:val="auto"/>
              </w:rPr>
            </w:pPr>
          </w:p>
        </w:tc>
      </w:tr>
      <w:tr>
        <w:trPr>
          <w:trHeight w:val="27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Maxim Integrated Products International Limited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ind w:left="80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2"/>
                <w:szCs w:val="12"/>
                <w:color w:val="auto"/>
              </w:rPr>
              <w:t xml:space="preserve">  (1)</w:t>
            </w:r>
          </w:p>
        </w:tc>
        <w:tc>
          <w:tcPr>
            <w:tcW w:w="180" w:type="dxa"/>
            <w:vAlign w:val="bottom"/>
            <w:shd w:val="clear" w:color="auto" w:fill="CCEEFF"/>
          </w:tcPr>
          <w:p>
            <w:pPr>
              <w:spacing w:after="0"/>
              <w:rPr>
                <w:sz w:val="23"/>
                <w:szCs w:val="23"/>
                <w:color w:val="auto"/>
              </w:rPr>
            </w:pPr>
          </w:p>
        </w:tc>
        <w:tc>
          <w:tcPr>
            <w:tcW w:w="1860" w:type="dxa"/>
            <w:vAlign w:val="bottom"/>
            <w:gridSpan w:val="2"/>
            <w:shd w:val="clear" w:color="auto" w:fill="CCEEFF"/>
          </w:tcPr>
          <w:p>
            <w:pPr>
              <w:ind w:left="114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2"/>
                <w:szCs w:val="12"/>
                <w:color w:val="auto"/>
              </w:rPr>
              <w:t xml:space="preserve"> (1)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17,202</w:t>
            </w:r>
          </w:p>
        </w:tc>
        <w:tc>
          <w:tcPr>
            <w:tcW w:w="22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Purchases from this supplier did not total more than 10% of our total inventory purchases in this period.</w:t>
      </w:r>
    </w:p>
    <w:p>
      <w:pPr>
        <w:sectPr>
          <w:pgSz w:w="11900" w:h="16838" w:orient="portrait"/>
          <w:cols w:equalWidth="0" w:num="1">
            <w:col w:w="11420"/>
          </w:cols>
          <w:pgMar w:left="240" w:top="118" w:right="2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18" w:right="239" w:bottom="1440" w:gutter="0" w:footer="0" w:header="0"/>
          <w:type w:val="continuous"/>
        </w:sectPr>
      </w:pPr>
    </w:p>
    <w:bookmarkStart w:id="9" w:name="page10"/>
    <w:bookmarkEnd w:id="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Vendor</w:t>
      </w:r>
    </w:p>
    <w:p>
      <w:pPr>
        <w:spacing w:after="0" w:line="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purchase certain printed circuit board assemblies from a related party vendor. The vendor is considered a related party for financial reporting purposes because our Senior Vice President of Manufacturing owns 40% of this vendor. Inventory purchases from this vendor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7"/>
          </w:tcPr>
          <w:p>
            <w:pPr>
              <w:jc w:val="center"/>
              <w:ind w:left="348"/>
              <w:spacing w:after="0"/>
              <w:rPr>
                <w:sz w:val="20"/>
                <w:szCs w:val="20"/>
                <w:color w:val="auto"/>
              </w:rPr>
            </w:pPr>
            <w:r>
              <w:rPr>
                <w:rFonts w:ascii="Arial" w:cs="Arial" w:eastAsia="Arial" w:hAnsi="Arial"/>
                <w:sz w:val="14"/>
                <w:szCs w:val="14"/>
                <w:b w:val="1"/>
                <w:bCs w:val="1"/>
                <w:color w:val="auto"/>
                <w:w w:val="92"/>
              </w:rPr>
              <w:t>Three Months Ended June 30,</w:t>
            </w:r>
          </w:p>
        </w:tc>
        <w:tc>
          <w:tcPr>
            <w:tcW w:w="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14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68"/>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620" w:type="dxa"/>
            <w:vAlign w:val="bottom"/>
            <w:gridSpan w:val="6"/>
            <w:vMerge w:val="restart"/>
          </w:tcPr>
          <w:p>
            <w:pPr>
              <w:ind w:left="220"/>
              <w:spacing w:after="0"/>
              <w:rPr>
                <w:sz w:val="20"/>
                <w:szCs w:val="20"/>
                <w:color w:val="auto"/>
              </w:rPr>
            </w:pPr>
            <w:r>
              <w:rPr>
                <w:rFonts w:ascii="Arial" w:cs="Arial" w:eastAsia="Arial" w:hAnsi="Arial"/>
                <w:sz w:val="14"/>
                <w:szCs w:val="14"/>
                <w:b w:val="1"/>
                <w:bCs w:val="1"/>
                <w:color w:val="auto"/>
              </w:rPr>
              <w:t>$ (thousands)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4"/>
          </w:tcPr>
          <w:p>
            <w:pPr>
              <w:jc w:val="center"/>
              <w:ind w:right="540"/>
              <w:spacing w:after="0" w:line="153" w:lineRule="exact"/>
              <w:rPr>
                <w:sz w:val="20"/>
                <w:szCs w:val="20"/>
                <w:color w:val="auto"/>
              </w:rPr>
            </w:pPr>
            <w:r>
              <w:rPr>
                <w:rFonts w:ascii="Arial" w:cs="Arial" w:eastAsia="Arial" w:hAnsi="Arial"/>
                <w:sz w:val="14"/>
                <w:szCs w:val="14"/>
                <w:b w:val="1"/>
                <w:bCs w:val="1"/>
                <w:color w:val="auto"/>
                <w:w w:val="98"/>
              </w:rPr>
              <w:t>% of 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 (thousands)</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 of 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620" w:type="dxa"/>
            <w:vAlign w:val="bottom"/>
            <w:gridSpan w:val="6"/>
            <w:vMerge w:val="continue"/>
          </w:tcPr>
          <w:p>
            <w:pPr>
              <w:spacing w:after="0"/>
              <w:rPr>
                <w:sz w:val="16"/>
                <w:szCs w:val="16"/>
                <w:color w:val="auto"/>
              </w:rPr>
            </w:pPr>
          </w:p>
        </w:tc>
        <w:tc>
          <w:tcPr>
            <w:tcW w:w="174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1"/>
              </w:rPr>
              <w:t>Inventory Purchases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Inventory Purchases</w:t>
            </w:r>
          </w:p>
        </w:tc>
        <w:tc>
          <w:tcPr>
            <w:tcW w:w="0" w:type="dxa"/>
            <w:vAlign w:val="bottom"/>
          </w:tcPr>
          <w:p>
            <w:pPr>
              <w:spacing w:after="0"/>
              <w:rPr>
                <w:sz w:val="1"/>
                <w:szCs w:val="1"/>
                <w:color w:val="auto"/>
              </w:rPr>
            </w:pPr>
          </w:p>
        </w:tc>
      </w:tr>
      <w:tr>
        <w:trPr>
          <w:trHeight w:val="250"/>
        </w:trPr>
        <w:tc>
          <w:tcPr>
            <w:tcW w:w="48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Related party vendor</w:t>
            </w:r>
          </w:p>
        </w:tc>
        <w:tc>
          <w:tcPr>
            <w:tcW w:w="2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2,507</w:t>
            </w: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jc w:val="center"/>
              <w:ind w:left="308"/>
              <w:spacing w:after="0"/>
              <w:rPr>
                <w:sz w:val="20"/>
                <w:szCs w:val="20"/>
                <w:color w:val="auto"/>
              </w:rPr>
            </w:pPr>
            <w:r>
              <w:rPr>
                <w:rFonts w:ascii="Arial" w:cs="Arial" w:eastAsia="Arial" w:hAnsi="Arial"/>
                <w:sz w:val="14"/>
                <w:szCs w:val="14"/>
                <w:b w:val="1"/>
                <w:bCs w:val="1"/>
                <w:color w:val="auto"/>
                <w:w w:val="92"/>
              </w:rPr>
              <w:t>Six Months Ended June 30,</w:t>
            </w: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14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8"/>
          </w:tcPr>
          <w:p>
            <w:pPr>
              <w:jc w:val="right"/>
              <w:ind w:right="1408"/>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620" w:type="dxa"/>
            <w:vAlign w:val="bottom"/>
            <w:gridSpan w:val="6"/>
            <w:vMerge w:val="restart"/>
          </w:tcPr>
          <w:p>
            <w:pPr>
              <w:ind w:left="220"/>
              <w:spacing w:after="0"/>
              <w:rPr>
                <w:sz w:val="20"/>
                <w:szCs w:val="20"/>
                <w:color w:val="auto"/>
              </w:rPr>
            </w:pPr>
            <w:r>
              <w:rPr>
                <w:rFonts w:ascii="Arial" w:cs="Arial" w:eastAsia="Arial" w:hAnsi="Arial"/>
                <w:sz w:val="14"/>
                <w:szCs w:val="14"/>
                <w:b w:val="1"/>
                <w:bCs w:val="1"/>
                <w:color w:val="auto"/>
              </w:rPr>
              <w:t>$ (thousands)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4"/>
          </w:tcPr>
          <w:p>
            <w:pPr>
              <w:jc w:val="center"/>
              <w:ind w:right="580"/>
              <w:spacing w:after="0" w:line="153" w:lineRule="exact"/>
              <w:rPr>
                <w:sz w:val="20"/>
                <w:szCs w:val="20"/>
                <w:color w:val="auto"/>
              </w:rPr>
            </w:pPr>
            <w:r>
              <w:rPr>
                <w:rFonts w:ascii="Arial" w:cs="Arial" w:eastAsia="Arial" w:hAnsi="Arial"/>
                <w:sz w:val="14"/>
                <w:szCs w:val="14"/>
                <w:b w:val="1"/>
                <w:bCs w:val="1"/>
                <w:color w:val="auto"/>
                <w:w w:val="98"/>
              </w:rPr>
              <w:t>% of 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 (thousands)</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8"/>
              </w:rPr>
              <w:t>% of 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620" w:type="dxa"/>
            <w:vAlign w:val="bottom"/>
            <w:gridSpan w:val="6"/>
            <w:vMerge w:val="continue"/>
          </w:tcPr>
          <w:p>
            <w:pPr>
              <w:spacing w:after="0"/>
              <w:rPr>
                <w:sz w:val="16"/>
                <w:szCs w:val="16"/>
                <w:color w:val="auto"/>
              </w:rPr>
            </w:pPr>
          </w:p>
        </w:tc>
        <w:tc>
          <w:tcPr>
            <w:tcW w:w="174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1"/>
              </w:rPr>
              <w:t>Inventory Purchases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Inventory Purchases</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Related party vendor</w:t>
            </w:r>
          </w:p>
        </w:tc>
        <w:tc>
          <w:tcPr>
            <w:tcW w:w="2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4,451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4,230</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4820" w:type="dxa"/>
            <w:vAlign w:val="bottom"/>
            <w:gridSpan w:val="2"/>
          </w:tcPr>
          <w:p>
            <w:pPr>
              <w:spacing w:after="0"/>
              <w:rPr>
                <w:sz w:val="20"/>
                <w:szCs w:val="20"/>
                <w:color w:val="auto"/>
              </w:rPr>
            </w:pPr>
            <w:r>
              <w:rPr>
                <w:rFonts w:ascii="Arial" w:cs="Arial" w:eastAsia="Arial" w:hAnsi="Arial"/>
                <w:sz w:val="18"/>
                <w:szCs w:val="18"/>
                <w:color w:val="auto"/>
              </w:rPr>
              <w:t>Total accounts payable to this vendor were as follows:</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June 30, 2015</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9"/>
          </w:tcPr>
          <w:p>
            <w:pPr>
              <w:ind w:left="4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47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rPr>
              <w:t>$ (thousands)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6"/>
              </w:rPr>
              <w:t>% of Accounts Payable</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rPr>
              <w:t>$ (thousands)</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4"/>
              </w:rPr>
              <w:t>% of Accounts Payable</w:t>
            </w:r>
          </w:p>
        </w:tc>
        <w:tc>
          <w:tcPr>
            <w:tcW w:w="0" w:type="dxa"/>
            <w:vAlign w:val="bottom"/>
          </w:tcPr>
          <w:p>
            <w:pPr>
              <w:spacing w:after="0"/>
              <w:rPr>
                <w:sz w:val="1"/>
                <w:szCs w:val="1"/>
                <w:color w:val="auto"/>
              </w:rPr>
            </w:pPr>
          </w:p>
        </w:tc>
      </w:tr>
      <w:tr>
        <w:trPr>
          <w:trHeight w:val="243"/>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Related party vendor</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17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88"/>
              </w:rPr>
              <w:t>2,378</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47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payable terms and pricing with this vendor are consistent with the terms offered by other vendors in the ordinary course of business. The accounting policies that we apply to our transactions with our related party vendor are consistent with those applied in transactions with independent third parties. Corporate management routinely monitors purchases from our related party vendor to ensure these purchases remain consistent with our business objectives.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Intangible Assets,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5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642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30,739</w:t>
            </w:r>
          </w:p>
        </w:tc>
        <w:tc>
          <w:tcPr>
            <w:tcW w:w="0" w:type="dxa"/>
            <w:vAlign w:val="bottom"/>
          </w:tcPr>
          <w:p>
            <w:pPr>
              <w:spacing w:after="0"/>
              <w:rPr>
                <w:sz w:val="1"/>
                <w:szCs w:val="1"/>
                <w:color w:val="auto"/>
              </w:rPr>
            </w:pPr>
          </w:p>
        </w:tc>
      </w:tr>
      <w:tr>
        <w:trPr>
          <w:trHeight w:val="243"/>
        </w:trPr>
        <w:tc>
          <w:tcPr>
            <w:tcW w:w="3940" w:type="dxa"/>
            <w:vAlign w:val="bottom"/>
          </w:tcPr>
          <w:p>
            <w:pPr>
              <w:ind w:left="380"/>
              <w:spacing w:after="0"/>
              <w:rPr>
                <w:sz w:val="20"/>
                <w:szCs w:val="20"/>
                <w:color w:val="auto"/>
              </w:rPr>
            </w:pPr>
            <w:r>
              <w:rPr>
                <w:rFonts w:ascii="Arial" w:cs="Arial" w:eastAsia="Arial" w:hAnsi="Arial"/>
                <w:sz w:val="18"/>
                <w:szCs w:val="18"/>
                <w:color w:val="auto"/>
              </w:rPr>
              <w:t>FX effects</w:t>
            </w:r>
          </w:p>
        </w:tc>
        <w:tc>
          <w:tcPr>
            <w:tcW w:w="5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58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2015</w:t>
            </w:r>
          </w:p>
        </w:tc>
        <w:tc>
          <w:tcPr>
            <w:tcW w:w="642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30,593</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5860" w:type="dxa"/>
            <w:vAlign w:val="bottom"/>
            <w:tcBorders>
              <w:top w:val="single" w:sz="8" w:color="CCEEFF"/>
              <w:bottom w:val="single" w:sz="8" w:color="CCEEFF"/>
            </w:tcBorders>
            <w:vMerge w:val="restart"/>
          </w:tcPr>
          <w:p>
            <w:pPr>
              <w:jc w:val="right"/>
              <w:ind w:right="3910"/>
              <w:spacing w:after="0"/>
              <w:rPr>
                <w:sz w:val="20"/>
                <w:szCs w:val="20"/>
                <w:color w:val="auto"/>
              </w:rPr>
            </w:pPr>
            <w:r>
              <w:rPr>
                <w:rFonts w:ascii="Arial" w:cs="Arial" w:eastAsia="Arial" w:hAnsi="Arial"/>
                <w:sz w:val="18"/>
                <w:szCs w:val="18"/>
                <w:color w:val="auto"/>
              </w:rPr>
              <w:t>10</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940" w:type="dxa"/>
            <w:vAlign w:val="bottom"/>
          </w:tcPr>
          <w:p>
            <w:pPr>
              <w:spacing w:after="0"/>
              <w:rPr>
                <w:sz w:val="24"/>
                <w:szCs w:val="24"/>
                <w:color w:val="auto"/>
              </w:rPr>
            </w:pPr>
          </w:p>
        </w:tc>
        <w:tc>
          <w:tcPr>
            <w:tcW w:w="58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net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2015</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2014</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3"/>
                <w:szCs w:val="13"/>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8"/>
                <w:szCs w:val="8"/>
                <w:b w:val="1"/>
                <w:bCs w:val="1"/>
                <w:color w:val="auto"/>
              </w:rPr>
              <w:t>(1)</w:t>
            </w: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3"/>
                <w:szCs w:val="13"/>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w:t>
            </w:r>
          </w:p>
        </w:tc>
        <w:tc>
          <w:tcPr>
            <w:tcW w:w="26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8"/>
                <w:szCs w:val="8"/>
                <w:b w:val="1"/>
                <w:bCs w:val="1"/>
                <w:color w:val="auto"/>
              </w:rPr>
              <w:t>(1)</w:t>
            </w:r>
          </w:p>
        </w:tc>
        <w:tc>
          <w:tcPr>
            <w:tcW w:w="100" w:type="dxa"/>
            <w:vAlign w:val="bottom"/>
          </w:tcPr>
          <w:p>
            <w:pPr>
              <w:spacing w:after="0"/>
              <w:rPr>
                <w:sz w:val="13"/>
                <w:szCs w:val="13"/>
                <w:color w:val="auto"/>
              </w:rPr>
            </w:pPr>
          </w:p>
        </w:tc>
        <w:tc>
          <w:tcPr>
            <w:tcW w:w="13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3"/>
                <w:szCs w:val="13"/>
                <w:color w:val="auto"/>
              </w:rPr>
            </w:pPr>
          </w:p>
        </w:tc>
        <w:tc>
          <w:tcPr>
            <w:tcW w:w="9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1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 xml:space="preserve">Amortization </w:t>
            </w:r>
            <w:r>
              <w:rPr>
                <w:rFonts w:ascii="Arial" w:cs="Arial" w:eastAsia="Arial" w:hAnsi="Arial"/>
                <w:sz w:val="8"/>
                <w:szCs w:val="8"/>
                <w:b w:val="1"/>
                <w:bCs w:val="1"/>
                <w:color w:val="auto"/>
                <w:w w:val="96"/>
              </w:rPr>
              <w:t>(1)</w:t>
            </w:r>
          </w:p>
        </w:tc>
        <w:tc>
          <w:tcPr>
            <w:tcW w:w="3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 xml:space="preserve">Amortization </w:t>
            </w:r>
            <w:r>
              <w:rPr>
                <w:rFonts w:ascii="Arial" w:cs="Arial" w:eastAsia="Arial" w:hAnsi="Arial"/>
                <w:sz w:val="8"/>
                <w:szCs w:val="8"/>
                <w:b w:val="1"/>
                <w:bCs w:val="1"/>
                <w:color w:val="auto"/>
                <w:w w:val="96"/>
              </w:rPr>
              <w:t>(1)</w:t>
            </w:r>
          </w:p>
        </w:tc>
        <w:tc>
          <w:tcPr>
            <w:tcW w:w="3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rights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Patents</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10,708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6,103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10,107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5,371</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 names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Developed and core technology</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3,507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3,506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Capitalized software development costs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26,412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14,216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26,406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15,481</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intangible assets,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43,224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23,761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42,643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24,614</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300" w:hanging="328"/>
        <w:spacing w:after="0" w:line="216"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This table excludes the gross value of fully amortized intangible assets totaling $8.5 million and $7.9 million on June 30, 2015 and December 31, 2014, respectively.</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is recorded in selling, general and administrative expenses, except amortization expense related to capitalized software development costs which is recorded in cost of sales. Amortization expense by income statement caption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6"/>
          </w:tcPr>
          <w:p>
            <w:pPr>
              <w:ind w:left="26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auto"/>
            </w:tcBorders>
          </w:tcPr>
          <w:p>
            <w:pPr>
              <w:spacing w:after="0"/>
              <w:rPr>
                <w:sz w:val="22"/>
                <w:szCs w:val="2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1,983</w:t>
            </w:r>
          </w:p>
        </w:tc>
        <w:tc>
          <w:tcPr>
            <w:tcW w:w="20" w:type="dxa"/>
            <w:vAlign w:val="bottom"/>
          </w:tcPr>
          <w:p>
            <w:pPr>
              <w:spacing w:after="0"/>
              <w:rPr>
                <w:sz w:val="21"/>
                <w:szCs w:val="2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amortization expense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1,049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359"/>
        </w:trPr>
        <w:tc>
          <w:tcPr>
            <w:tcW w:w="7460" w:type="dxa"/>
            <w:vAlign w:val="bottom"/>
            <w:gridSpan w:val="5"/>
          </w:tcPr>
          <w:p>
            <w:pPr>
              <w:spacing w:after="0"/>
              <w:rPr>
                <w:sz w:val="20"/>
                <w:szCs w:val="20"/>
                <w:color w:val="auto"/>
              </w:rPr>
            </w:pPr>
            <w:r>
              <w:rPr>
                <w:rFonts w:ascii="Arial" w:cs="Arial" w:eastAsia="Arial" w:hAnsi="Arial"/>
                <w:sz w:val="18"/>
                <w:szCs w:val="18"/>
                <w:color w:val="auto"/>
                <w:w w:val="92"/>
              </w:rPr>
              <w:t>Estimated future amortization expense related to our intangible assets at June 30, 2015, is as follows: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 (remaining 6 months)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2,079</w:t>
            </w:r>
          </w:p>
        </w:tc>
        <w:tc>
          <w:tcPr>
            <w:tcW w:w="20" w:type="dxa"/>
            <w:vAlign w:val="bottom"/>
          </w:tcPr>
          <w:p>
            <w:pPr>
              <w:spacing w:after="0"/>
              <w:rPr>
                <w:sz w:val="22"/>
                <w:szCs w:val="22"/>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4,121</w:t>
            </w:r>
          </w:p>
        </w:tc>
        <w:tc>
          <w:tcPr>
            <w:tcW w:w="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4,049</w:t>
            </w:r>
          </w:p>
        </w:tc>
        <w:tc>
          <w:tcPr>
            <w:tcW w:w="20" w:type="dxa"/>
            <w:vAlign w:val="bottom"/>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4,022</w:t>
            </w:r>
          </w:p>
        </w:tc>
        <w:tc>
          <w:tcPr>
            <w:tcW w:w="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4,022</w:t>
            </w:r>
          </w:p>
        </w:tc>
        <w:tc>
          <w:tcPr>
            <w:tcW w:w="20" w:type="dxa"/>
            <w:vAlign w:val="bottom"/>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5,468</w:t>
            </w:r>
          </w:p>
        </w:tc>
        <w:tc>
          <w:tcPr>
            <w:tcW w:w="20" w:type="dxa"/>
            <w:vAlign w:val="bottom"/>
          </w:tcPr>
          <w:p>
            <w:pPr>
              <w:spacing w:after="0"/>
              <w:rPr>
                <w:sz w:val="21"/>
                <w:szCs w:val="2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23,761</w:t>
            </w:r>
          </w:p>
        </w:tc>
        <w:tc>
          <w:tcPr>
            <w:tcW w:w="20" w:type="dxa"/>
            <w:vAlign w:val="bottom"/>
          </w:tcPr>
          <w:p>
            <w:pPr>
              <w:spacing w:after="0"/>
              <w:rPr>
                <w:sz w:val="22"/>
                <w:szCs w:val="22"/>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Line of Credit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9, 2014, we extended the term of our Amended and Restated Credit Agreement ("Amended Credit Agreement") with U.S. Bank National Association ("U.S. Bank") to November 1, 2017. The Amended Credit Agreement provides for a $55.0 million line of credit ("Credit Line") that may be used for working capital and other general corporate purposes including acquisitions, share repurchases and capital expenditures. Amounts available for borrowing under the Credit Line are reduced by the balance of any outstanding letters of credit, of which there were $13 thousand at June 30, 2015.</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People's Republic of China ("PRC").</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Amended Credit Agreement, we may elect to pay interest on the Credit Line based on LIBOR plus an applicable margin (varying from 1.25% to 1.75%) or base rate (based on the prime rate of U.S. Bank or as otherwise specified in the Amended Credit</w:t>
      </w:r>
    </w:p>
    <w:p>
      <w:pPr>
        <w:sectPr>
          <w:pgSz w:w="11900" w:h="16838" w:orient="portrait"/>
          <w:cols w:equalWidth="0" w:num="1">
            <w:col w:w="11420"/>
          </w:cols>
          <w:pgMar w:left="240" w:top="11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18" w:right="239" w:bottom="1440" w:gutter="0" w:footer="0" w:header="0"/>
          <w:type w:val="continuous"/>
        </w:sectPr>
      </w:pPr>
    </w:p>
    <w:bookmarkStart w:id="11" w:name="page12"/>
    <w:bookmarkEnd w:id="1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Agreement) plus an applicable margin (varying from 0.00% to 0.50%). The applicable margins are calculated quarterly and vary based on our cash flow leverage ratio as set forth in the Amended Credit Agreement. There are no commitment fees or unused line fees under the Amended Credit Agreement.</w:t>
      </w:r>
    </w:p>
    <w:p>
      <w:pPr>
        <w:spacing w:after="0" w:line="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Amended Credit Agreement includes financial covenants requiring a minimum fixed charge coverage ratio and a maximum cash flow leverage ratio. In addition, the Amended Credit Agreement also contains other customary affirmative and negative covenants and events of default. As of June 30, 2015, we were in compliance with the covenants and conditions of the Amended Credit Agreement.</w:t>
      </w:r>
    </w:p>
    <w:p>
      <w:pPr>
        <w:spacing w:after="0" w:line="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June 30, 2015, we had $12.0 million outstanding under the Credit Line. Our total interest expense on borrowings was $17 thousand during the three and six months ended June 30, 2015. We had no interest expense or borrowings during the three and six months ended June 30,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utilize our estimated annual effective tax rate to determine our provision for income taxes for interim periods. The income tax provision is computed by taking the estimated annual effective tax rate and multiplying it by the year-to-date pre-tax book income.</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recorded income tax expense of $2.2 million and $2.8 million for the three months ended June 30, 2015 and 2014, respectively. Our effective tax rate was 20.7% and 24.7% during the three months ended June 30, 2015 and 2014, respectively. The decrease in our effective tax rate was primarily due to the recording of a $0.5 million tax refund in the current year period relating to tax incentives in China for the years 2012 through 2014.</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recorded income tax expense of $3.4 million and $4.1 million for the six months ended June 30, 2015 and 2014, respectively. Our effective tax rate was 20.2% and 24.5% during the six months ended June 30, 2015 and 2014, respectively. The decrease in our effective tax rate was primarily due to the recording of $0.8 million in tax refunds in the current year period, of which $0.5 million related to tax incentives in China for the years 2012 through 2014 and $0.3 million related to certain deductible research and development expenses incurred in China during 2013.</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June 30, 2015, we had gross unrecognized tax benefits of $3.7 million, including interest and penalties, of which $3.2 million would affect the annual effective tax rate if these tax benefits are realized. Further, we are unaware of any positions for which it is reasonably possible that the total amount of unrecognized tax benefits will significantly increase within the next twelve months. However, based on federal, state and foreign statute expirations in various jurisdictions, we anticipate a decrease in unrecognized tax benefits of approximately $0.5 million within the next twelve months. We have classified uncertain tax positions as non-current income tax liabilities unless expected to be paid within one year.</w:t>
      </w:r>
    </w:p>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elected to classify interest and penalties as a component of tax expense. Accrued interest and penalties of $0.2 million and $0.2 million on June 30, 2015 and December 31, 2014, respectively, are included in our unrecognized tax benefits.</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file income tax returns in the U.S. federal jurisdiction, and in various state and foreign jurisdictions. On June 30, 2015, the open statutes of limitations in our significant tax jurisdictions were as follows: federal 2011 through 2014, state 2010 through 2014, and foreign 2008 through 2014.</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Accrued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2015</w:t>
            </w:r>
          </w:p>
        </w:tc>
        <w:tc>
          <w:tcPr>
            <w:tcW w:w="180" w:type="dxa"/>
            <w:vAlign w:val="bottom"/>
          </w:tcPr>
          <w:p>
            <w:pPr>
              <w:spacing w:after="0"/>
              <w:rPr>
                <w:sz w:val="16"/>
                <w:szCs w:val="16"/>
                <w:color w:val="auto"/>
              </w:rPr>
            </w:pPr>
          </w:p>
        </w:tc>
        <w:tc>
          <w:tcPr>
            <w:tcW w:w="1520" w:type="dxa"/>
            <w:vAlign w:val="bottom"/>
          </w:tcPr>
          <w:p>
            <w:pPr>
              <w:jc w:val="right"/>
              <w:ind w:right="192"/>
              <w:spacing w:after="0"/>
              <w:rPr>
                <w:sz w:val="20"/>
                <w:szCs w:val="20"/>
                <w:color w:val="auto"/>
              </w:rPr>
            </w:pPr>
            <w:r>
              <w:rPr>
                <w:rFonts w:ascii="Arial" w:cs="Arial" w:eastAsia="Arial" w:hAnsi="Arial"/>
                <w:sz w:val="14"/>
                <w:szCs w:val="14"/>
                <w:b w:val="1"/>
                <w:bCs w:val="1"/>
                <w:color w:val="auto"/>
                <w:w w:val="96"/>
              </w:rPr>
              <w:t>December 31, 2014</w:t>
            </w:r>
          </w:p>
        </w:tc>
      </w:tr>
      <w:tr>
        <w:trPr>
          <w:trHeight w:val="270"/>
        </w:trPr>
        <w:tc>
          <w:tcPr>
            <w:tcW w:w="786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Accrued social insurance </w:t>
            </w:r>
            <w:r>
              <w:rPr>
                <w:rFonts w:ascii="Arial" w:cs="Arial" w:eastAsia="Arial" w:hAnsi="Arial"/>
                <w:sz w:val="25"/>
                <w:szCs w:val="25"/>
                <w:color w:val="auto"/>
                <w:vertAlign w:val="superscript"/>
              </w:rPr>
              <w:t>(1)</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19,921</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19,941</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Accrued salary/wages</w:t>
            </w:r>
          </w:p>
        </w:tc>
        <w:tc>
          <w:tcPr>
            <w:tcW w:w="2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6,876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6,114</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vacation/holiday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2,222</w:t>
            </w:r>
          </w:p>
        </w:tc>
      </w:tr>
      <w:tr>
        <w:trPr>
          <w:trHeight w:val="270"/>
        </w:trPr>
        <w:tc>
          <w:tcPr>
            <w:tcW w:w="78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Accrued bonus </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2,309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8,492</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commission</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1,797</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Accrued medical insurance claims</w:t>
            </w:r>
          </w:p>
        </w:tc>
        <w:tc>
          <w:tcPr>
            <w:tcW w:w="2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236</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compensation</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1,854</w:t>
            </w:r>
          </w:p>
        </w:tc>
      </w:tr>
      <w:tr>
        <w:trPr>
          <w:trHeight w:val="237"/>
        </w:trPr>
        <w:tc>
          <w:tcPr>
            <w:tcW w:w="7860" w:type="dxa"/>
            <w:vAlign w:val="bottom"/>
          </w:tcPr>
          <w:p>
            <w:pPr>
              <w:ind w:left="380"/>
              <w:spacing w:after="0"/>
              <w:rPr>
                <w:sz w:val="20"/>
                <w:szCs w:val="20"/>
                <w:color w:val="auto"/>
              </w:rPr>
            </w:pPr>
            <w:r>
              <w:rPr>
                <w:rFonts w:ascii="Arial" w:cs="Arial" w:eastAsia="Arial" w:hAnsi="Arial"/>
                <w:sz w:val="18"/>
                <w:szCs w:val="18"/>
                <w:color w:val="auto"/>
              </w:rPr>
              <w:t>Total accrued compensation</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33,672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40,656</w:t>
            </w:r>
          </w:p>
        </w:tc>
      </w:tr>
      <w:tr>
        <w:trPr>
          <w:trHeight w:val="27"/>
        </w:trPr>
        <w:tc>
          <w:tcPr>
            <w:tcW w:w="7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35" w:lineRule="auto"/>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Effective January 1, 2008, the Chinese Labor Contract Law was enacted in the PRC. This law mandated that PRC employers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June 30, 2015 and December 31, 2014.</w:t>
      </w:r>
    </w:p>
    <w:p>
      <w:pPr>
        <w:spacing w:after="0" w:line="96" w:lineRule="exact"/>
        <w:rPr>
          <w:rFonts w:ascii="Arial" w:cs="Arial" w:eastAsia="Arial" w:hAnsi="Arial"/>
          <w:sz w:val="25"/>
          <w:szCs w:val="25"/>
          <w:color w:val="auto"/>
          <w:vertAlign w:val="superscript"/>
        </w:rPr>
      </w:pPr>
    </w:p>
    <w:p>
      <w:pPr>
        <w:jc w:val="both"/>
        <w:ind w:left="660" w:hanging="328"/>
        <w:spacing w:after="0" w:line="220" w:lineRule="auto"/>
        <w:tabs>
          <w:tab w:leader="none" w:pos="660"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Accrued bonus includes an accrual for an extra month of salary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to be paid to employees in certain geographies where it is the customary business practice. This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is paid to these employees if they remain employed with us through December 31st. The total accrued for the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was $0.6 million and $0.6 million at June 30, 2015 and December 31, 2014,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Accrued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expenses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2015</w:t>
            </w:r>
          </w:p>
        </w:tc>
        <w:tc>
          <w:tcPr>
            <w:tcW w:w="180" w:type="dxa"/>
            <w:vAlign w:val="bottom"/>
          </w:tcPr>
          <w:p>
            <w:pPr>
              <w:spacing w:after="0"/>
              <w:rPr>
                <w:sz w:val="16"/>
                <w:szCs w:val="16"/>
                <w:color w:val="auto"/>
              </w:rPr>
            </w:pPr>
          </w:p>
        </w:tc>
        <w:tc>
          <w:tcPr>
            <w:tcW w:w="152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December 31, 2014</w:t>
            </w:r>
          </w:p>
        </w:tc>
      </w:tr>
      <w:tr>
        <w:trPr>
          <w:trHeight w:val="250"/>
        </w:trPr>
        <w:tc>
          <w:tcPr>
            <w:tcW w:w="7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 and marketing</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648</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947</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Freight and handling fees</w:t>
            </w:r>
          </w:p>
        </w:tc>
        <w:tc>
          <w:tcPr>
            <w:tcW w:w="2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1,255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1,522</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751</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Product warranty claim costs</w:t>
            </w:r>
          </w:p>
        </w:tc>
        <w:tc>
          <w:tcPr>
            <w:tcW w:w="2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353</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1,493</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Sales taxes and VAT</w:t>
            </w:r>
          </w:p>
        </w:tc>
        <w:tc>
          <w:tcPr>
            <w:tcW w:w="2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3,099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2,057</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Third-party commissions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553</w:t>
            </w:r>
          </w:p>
        </w:tc>
      </w:tr>
      <w:tr>
        <w:trPr>
          <w:trHeight w:val="270"/>
        </w:trPr>
        <w:tc>
          <w:tcPr>
            <w:tcW w:w="78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Tooling </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1,367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1,089</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 on foreign currency exchange futures contracts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Utilities</w:t>
            </w:r>
          </w:p>
        </w:tc>
        <w:tc>
          <w:tcPr>
            <w:tcW w:w="2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275</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3,383</w:t>
            </w:r>
          </w:p>
        </w:tc>
      </w:tr>
      <w:tr>
        <w:trPr>
          <w:trHeight w:val="237"/>
        </w:trPr>
        <w:tc>
          <w:tcPr>
            <w:tcW w:w="7860" w:type="dxa"/>
            <w:vAlign w:val="bottom"/>
          </w:tcPr>
          <w:p>
            <w:pPr>
              <w:ind w:left="380"/>
              <w:spacing w:after="0"/>
              <w:rPr>
                <w:sz w:val="20"/>
                <w:szCs w:val="20"/>
                <w:color w:val="auto"/>
              </w:rPr>
            </w:pPr>
            <w:r>
              <w:rPr>
                <w:rFonts w:ascii="Arial" w:cs="Arial" w:eastAsia="Arial" w:hAnsi="Arial"/>
                <w:sz w:val="18"/>
                <w:szCs w:val="18"/>
                <w:color w:val="auto"/>
              </w:rPr>
              <w:t>Total other accrued expenses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13,614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13,358</w:t>
            </w:r>
          </w:p>
        </w:tc>
      </w:tr>
      <w:tr>
        <w:trPr>
          <w:trHeight w:val="27"/>
        </w:trPr>
        <w:tc>
          <w:tcPr>
            <w:tcW w:w="7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620" w:right="3740" w:hanging="5288"/>
        <w:spacing w:after="0" w:line="466" w:lineRule="auto"/>
        <w:tabs>
          <w:tab w:leader="none" w:pos="652"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The tooling accrual balance relates to unearned revenue for tooling that will be sold to customers. 13</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liability for product warranty claim costs were as follows:</w:t>
      </w: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beginning of period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Accruals for warranties issued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Settlements (in cash or in kind) during the period</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end of period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2383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0" w:type="dxa"/>
            <w:vAlign w:val="bottom"/>
          </w:tcPr>
          <w:p>
            <w:pPr>
              <w:spacing w:after="0"/>
              <w:rPr>
                <w:sz w:val="18"/>
                <w:szCs w:val="18"/>
                <w:color w:val="auto"/>
              </w:rPr>
            </w:pPr>
          </w:p>
        </w:tc>
        <w:tc>
          <w:tcPr>
            <w:tcW w:w="1300" w:type="dxa"/>
            <w:vAlign w:val="bottom"/>
          </w:tcPr>
          <w:p>
            <w:pPr>
              <w:jc w:val="right"/>
              <w:ind w:right="612"/>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612"/>
              <w:spacing w:after="0"/>
              <w:rPr>
                <w:sz w:val="20"/>
                <w:szCs w:val="20"/>
                <w:color w:val="auto"/>
              </w:rPr>
            </w:pPr>
            <w:r>
              <w:rPr>
                <w:rFonts w:ascii="Arial" w:cs="Arial" w:eastAsia="Arial" w:hAnsi="Arial"/>
                <w:sz w:val="16"/>
                <w:szCs w:val="16"/>
                <w:b w:val="1"/>
                <w:bCs w:val="1"/>
                <w:color w:val="auto"/>
              </w:rPr>
              <w:t>2014</w:t>
            </w:r>
          </w:p>
        </w:tc>
      </w:tr>
      <w:tr>
        <w:trPr>
          <w:trHeight w:val="33"/>
        </w:trPr>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41</w:t>
            </w:r>
          </w:p>
        </w:tc>
      </w:tr>
      <w:tr>
        <w:trPr>
          <w:trHeight w:val="270"/>
        </w:trPr>
        <w:tc>
          <w:tcPr>
            <w:tcW w:w="42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216</w:t>
            </w:r>
          </w:p>
        </w:tc>
      </w:tr>
      <w:tr>
        <w:trPr>
          <w:trHeight w:val="270"/>
        </w:trPr>
        <w:tc>
          <w:tcPr>
            <w:tcW w:w="4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216</w:t>
            </w:r>
          </w:p>
        </w:tc>
      </w:tr>
      <w:tr>
        <w:trPr>
          <w:trHeight w:val="27"/>
        </w:trPr>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635" w:lineRule="exact"/>
        <w:rPr>
          <w:sz w:val="20"/>
          <w:szCs w:val="20"/>
          <w:color w:val="auto"/>
        </w:rPr>
      </w:pPr>
    </w:p>
    <w:p>
      <w:pPr>
        <w:sectPr>
          <w:pgSz w:w="11900" w:h="16838" w:orient="portrait"/>
          <w:cols w:equalWidth="0" w:num="2">
            <w:col w:w="7140" w:space="720"/>
            <w:col w:w="3560"/>
          </w:cols>
          <w:pgMar w:left="240" w:top="118" w:right="239" w:bottom="1440" w:gutter="0" w:footer="0" w:header="0"/>
          <w:type w:val="continuous"/>
        </w:sectPr>
      </w:pPr>
    </w:p>
    <w:p>
      <w:pPr>
        <w:spacing w:after="0" w:line="2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On March 2, 2012, we filed a lawsuit against Universal Remote Control, Inc. ("URC") in the United States District Court, Central District of California (Universal Electronics Inc. v. Universal Remote Control, Inc., SACV12-0039 AG (JPRx)) alleging that URC was infringing, directly and indirectly, four of our patents related to remote control technology. We alleged that this complaint related to multiple URC remote control products, including the URC model numbers UR5U-9000L, WR7 and other remote controls with different model names or numbers, but with substantially the same designs, features, and functionalities. We sought monetary relief for the infringement, including enhanced damages due to the willfulness of URC's actions, injunctive relief to enjoin URC from further infringing, including contributory infringement and/or inducing infringement, and attorney's fees. URC denied infringing our patents and asserted a variety of counterclaims and affirmative defenses including invalidity and unenforceability of our patents, misuse of patents, and a breach of contract action stemming from the settlement by us of an earlier lawsuit against URC. On January 29, 2013, the Court held its "Markman" hearing and on February 1, 2013, the Court issued its ruling that four of the 24 claims we asserted against URC were invalid, effectively removing one of the four patents alleged by us to be infringed by URC from this litigation. In March 2014, the Court further narrowed the scope of this litigation granting URC's motion for summary judgment with respect to certain issues that effectively removed two additional patents. In March 2014, the Court also granted our motion for summary judgment on certain of URC's defenses and counterclaims, including URC's counterclaim for breach of contract. A trial was held in May 2014, and the jury returned a verdict that URC did not infringe on our remaining patent, and found for URC on patent validity and several equitable defenses in the lawsuit, although the jury's verdict on the equitable defenses was advisory in nature. A hearing on motions pertaining to the jury's verdict was held on August 18, 2014. On December 16, 2014, the Court entered its findings of fact and conclusions of law on the equitable issues and determined that our assertion of URC's infringement of one of the patents at issue was barred by laches, but not by equitable estoppel or patent misuse. Further, the Court determined that our right to seek relief was not barred by unclean hands and on January 27, 2015, final judgment was entered by the Court accepting the jury's verdict pertaining to invalidity, non-infringement, marking, and the equitable defense of laches and ordered us to pay URC's costs of litigation, exclusive of attorney's fees. The parties have filed briefs in support of and opposition to the amount of such costs and fees to be awarded. URC is seeking an award of its costs in excess of $0.2 million. We have vigorously opposed this request as unreasonably excessive. We are awaiting the Court's determination of the amount of the award and depending upon the Court's decision, we will decide whether to appeal the ruling or not. At this time, since URC's and our opinions are very far apart as to the amount of costs to which URC should be awarded, we cannot estimate the amount the Court may award. On January 22, 2015, URC filed a motion seeking to recover its attorneys' fees and expenses incurred in connection with its defense of this lawsuit. We opposed this motion. On March 10, 2015, after a hearing, the Court granted URC's motion for a portion of its attorneys' fees and expenses and the parties have filed briefs in support of and opposition to the amount of fees and expenses to be awarded. URC is seeking an award of attorneys' fees and expenses in excess of $5.7 million. We have vigorously opposed this request as unreasonably excessive. We are awaiting the Court's determination of the amount of the award and depending upon the Court's decision, we will decide whether to appeal the ruling or not. At this time, since URC's and our opinions are very far apart as to the amount of fees and expenses to which URC could be awarded and due to the lack of guiding judicial precedent, we cannot estimate the amount the Court may award and thus no accrual for potential loss has been recorded as of June 30, 2015. On February 26, 2015, URC filed its notice of appeal with respect to rulings against it pertaining to the issues of patent misuse, unclean hands, implied license and all adverse orders, decisions, and opinions rulings of the Court, which appeal we will vigorously defend against and on March 11, 2015, we filed our notice of appeal with respect to the final judgment entered against us on January 27, 2015, with respect to the Court's claim construction order entered on February 1, 2013 and from the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8" w:right="239" w:bottom="1440" w:gutter="0" w:footer="0" w:header="0"/>
          <w:type w:val="continuous"/>
        </w:sectPr>
      </w:pPr>
    </w:p>
    <w:bookmarkStart w:id="14" w:name="page15"/>
    <w:bookmarkEnd w:id="1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 granted URC's motion for attorneys' fees. Finally, on April 8, 2015, URC filed its notice of appeal with respect to the Court's order granting its motion for attorneys' fees.</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June 28, 2013, we filed a second lawsuit against URC, also in the United States District Court, Central District of California (Universal Electronics Inc. v. Universal Remote Control, Inc., SACV13-00987 JAK (SHx)). In this second lawsuit, we are alleging that URC is infringing, directly and indirectly, ten additional patents that we own related to remote control technology. As in the first lawsuit, in this second lawsuit we have alleged that this complaint relates to multiple URC remote control products. We are seeking monetary relief for infringement, including enhanced damages due to the willfulness of URC's actions, injunctive relief to enjoin URC from further infringing, including contributory infringement and/or inducing infringement, and attorney's fees. In mid-July 2013, URC filed a Notice of Related Cases seeking to join this lawsuit with the lawsuit we filed against URC on March 2, 2012 and we did not object to this Notice. Consequently, this lawsuit was transferred to the Judge and Magistrate hearing our first lawsuit filed against URC. In addition, URC answered this complaint with a denial of infringement, asserting affirmative defenses, and seeking a ruling that URC has not infringed our patents, that our patents are invalid and unenforceable, that the patents have been licensed to URC, and an award of attorneys' fees and costs. In mid-November 2013, we filed a motion to add affiliated URC suppliers, Ohsung Electronics Co, Ltd, a South Korean entity, and Ohsung Electronics USA, Inc., a California entity, (collectively "Ohsung"), to the lawsuit. In February 2014, Ohsung answered and counterclaimed with a general denial of wrongdoing and asserted the standard affirmative defenses of non-infringement, invalidity and unenforceability of our patents and breach of contract action stemming from the settlement by us of an earlier lawsuit against URC. In March 2014, we answered by disputing Ohsung's defenses and with a general denial of Ohsung's breach of contract complaint. In late June and early July of 2014, URC and Ohsung requested inter partes review ("IPR") with the US Patent and Trademark Office ("Patent Office" or "USPTO") for each of the ten patents pending in the second URC lawsuit. We intend to vigorously defend each patent before the Patent Office. During December 2014 and January 2015, the Patent Office issued its decisions on URC's petitions and accepted for review all claims at issue with respect to five of the patents, certain claims at issue with respect to two of the patents and denied in full the request to review the other three patents at issue.We are presently reviewing the Patent Office's decisions to determine our next steps which could include appealing the Patent Office's acceptance of some or all of the seven patents and/or defending the patents in front of the USPTO. While the Patent Office was considering the IPR requests, this second lawsuit was stayed by the Court. On March 5, 2015, the Court granted the parties Joint Stipulation agreeing that the stay continue while the Patent Office decides the IPRs, which decisions are not expected until January 2016.</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or about June 10, 2015, FM Marketing GmbH (“FMH”) and Ruwido Austria GmbH (“Ruwido”), filed a Summons in Summary Proceedings in Belgium court against one of our subsidiaries, Universal Electronics BV (“UEBV”) and one of its customers, Telenet N.V. (“Telenet”), claiming that one of the products UEBV supplies Telenet violates two design patents and one utility patent owned by FMH and/or Ruwido. By this summons, FMH and Ruwido are seeking to enjoin Telenet and UEBV from continued distribution and use of the products at issue. Both UEBV and Telenet deny the allegations of infringement and have begun their defense. As this proceeding is in the very early stages and we have just begun our analysis of the merits of FMH and Ruwido’s claims, a determination of any outcome cannot be made at this time.</w:t>
      </w:r>
    </w:p>
    <w:p>
      <w:pPr>
        <w:spacing w:after="0" w:line="13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financial condition, results of operations, or cash flows. Moreover, we believe that our products do not infringe any third parties' patents or other intellectual property rights.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Treasury Stock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of our common stock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836"/>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share data)</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2014</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repurchased</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648,708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349,533</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Cost of shares repurchased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34,297</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14,275</w:t>
            </w:r>
          </w:p>
        </w:tc>
      </w:tr>
    </w:tbl>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Repurchased shares are recorded as shares held in treasury at cost. We hold these shares for future use as management and the Board of Directors deem appropriate, which has included compensating our outside directors. During the six months ended June 30, 2014, we issued 15,000 shares from treasury to outside directors for services performed (see Note 13).</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our Board of Directors authorizes management to repurchase shares of our issued and outstanding common stock on the open market. Repurchases may be made to manage dilution created by shares issued under our stock incentive plans or whenever we deem a repurchase is a good use of our cash and the price to be paid is at or below a threshold approved by our Board. As of June 30, 2015, we had 526,069 shares available for repurchase on the open market under the Board's authorizations. On July 28, 2015, our Board increased these repurchase authorizations by 403,003 shares bringing the total authorization as of the approval date to 700,000 shares.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Business Segment and Foreign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operating segment, in part, is a component of an enterprise whose operating results are regularly reviewed by the chief operating decision maker to make decisions about resources to be allocated to the segment and assess its performance. Operating segments may be aggregated only to a limited extent. Our chief operating decision maker, the Chief Executive Officer, reviews financial information presented on a consolidated basis, accompanied by disaggregated information about revenues for purposes of making operating decisions and assessing financial performance. Accordingly, we only have a single operating and reportable segment.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net sales to external customers by geographic area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62,349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50,662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117,108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98,558</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Asia (excluding PRC)</w:t>
            </w:r>
          </w:p>
        </w:tc>
        <w:tc>
          <w:tcPr>
            <w:tcW w:w="3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30,645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32,114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61,665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63,632</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People's Republic of China</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21,368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37,204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49,757</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Europe</w:t>
            </w:r>
          </w:p>
        </w:tc>
        <w:tc>
          <w:tcPr>
            <w:tcW w:w="3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16,112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19,244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31,134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34,515</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20,918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19,638</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6,681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4,595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12,227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10,060</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147,551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146,315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280,256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276,160</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of the customer billing location was the basis used for attributing revenues from external customers to geographic areas.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Long-lived tangible assets by geographic area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2015</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2014</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5,716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People's Republic of China</w:t>
            </w: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78,654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70,619</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 countries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5,604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5,271</w:t>
            </w: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Total long-lived tangible assets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89,744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81,606</w:t>
            </w:r>
          </w:p>
        </w:tc>
      </w:tr>
      <w:tr>
        <w:trPr>
          <w:trHeight w:val="27"/>
        </w:trPr>
        <w:tc>
          <w:tcPr>
            <w:tcW w:w="7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18" w:right="239" w:bottom="1440" w:gutter="0" w:footer="0" w:header="0"/>
          <w:type w:val="continuous"/>
        </w:sectPr>
      </w:pPr>
    </w:p>
    <w:bookmarkStart w:id="16" w:name="page17"/>
    <w:bookmarkEnd w:id="1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Stock-Based Compensation</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Stock-based compensation expense for each employee and director is presented in the same income statement caption as their cash compensation. Stock-based compensation expense by income statement caption and the related income tax benefit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60" w:type="dxa"/>
            <w:vAlign w:val="bottom"/>
            <w:tcBorders>
              <w:bottom w:val="single" w:sz="8" w:color="auto"/>
            </w:tcBorders>
            <w:gridSpan w:val="7"/>
          </w:tcPr>
          <w:p>
            <w:pPr>
              <w:jc w:val="right"/>
              <w:ind w:right="392"/>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440" w:type="dxa"/>
            <w:vAlign w:val="bottom"/>
            <w:tcBorders>
              <w:bottom w:val="single" w:sz="8" w:color="CCEEFF"/>
            </w:tcBorders>
            <w:gridSpan w:val="2"/>
            <w:shd w:val="clear" w:color="auto" w:fill="CCEEFF"/>
          </w:tcPr>
          <w:p>
            <w:pPr>
              <w:jc w:val="right"/>
              <w:ind w:right="68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w:t>
            </w:r>
          </w:p>
        </w:tc>
        <w:tc>
          <w:tcPr>
            <w:tcW w:w="38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360"/>
              <w:spacing w:after="0"/>
              <w:rPr>
                <w:sz w:val="20"/>
                <w:szCs w:val="20"/>
                <w:color w:val="auto"/>
              </w:rPr>
            </w:pPr>
            <w:r>
              <w:rPr>
                <w:rFonts w:ascii="Arial" w:cs="Arial" w:eastAsia="Arial" w:hAnsi="Arial"/>
                <w:sz w:val="18"/>
                <w:szCs w:val="18"/>
                <w:color w:val="auto"/>
              </w:rPr>
              <w:t>Employees</w:t>
            </w: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8"/>
              </w:rPr>
              <w:t>1,535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3,006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Outside directors</w:t>
            </w:r>
          </w:p>
        </w:tc>
        <w:tc>
          <w:tcPr>
            <w:tcW w:w="5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580" w:type="dxa"/>
            <w:vAlign w:val="bottom"/>
          </w:tcPr>
          <w:p>
            <w:pPr>
              <w:spacing w:after="0"/>
              <w:rPr>
                <w:sz w:val="20"/>
                <w:szCs w:val="20"/>
                <w:color w:val="auto"/>
              </w:rPr>
            </w:pPr>
          </w:p>
        </w:tc>
        <w:tc>
          <w:tcPr>
            <w:tcW w:w="860" w:type="dxa"/>
            <w:vAlign w:val="bottom"/>
            <w:tcBorders>
              <w:top w:val="single" w:sz="8" w:color="auto"/>
            </w:tcBorders>
          </w:tcPr>
          <w:p>
            <w:pPr>
              <w:jc w:val="right"/>
              <w:ind w:right="682"/>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8"/>
              </w:rPr>
              <w:t>2,024</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1,573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3,983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3,251</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4920" w:type="dxa"/>
            <w:vAlign w:val="bottom"/>
            <w:tcBorders>
              <w:bottom w:val="single" w:sz="8" w:color="CCEEFF"/>
            </w:tcBorders>
          </w:tcPr>
          <w:p>
            <w:pPr>
              <w:spacing w:after="0"/>
              <w:rPr>
                <w:sz w:val="5"/>
                <w:szCs w:val="5"/>
                <w:color w:val="auto"/>
              </w:rPr>
            </w:pPr>
          </w:p>
        </w:tc>
        <w:tc>
          <w:tcPr>
            <w:tcW w:w="58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49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1440" w:type="dxa"/>
            <w:vAlign w:val="bottom"/>
            <w:gridSpan w:val="2"/>
          </w:tcPr>
          <w:p>
            <w:pPr>
              <w:jc w:val="right"/>
              <w:ind w:right="682"/>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574</w:t>
            </w:r>
          </w:p>
        </w:tc>
        <w:tc>
          <w:tcPr>
            <w:tcW w:w="5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454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1,134</w:t>
            </w:r>
          </w:p>
        </w:tc>
        <w:tc>
          <w:tcPr>
            <w:tcW w:w="38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4920" w:type="dxa"/>
            <w:vAlign w:val="bottom"/>
          </w:tcPr>
          <w:p>
            <w:pPr>
              <w:spacing w:after="0"/>
              <w:rPr>
                <w:sz w:val="20"/>
                <w:szCs w:val="20"/>
                <w:color w:val="auto"/>
              </w:rPr>
            </w:pPr>
            <w:r>
              <w:rPr>
                <w:rFonts w:ascii="Arial" w:cs="Arial" w:eastAsia="Arial" w:hAnsi="Arial"/>
                <w:sz w:val="18"/>
                <w:szCs w:val="18"/>
                <w:b w:val="1"/>
                <w:bCs w:val="1"/>
                <w:i w:val="1"/>
                <w:iCs w:val="1"/>
                <w:color w:val="auto"/>
              </w:rPr>
              <w:t>Stock Options</w:t>
            </w: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20" w:type="dxa"/>
            <w:vAlign w:val="bottom"/>
          </w:tcPr>
          <w:p>
            <w:pPr>
              <w:spacing w:after="0"/>
              <w:rPr>
                <w:sz w:val="20"/>
                <w:szCs w:val="20"/>
                <w:color w:val="auto"/>
              </w:rPr>
            </w:pPr>
            <w:r>
              <w:rPr>
                <w:rFonts w:ascii="Arial" w:cs="Arial" w:eastAsia="Arial" w:hAnsi="Arial"/>
                <w:sz w:val="18"/>
                <w:szCs w:val="18"/>
                <w:color w:val="auto"/>
              </w:rPr>
              <w:t>Stock option activity was as follows:</w:t>
            </w: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gridSpan w:val="3"/>
          </w:tcPr>
          <w:p>
            <w:pPr>
              <w:jc w:val="center"/>
              <w:ind w:right="196"/>
              <w:spacing w:after="0"/>
              <w:rPr>
                <w:sz w:val="20"/>
                <w:szCs w:val="20"/>
                <w:color w:val="auto"/>
              </w:rPr>
            </w:pPr>
            <w:r>
              <w:rPr>
                <w:rFonts w:ascii="Arial" w:cs="Arial" w:eastAsia="Arial" w:hAnsi="Arial"/>
                <w:sz w:val="14"/>
                <w:szCs w:val="14"/>
                <w:b w:val="1"/>
                <w:bCs w:val="1"/>
                <w:color w:val="auto"/>
                <w:w w:val="91"/>
              </w:rPr>
              <w:t>Weighted-Average</w:t>
            </w:r>
          </w:p>
        </w:tc>
        <w:tc>
          <w:tcPr>
            <w:tcW w:w="100" w:type="dxa"/>
            <w:vAlign w:val="bottom"/>
          </w:tcPr>
          <w:p>
            <w:pPr>
              <w:spacing w:after="0"/>
              <w:rPr>
                <w:sz w:val="24"/>
                <w:szCs w:val="24"/>
                <w:color w:val="auto"/>
              </w:rPr>
            </w:pPr>
          </w:p>
        </w:tc>
        <w:tc>
          <w:tcPr>
            <w:tcW w:w="148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440" w:type="dxa"/>
            <w:vAlign w:val="bottom"/>
            <w:gridSpan w:val="2"/>
            <w:vMerge w:val="restart"/>
          </w:tcPr>
          <w:p>
            <w:pPr>
              <w:jc w:val="right"/>
              <w:ind w:right="22"/>
              <w:spacing w:after="0"/>
              <w:rPr>
                <w:sz w:val="20"/>
                <w:szCs w:val="20"/>
                <w:color w:val="auto"/>
              </w:rPr>
            </w:pPr>
            <w:r>
              <w:rPr>
                <w:rFonts w:ascii="Arial" w:cs="Arial" w:eastAsia="Arial" w:hAnsi="Arial"/>
                <w:sz w:val="14"/>
                <w:szCs w:val="14"/>
                <w:b w:val="1"/>
                <w:bCs w:val="1"/>
                <w:color w:val="auto"/>
              </w:rPr>
              <w:t>Number of Options</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40" w:type="dxa"/>
            <w:vAlign w:val="bottom"/>
            <w:gridSpan w:val="4"/>
          </w:tcPr>
          <w:p>
            <w:pPr>
              <w:jc w:val="center"/>
              <w:ind w:left="692"/>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10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gridSpan w:val="5"/>
          </w:tcPr>
          <w:p>
            <w:pPr>
              <w:jc w:val="right"/>
              <w:ind w:right="432"/>
              <w:spacing w:after="0" w:line="149" w:lineRule="exact"/>
              <w:rPr>
                <w:sz w:val="20"/>
                <w:szCs w:val="20"/>
                <w:color w:val="auto"/>
              </w:rPr>
            </w:pPr>
            <w:r>
              <w:rPr>
                <w:rFonts w:ascii="Arial" w:cs="Arial" w:eastAsia="Arial" w:hAnsi="Arial"/>
                <w:sz w:val="14"/>
                <w:szCs w:val="14"/>
                <w:b w:val="1"/>
                <w:bCs w:val="1"/>
                <w:color w:val="auto"/>
              </w:rPr>
              <w:t>Weighted-Average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476"/>
              <w:spacing w:after="0" w:line="149" w:lineRule="exact"/>
              <w:rPr>
                <w:sz w:val="20"/>
                <w:szCs w:val="20"/>
                <w:color w:val="auto"/>
              </w:rPr>
            </w:pPr>
            <w:r>
              <w:rPr>
                <w:rFonts w:ascii="Arial" w:cs="Arial" w:eastAsia="Arial" w:hAnsi="Arial"/>
                <w:sz w:val="14"/>
                <w:szCs w:val="14"/>
                <w:b w:val="1"/>
                <w:bCs w:val="1"/>
                <w:color w:val="auto"/>
                <w:w w:val="95"/>
              </w:rPr>
              <w:t>Terms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440" w:type="dxa"/>
            <w:vAlign w:val="bottom"/>
            <w:gridSpan w:val="2"/>
          </w:tcPr>
          <w:p>
            <w:pPr>
              <w:jc w:val="right"/>
              <w:ind w:right="342"/>
              <w:spacing w:after="0"/>
              <w:rPr>
                <w:sz w:val="20"/>
                <w:szCs w:val="20"/>
                <w:color w:val="auto"/>
              </w:rPr>
            </w:pPr>
            <w:r>
              <w:rPr>
                <w:rFonts w:ascii="Arial" w:cs="Arial" w:eastAsia="Arial" w:hAnsi="Arial"/>
                <w:sz w:val="14"/>
                <w:szCs w:val="14"/>
                <w:b w:val="1"/>
                <w:bCs w:val="1"/>
                <w:color w:val="auto"/>
              </w:rPr>
              <w:t>(in 000's)</w:t>
            </w: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6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w w:val="91"/>
              </w:rPr>
              <w:t>Exercise Price</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456"/>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 000's)</w:t>
            </w: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1440" w:type="dxa"/>
            <w:vAlign w:val="bottom"/>
            <w:tcBorders>
              <w:top w:val="single" w:sz="8" w:color="auto"/>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650</w:t>
            </w:r>
          </w:p>
        </w:tc>
        <w:tc>
          <w:tcPr>
            <w:tcW w:w="440" w:type="dxa"/>
            <w:vAlign w:val="bottom"/>
            <w:tcBorders>
              <w:top w:val="single" w:sz="8" w:color="auto"/>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color w:val="auto"/>
              </w:rPr>
              <w:t>25.56</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2"/>
              <w:spacing w:after="0"/>
              <w:rPr>
                <w:sz w:val="20"/>
                <w:szCs w:val="20"/>
                <w:color w:val="auto"/>
              </w:rPr>
            </w:pPr>
            <w:r>
              <w:rPr>
                <w:rFonts w:ascii="Arial" w:cs="Arial" w:eastAsia="Arial" w:hAnsi="Arial"/>
                <w:sz w:val="18"/>
                <w:szCs w:val="18"/>
                <w:color w:val="auto"/>
              </w:rPr>
              <w:t>74</w:t>
            </w: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72"/>
              <w:spacing w:after="0"/>
              <w:rPr>
                <w:sz w:val="20"/>
                <w:szCs w:val="20"/>
                <w:color w:val="auto"/>
              </w:rPr>
            </w:pPr>
            <w:r>
              <w:rPr>
                <w:rFonts w:ascii="Arial" w:cs="Arial" w:eastAsia="Arial" w:hAnsi="Arial"/>
                <w:sz w:val="18"/>
                <w:szCs w:val="18"/>
                <w:color w:val="auto"/>
              </w:rPr>
              <w:t>65.54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color w:val="auto"/>
              </w:rPr>
              <w:t>23.95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Forfeited/canceled/expired</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72"/>
              <w:spacing w:after="0"/>
              <w:rPr>
                <w:sz w:val="20"/>
                <w:szCs w:val="20"/>
                <w:color w:val="auto"/>
              </w:rPr>
            </w:pPr>
            <w:r>
              <w:rPr>
                <w:rFonts w:ascii="Arial" w:cs="Arial" w:eastAsia="Arial" w:hAnsi="Arial"/>
                <w:sz w:val="18"/>
                <w:szCs w:val="18"/>
                <w:color w:val="auto"/>
              </w:rPr>
              <w:t>20.64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gridSpan w:val="2"/>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Outstanding on June 30, 2015 </w:t>
            </w:r>
            <w:r>
              <w:rPr>
                <w:rFonts w:ascii="Arial" w:cs="Arial" w:eastAsia="Arial" w:hAnsi="Arial"/>
                <w:sz w:val="25"/>
                <w:szCs w:val="25"/>
                <w:color w:val="auto"/>
                <w:vertAlign w:val="superscript"/>
              </w:rPr>
              <w:t>(1)</w:t>
            </w:r>
          </w:p>
        </w:tc>
        <w:tc>
          <w:tcPr>
            <w:tcW w:w="1440" w:type="dxa"/>
            <w:vAlign w:val="bottom"/>
            <w:tcBorders>
              <w:bottom w:val="single" w:sz="8" w:color="auto"/>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647</w:t>
            </w:r>
          </w:p>
        </w:tc>
        <w:tc>
          <w:tcPr>
            <w:tcW w:w="4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color w:val="auto"/>
              </w:rPr>
              <w:t>30.35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38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13,761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920" w:type="dxa"/>
            <w:vAlign w:val="bottom"/>
          </w:tcPr>
          <w:p>
            <w:pPr>
              <w:ind w:left="40"/>
              <w:spacing w:after="0" w:line="251" w:lineRule="exact"/>
              <w:rPr>
                <w:sz w:val="20"/>
                <w:szCs w:val="20"/>
                <w:color w:val="auto"/>
              </w:rPr>
            </w:pPr>
            <w:r>
              <w:rPr>
                <w:rFonts w:ascii="Arial" w:cs="Arial" w:eastAsia="Arial" w:hAnsi="Arial"/>
                <w:sz w:val="18"/>
                <w:szCs w:val="18"/>
                <w:color w:val="auto"/>
              </w:rPr>
              <w:t xml:space="preserve">Vested and expected to vest on June 30, 2015 </w:t>
            </w:r>
            <w:r>
              <w:rPr>
                <w:rFonts w:ascii="Arial" w:cs="Arial" w:eastAsia="Arial" w:hAnsi="Arial"/>
                <w:sz w:val="25"/>
                <w:szCs w:val="25"/>
                <w:color w:val="auto"/>
                <w:vertAlign w:val="superscript"/>
              </w:rPr>
              <w:t>(1)</w:t>
            </w:r>
          </w:p>
        </w:tc>
        <w:tc>
          <w:tcPr>
            <w:tcW w:w="1440" w:type="dxa"/>
            <w:vAlign w:val="bottom"/>
            <w:gridSpan w:val="2"/>
          </w:tcPr>
          <w:p>
            <w:pPr>
              <w:jc w:val="right"/>
              <w:ind w:right="2"/>
              <w:spacing w:after="0"/>
              <w:rPr>
                <w:sz w:val="20"/>
                <w:szCs w:val="20"/>
                <w:color w:val="auto"/>
              </w:rPr>
            </w:pPr>
            <w:r>
              <w:rPr>
                <w:rFonts w:ascii="Arial" w:cs="Arial" w:eastAsia="Arial" w:hAnsi="Arial"/>
                <w:sz w:val="18"/>
                <w:szCs w:val="18"/>
                <w:color w:val="auto"/>
              </w:rPr>
              <w:t>647</w:t>
            </w:r>
          </w:p>
        </w:tc>
        <w:tc>
          <w:tcPr>
            <w:tcW w:w="44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72"/>
              <w:spacing w:after="0"/>
              <w:rPr>
                <w:sz w:val="20"/>
                <w:szCs w:val="20"/>
                <w:color w:val="auto"/>
              </w:rPr>
            </w:pPr>
            <w:r>
              <w:rPr>
                <w:rFonts w:ascii="Arial" w:cs="Arial" w:eastAsia="Arial" w:hAnsi="Arial"/>
                <w:sz w:val="18"/>
                <w:szCs w:val="18"/>
                <w:color w:val="auto"/>
              </w:rPr>
              <w:t>30.35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5.32</w:t>
            </w:r>
          </w:p>
        </w:tc>
        <w:tc>
          <w:tcPr>
            <w:tcW w:w="3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13,756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Exercisable on June 30, 2015 </w:t>
            </w:r>
            <w:r>
              <w:rPr>
                <w:rFonts w:ascii="Arial" w:cs="Arial" w:eastAsia="Arial" w:hAnsi="Arial"/>
                <w:sz w:val="25"/>
                <w:szCs w:val="25"/>
                <w:color w:val="auto"/>
                <w:vertAlign w:val="superscript"/>
              </w:rPr>
              <w:t>(1)</w:t>
            </w:r>
          </w:p>
        </w:tc>
        <w:tc>
          <w:tcPr>
            <w:tcW w:w="14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445</w:t>
            </w:r>
          </w:p>
        </w:tc>
        <w:tc>
          <w:tcPr>
            <w:tcW w:w="44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24.88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3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11,118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60" w:hanging="328"/>
        <w:spacing w:after="0" w:line="238" w:lineRule="auto"/>
        <w:tabs>
          <w:tab w:leader="none" w:pos="660"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The aggregate intrinsic value represents the total pre-tax value (the difference between our closing stock price on the last trading day of the second quarter of 2015 and the exercise price, multiplied by the number of in-the-money options) that would have been received by the option holders had they all exercised their options on June 30, 2015. This amount will change based on the fair market value of our stock.</w:t>
      </w:r>
    </w:p>
    <w:p>
      <w:pPr>
        <w:spacing w:after="0" w:line="1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 of stock option grants were the following:</w:t>
      </w:r>
    </w:p>
    <w:p>
      <w:pPr>
        <w:sectPr>
          <w:pgSz w:w="11900" w:h="16838" w:orient="portrait"/>
          <w:cols w:equalWidth="0" w:num="1">
            <w:col w:w="11420"/>
          </w:cols>
          <w:pgMar w:left="240" w:top="118" w:right="239" w:bottom="1440" w:gutter="0" w:footer="0" w:header="0"/>
        </w:sectPr>
      </w:pPr>
    </w:p>
    <w:p>
      <w:pPr>
        <w:spacing w:after="0" w:line="176" w:lineRule="exact"/>
        <w:rPr>
          <w:sz w:val="20"/>
          <w:szCs w:val="20"/>
          <w:color w:val="auto"/>
        </w:rPr>
      </w:pPr>
    </w:p>
    <w:p>
      <w:pPr>
        <w:ind w:left="562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31115</wp:posOffset>
            </wp:positionV>
            <wp:extent cx="20066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114" w:lineRule="exact"/>
        <w:rPr>
          <w:sz w:val="20"/>
          <w:szCs w:val="20"/>
          <w:color w:val="auto"/>
        </w:rPr>
      </w:pPr>
    </w:p>
    <w:p>
      <w:pPr>
        <w:ind w:left="5580"/>
        <w:spacing w:after="0"/>
        <w:tabs>
          <w:tab w:leader="none" w:pos="7200" w:val="left"/>
        </w:tabs>
        <w:rPr>
          <w:sz w:val="20"/>
          <w:szCs w:val="20"/>
          <w:color w:val="auto"/>
        </w:rPr>
      </w:pPr>
      <w:r>
        <w:rPr>
          <w:rFonts w:ascii="Arial" w:cs="Arial" w:eastAsia="Arial" w:hAnsi="Arial"/>
          <w:sz w:val="12"/>
          <w:szCs w:val="12"/>
          <w:b w:val="1"/>
          <w:bCs w:val="1"/>
          <w:color w:val="auto"/>
        </w:rPr>
        <w:t>2015</w:t>
      </w:r>
      <w:r>
        <w:rPr>
          <w:sz w:val="20"/>
          <w:szCs w:val="20"/>
          <w:color w:val="auto"/>
        </w:rPr>
        <w:tab/>
      </w:r>
      <w:r>
        <w:rPr>
          <w:rFonts w:ascii="Arial" w:cs="Arial" w:eastAsia="Arial" w:hAnsi="Arial"/>
          <w:sz w:val="12"/>
          <w:szCs w:val="12"/>
          <w:b w:val="1"/>
          <w:bCs w:val="1"/>
          <w:color w:val="auto"/>
        </w:rPr>
        <w:t>2014</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Six Months Ended 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31115</wp:posOffset>
            </wp:positionV>
            <wp:extent cx="20066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114" w:lineRule="exact"/>
        <w:rPr>
          <w:sz w:val="20"/>
          <w:szCs w:val="20"/>
          <w:color w:val="auto"/>
        </w:rPr>
      </w:pPr>
    </w:p>
    <w:p>
      <w:pPr>
        <w:ind w:left="40"/>
        <w:spacing w:after="0"/>
        <w:tabs>
          <w:tab w:leader="none" w:pos="164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5" w:lineRule="exact"/>
        <w:rPr>
          <w:sz w:val="20"/>
          <w:szCs w:val="20"/>
          <w:color w:val="auto"/>
        </w:rPr>
      </w:pPr>
    </w:p>
    <w:p>
      <w:pPr>
        <w:sectPr>
          <w:pgSz w:w="11900" w:h="16838" w:orient="portrait"/>
          <w:cols w:equalWidth="0" w:num="2">
            <w:col w:w="8100" w:space="720"/>
            <w:col w:w="2600"/>
          </w:cols>
          <w:pgMar w:left="240" w:top="118" w:right="239" w:bottom="1440" w:gutter="0" w:footer="0" w:header="0"/>
          <w:type w:val="continuous"/>
        </w:sectPr>
      </w:pPr>
    </w:p>
    <w:tbl>
      <w:tblPr>
        <w:tblLayout w:type="fixed"/>
        <w:tblInd w:w="0" w:type="dxa"/>
        <w:tblCellMar>
          <w:top w:w="0" w:type="dxa"/>
          <w:left w:w="0" w:type="dxa"/>
          <w:bottom w:w="0" w:type="dxa"/>
          <w:right w:w="0" w:type="dxa"/>
        </w:tblCellMar>
      </w:tblPr>
      <w:tr>
        <w:trPr>
          <w:trHeight w:val="276"/>
        </w:trPr>
        <w:tc>
          <w:tcPr>
            <w:tcW w:w="4960" w:type="dxa"/>
            <w:vAlign w:val="bottom"/>
            <w:tcBorders>
              <w:top w:val="single" w:sz="8" w:color="CCEEFF"/>
            </w:tcBorders>
            <w:shd w:val="clear" w:color="auto" w:fill="CCEEFF"/>
          </w:tcPr>
          <w:p>
            <w:pPr>
              <w:ind w:left="40"/>
              <w:spacing w:after="0" w:line="276" w:lineRule="exact"/>
              <w:rPr>
                <w:sz w:val="20"/>
                <w:szCs w:val="20"/>
                <w:color w:val="auto"/>
              </w:rPr>
            </w:pPr>
            <w:r>
              <w:rPr>
                <w:rFonts w:ascii="Arial" w:cs="Arial" w:eastAsia="Arial" w:hAnsi="Arial"/>
                <w:sz w:val="18"/>
                <w:szCs w:val="18"/>
                <w:color w:val="auto"/>
              </w:rPr>
              <w:t xml:space="preserve">Weighted average fair value of grants </w:t>
            </w:r>
            <w:r>
              <w:rPr>
                <w:rFonts w:ascii="Arial" w:cs="Arial" w:eastAsia="Arial" w:hAnsi="Arial"/>
                <w:sz w:val="25"/>
                <w:szCs w:val="25"/>
                <w:color w:val="auto"/>
                <w:vertAlign w:val="superscript"/>
              </w:rPr>
              <w:t>(1)</w:t>
            </w: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24.77</w:t>
            </w:r>
          </w:p>
        </w:tc>
        <w:tc>
          <w:tcPr>
            <w:tcW w:w="60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13.64</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580" w:type="dxa"/>
            <w:vAlign w:val="bottom"/>
          </w:tcPr>
          <w:p>
            <w:pPr>
              <w:spacing w:after="0"/>
              <w:rPr>
                <w:sz w:val="21"/>
                <w:szCs w:val="21"/>
                <w:color w:val="auto"/>
              </w:rPr>
            </w:pPr>
          </w:p>
        </w:tc>
        <w:tc>
          <w:tcPr>
            <w:tcW w:w="162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160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1.38%</w:t>
            </w: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7"/>
        </w:trPr>
        <w:tc>
          <w:tcPr>
            <w:tcW w:w="4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5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44.84%</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Expected life in years</w:t>
            </w:r>
          </w:p>
        </w:tc>
        <w:tc>
          <w:tcPr>
            <w:tcW w:w="58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4.56</w:t>
            </w:r>
          </w:p>
        </w:tc>
        <w:tc>
          <w:tcPr>
            <w:tcW w:w="60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4.56</w:t>
            </w:r>
          </w:p>
        </w:tc>
      </w:tr>
    </w:tbl>
    <w:p>
      <w:pPr>
        <w:spacing w:after="0" w:line="17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The weighted average fair value of grants was calculated utilizing the stock options granted during each respective period.</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June 30, 2015, we expect to recognize $2.9 million of total unrecognized pre-tax stock-based compensation expense related to non-vested stock options over a remaining weighted-average life of 2.0 years.</w:t>
      </w:r>
    </w:p>
    <w:p>
      <w:pPr>
        <w:sectPr>
          <w:pgSz w:w="11900" w:h="16838" w:orient="portrait"/>
          <w:cols w:equalWidth="0" w:num="1">
            <w:col w:w="11420"/>
          </w:cols>
          <w:pgMar w:left="240" w:top="118" w:right="239" w:bottom="1440" w:gutter="0" w:footer="0" w:header="0"/>
          <w:type w:val="continuous"/>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18" w:right="239" w:bottom="1440" w:gutter="0" w:footer="0" w:header="0"/>
          <w:type w:val="continuous"/>
        </w:sectPr>
      </w:pPr>
    </w:p>
    <w:bookmarkStart w:id="17" w:name="page18"/>
    <w:bookmarkEnd w:id="1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 activity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720" w:type="dxa"/>
            <w:vAlign w:val="bottom"/>
          </w:tcPr>
          <w:p>
            <w:pPr>
              <w:jc w:val="right"/>
              <w:ind w:right="275"/>
              <w:spacing w:after="0"/>
              <w:rPr>
                <w:sz w:val="20"/>
                <w:szCs w:val="20"/>
                <w:color w:val="auto"/>
              </w:rPr>
            </w:pPr>
            <w:r>
              <w:rPr>
                <w:rFonts w:ascii="Arial" w:cs="Arial" w:eastAsia="Arial" w:hAnsi="Arial"/>
                <w:sz w:val="14"/>
                <w:szCs w:val="14"/>
                <w:b w:val="1"/>
                <w:bCs w:val="1"/>
                <w:color w:val="auto"/>
              </w:rPr>
              <w:t>Shares Granted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ind w:right="215"/>
              <w:spacing w:after="0"/>
              <w:rPr>
                <w:sz w:val="20"/>
                <w:szCs w:val="20"/>
                <w:color w:val="auto"/>
              </w:rPr>
            </w:pPr>
            <w:r>
              <w:rPr>
                <w:rFonts w:ascii="Arial" w:cs="Arial" w:eastAsia="Arial" w:hAnsi="Arial"/>
                <w:sz w:val="14"/>
                <w:szCs w:val="14"/>
                <w:b w:val="1"/>
                <w:bCs w:val="1"/>
                <w:color w:val="auto"/>
              </w:rPr>
              <w:t>Weighted-Average</w:t>
            </w:r>
          </w:p>
        </w:tc>
      </w:tr>
      <w:tr>
        <w:trPr>
          <w:trHeight w:val="192"/>
        </w:trPr>
        <w:tc>
          <w:tcPr>
            <w:tcW w:w="786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(in 000's)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8"/>
              </w:rPr>
              <w:t>Grant Date Fair Value</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2014</w:t>
            </w:r>
          </w:p>
        </w:tc>
        <w:tc>
          <w:tcPr>
            <w:tcW w:w="1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39.28</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15"/>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35"/>
              <w:spacing w:after="0"/>
              <w:rPr>
                <w:sz w:val="20"/>
                <w:szCs w:val="20"/>
                <w:color w:val="auto"/>
              </w:rPr>
            </w:pPr>
            <w:r>
              <w:rPr>
                <w:rFonts w:ascii="Arial" w:cs="Arial" w:eastAsia="Arial" w:hAnsi="Arial"/>
                <w:sz w:val="18"/>
                <w:szCs w:val="18"/>
                <w:color w:val="auto"/>
              </w:rPr>
              <w:t>65.53</w:t>
            </w:r>
          </w:p>
        </w:tc>
      </w:tr>
      <w:tr>
        <w:trPr>
          <w:trHeight w:val="27"/>
        </w:trPr>
        <w:tc>
          <w:tcPr>
            <w:tcW w:w="78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33.95</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35"/>
              <w:spacing w:after="0"/>
              <w:rPr>
                <w:sz w:val="20"/>
                <w:szCs w:val="20"/>
                <w:color w:val="auto"/>
              </w:rPr>
            </w:pPr>
            <w:r>
              <w:rPr>
                <w:rFonts w:ascii="Arial" w:cs="Arial" w:eastAsia="Arial" w:hAnsi="Arial"/>
                <w:sz w:val="18"/>
                <w:szCs w:val="18"/>
                <w:color w:val="auto"/>
              </w:rPr>
              <w:t>63.19</w:t>
            </w:r>
          </w:p>
        </w:tc>
      </w:tr>
      <w:tr>
        <w:trPr>
          <w:trHeight w:val="27"/>
        </w:trPr>
        <w:tc>
          <w:tcPr>
            <w:tcW w:w="78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June 30, 2015</w:t>
            </w:r>
          </w:p>
        </w:tc>
        <w:tc>
          <w:tcPr>
            <w:tcW w:w="17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237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43.69</w:t>
            </w:r>
          </w:p>
        </w:tc>
      </w:tr>
      <w:tr>
        <w:trPr>
          <w:trHeight w:val="20"/>
        </w:trPr>
        <w:tc>
          <w:tcPr>
            <w:tcW w:w="78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2015, we expect to recognize $8.3 million of total unrecognized pre-tax stock-based compensation expense related to non-vested restricted stock awards over a weighted-average life of 2.1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Other Income (Expense),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70"/>
        </w:trPr>
        <w:tc>
          <w:tcPr>
            <w:tcW w:w="5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gain (loss) on foreign currency exchange contracts </w:t>
            </w:r>
            <w:r>
              <w:rPr>
                <w:rFonts w:ascii="Arial" w:cs="Arial" w:eastAsia="Arial" w:hAnsi="Arial"/>
                <w:sz w:val="25"/>
                <w:szCs w:val="25"/>
                <w:color w:val="auto"/>
                <w:vertAlign w:val="superscript"/>
              </w:rPr>
              <w:t>(1)</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(167)</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Net gain (loss) on foreign currency exchange transactions</w:t>
            </w:r>
          </w:p>
        </w:tc>
        <w:tc>
          <w:tcPr>
            <w:tcW w:w="9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622</w:t>
            </w:r>
          </w:p>
        </w:tc>
      </w:tr>
      <w:tr>
        <w:trPr>
          <w:trHeight w:val="27"/>
        </w:trPr>
        <w:tc>
          <w:tcPr>
            <w:tcW w:w="5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9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900" w:type="dxa"/>
            <w:vAlign w:val="bottom"/>
            <w:tcBorders>
              <w:top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980" w:type="dxa"/>
            <w:vAlign w:val="bottom"/>
            <w:tcBorders>
              <w:top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(334)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w:t>
            </w:r>
          </w:p>
        </w:tc>
      </w:tr>
      <w:tr>
        <w:trPr>
          <w:trHeight w:val="27"/>
        </w:trPr>
        <w:tc>
          <w:tcPr>
            <w:tcW w:w="53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This represents the gains and (losses) incurred on foreign currency hedging derivatives (see Note 16 for further details).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Earnings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was calculated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52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per-share amounts)</w:t>
            </w:r>
          </w:p>
        </w:tc>
        <w:tc>
          <w:tcPr>
            <w:tcW w:w="3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8,375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8,488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13,564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12,761</w:t>
            </w:r>
          </w:p>
        </w:tc>
      </w:tr>
      <w:tr>
        <w:trPr>
          <w:trHeight w:val="67"/>
        </w:trPr>
        <w:tc>
          <w:tcPr>
            <w:tcW w:w="55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51"/>
        </w:trPr>
        <w:tc>
          <w:tcPr>
            <w:tcW w:w="5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Weighted-average common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15,785</w:t>
            </w: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0.81</w:t>
            </w:r>
          </w:p>
        </w:tc>
      </w:tr>
      <w:tr>
        <w:trPr>
          <w:trHeight w:val="67"/>
        </w:trPr>
        <w:tc>
          <w:tcPr>
            <w:tcW w:w="55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5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DILUTED</w:t>
            </w: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8,375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8,488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13,564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12,761</w:t>
            </w:r>
          </w:p>
        </w:tc>
      </w:tr>
      <w:tr>
        <w:trPr>
          <w:trHeight w:val="67"/>
        </w:trPr>
        <w:tc>
          <w:tcPr>
            <w:tcW w:w="55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5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Weighted-average common shares outstanding for basic</w:t>
            </w: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15,732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15,784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15,819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15,785</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Dilutive effect of stock options and restricted stock</w:t>
            </w:r>
          </w:p>
        </w:tc>
        <w:tc>
          <w:tcPr>
            <w:tcW w:w="36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366</w:t>
            </w:r>
          </w:p>
        </w:tc>
      </w:tr>
      <w:tr>
        <w:trPr>
          <w:trHeight w:val="27"/>
        </w:trPr>
        <w:tc>
          <w:tcPr>
            <w:tcW w:w="5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on a diluted basis</w:t>
            </w: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16,029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16,141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16,136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16,151</w:t>
            </w: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0.53</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0.79</w:t>
            </w:r>
          </w:p>
        </w:tc>
      </w:tr>
      <w:tr>
        <w:trPr>
          <w:trHeight w:val="27"/>
        </w:trPr>
        <w:tc>
          <w:tcPr>
            <w:tcW w:w="55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40"/>
        </w:trPr>
        <w:tc>
          <w:tcPr>
            <w:tcW w:w="5580" w:type="dxa"/>
            <w:vAlign w:val="bottom"/>
          </w:tcPr>
          <w:p>
            <w:pPr>
              <w:spacing w:after="0"/>
              <w:rPr>
                <w:sz w:val="24"/>
                <w:szCs w:val="24"/>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w w:val="99"/>
              </w:rPr>
              <w:t>18</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stock options and shares of restricted stock excluded from the computation of diluted earnings per common share were as follows: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0" w:type="dxa"/>
            <w:vAlign w:val="bottom"/>
            <w:gridSpan w:val="4"/>
          </w:tcPr>
          <w:p>
            <w:pPr>
              <w:ind w:left="640"/>
              <w:spacing w:after="0"/>
              <w:rPr>
                <w:sz w:val="20"/>
                <w:szCs w:val="20"/>
                <w:color w:val="auto"/>
              </w:rPr>
            </w:pPr>
            <w:r>
              <w:rPr>
                <w:rFonts w:ascii="Arial" w:cs="Arial" w:eastAsia="Arial" w:hAnsi="Arial"/>
                <w:sz w:val="14"/>
                <w:szCs w:val="14"/>
                <w:b w:val="1"/>
                <w:bCs w:val="1"/>
                <w:color w:val="auto"/>
              </w:rPr>
              <w:t>Three Months Ended June 30,</w:t>
            </w:r>
          </w:p>
        </w:tc>
        <w:tc>
          <w:tcPr>
            <w:tcW w:w="3060" w:type="dxa"/>
            <w:vAlign w:val="bottom"/>
            <w:gridSpan w:val="2"/>
          </w:tcPr>
          <w:p>
            <w:pPr>
              <w:jc w:val="right"/>
              <w:ind w:right="596"/>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78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4"/>
                <w:szCs w:val="14"/>
                <w:b w:val="1"/>
                <w:bCs w:val="1"/>
                <w:color w:val="auto"/>
              </w:rPr>
              <w:t>2015</w:t>
            </w:r>
          </w:p>
        </w:tc>
        <w:tc>
          <w:tcPr>
            <w:tcW w:w="12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8"/>
                <w:szCs w:val="18"/>
                <w:color w:val="auto"/>
              </w:rPr>
              <w:t>57</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Restricted stock awards</w:t>
            </w:r>
          </w:p>
        </w:tc>
        <w:tc>
          <w:tcPr>
            <w:tcW w:w="1500" w:type="dxa"/>
            <w:vAlign w:val="bottom"/>
          </w:tcPr>
          <w:p>
            <w:pPr>
              <w:jc w:val="right"/>
              <w:ind w:right="39"/>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319"/>
              <w:spacing w:after="0"/>
              <w:rPr>
                <w:sz w:val="20"/>
                <w:szCs w:val="20"/>
                <w:color w:val="auto"/>
              </w:rPr>
            </w:pPr>
            <w:r>
              <w:rPr>
                <w:rFonts w:ascii="Arial" w:cs="Arial" w:eastAsia="Arial" w:hAnsi="Arial"/>
                <w:sz w:val="18"/>
                <w:szCs w:val="18"/>
                <w:color w:val="auto"/>
              </w:rPr>
              <w:t>9</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14</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Derivatives</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periodically enter into foreign currency exchange contracts with terms normally lasting less than nine months to protect against the adverse effects that exchange-rate fluctuations may have on our foreign currency-denominated receivables, payables, cash flows and reported income. We are exposed to market risks from foreign currency exchange rates, which may adversely affect our operating results and financial position. Our foreign currency exposures are primarily concentrated in the Argentinian Peso, Brazilian Real, British Pound, Chinese Yuan Renminbi, Euro, Hong Kong Dollar, and Indian Rupee. Derivative financial instruments are used to manage risk and are not used for trading or other speculative purposes. We do not use leveraged derivative financial instruments and these derivatives have not qualified for hedge accounting.</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Gains and losses on the derivatives are recorded in other income (expense), net. Derivatives are recorded on the balance sheet at fair value. The estimated fair values of our derivative financial instruments represent the amount required to enter into offsetting contracts with similar remaining maturities based on quoted market prices. We have determined that the fair value of our derivatives are derived from level 2 inputs in the fair value hierarchy. The following table sets forth the total net fair value of derivatives:</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ind w:left="360"/>
              <w:spacing w:after="0"/>
              <w:rPr>
                <w:sz w:val="20"/>
                <w:szCs w:val="20"/>
                <w:color w:val="auto"/>
              </w:rPr>
            </w:pPr>
            <w:r>
              <w:rPr>
                <w:rFonts w:ascii="Arial" w:cs="Arial" w:eastAsia="Arial" w:hAnsi="Arial"/>
                <w:sz w:val="14"/>
                <w:szCs w:val="14"/>
                <w:b w:val="1"/>
                <w:bCs w:val="1"/>
                <w:color w:val="auto"/>
              </w:rPr>
              <w:t>June 30, 2015</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2014</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264"/>
        </w:trPr>
        <w:tc>
          <w:tcPr>
            <w:tcW w:w="39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7"/>
          </w:tcPr>
          <w:p>
            <w:pPr>
              <w:jc w:val="center"/>
              <w:ind w:right="19"/>
              <w:spacing w:after="0"/>
              <w:rPr>
                <w:sz w:val="20"/>
                <w:szCs w:val="20"/>
                <w:color w:val="auto"/>
              </w:rPr>
            </w:pPr>
            <w:r>
              <w:rPr>
                <w:rFonts w:ascii="Arial" w:cs="Arial" w:eastAsia="Arial" w:hAnsi="Arial"/>
                <w:sz w:val="14"/>
                <w:szCs w:val="14"/>
                <w:b w:val="1"/>
                <w:bCs w:val="1"/>
                <w:color w:val="auto"/>
                <w:w w:val="93"/>
              </w:rPr>
              <w:t>Fair Value Measurement Using</w:t>
            </w:r>
          </w:p>
        </w:tc>
        <w:tc>
          <w:tcPr>
            <w:tcW w:w="260" w:type="dxa"/>
            <w:vAlign w:val="bottom"/>
            <w:gridSpan w:val="2"/>
          </w:tcPr>
          <w:p>
            <w:pPr>
              <w:spacing w:after="0"/>
              <w:rPr>
                <w:sz w:val="22"/>
                <w:szCs w:val="22"/>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4"/>
                <w:szCs w:val="14"/>
                <w:b w:val="1"/>
                <w:bCs w:val="1"/>
                <w:color w:val="auto"/>
                <w:w w:val="94"/>
              </w:rPr>
              <w:t>Fair Value Measurement Using</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Total</w:t>
            </w:r>
          </w:p>
        </w:tc>
      </w:tr>
      <w:tr>
        <w:trPr>
          <w:trHeight w:val="264"/>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Balance</w:t>
            </w:r>
          </w:p>
        </w:tc>
      </w:tr>
      <w:tr>
        <w:trPr>
          <w:trHeight w:val="24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exchange futures contracts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   $</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810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810</w:t>
            </w:r>
          </w:p>
        </w:tc>
      </w:tr>
      <w:tr>
        <w:trPr>
          <w:trHeight w:val="27"/>
        </w:trPr>
        <w:tc>
          <w:tcPr>
            <w:tcW w:w="3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held foreign currency exchange contracts which resulted in a net pre-tax loss of $0.2 million for the three months ended June 30, 2015 and a net pre-tax loss of $0.2 million for the three months ended June 30, 2014, respectively. For the six months ended June 30, 2015 and 2014, we had a net pre-tax gain of $0.9 million and a net pre-tax loss of $1.3 million,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Details of futures contracts held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Unrealized</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Gain/(Loss)</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Recorded at Balance</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Notional Value</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Sheet</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Date Held</w:t>
            </w:r>
          </w:p>
        </w:tc>
        <w:tc>
          <w:tcPr>
            <w:tcW w:w="120" w:type="dxa"/>
            <w:vAlign w:val="bottom"/>
            <w:vMerge w:val="restart"/>
          </w:tcPr>
          <w:p>
            <w:pPr>
              <w:spacing w:after="0"/>
              <w:rPr>
                <w:sz w:val="12"/>
                <w:szCs w:val="12"/>
                <w:color w:val="auto"/>
              </w:rPr>
            </w:pPr>
          </w:p>
        </w:tc>
        <w:tc>
          <w:tcPr>
            <w:tcW w:w="20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Type</w:t>
            </w:r>
          </w:p>
        </w:tc>
        <w:tc>
          <w:tcPr>
            <w:tcW w:w="120" w:type="dxa"/>
            <w:vAlign w:val="bottom"/>
            <w:vMerge w:val="restart"/>
          </w:tcPr>
          <w:p>
            <w:pPr>
              <w:spacing w:after="0"/>
              <w:rPr>
                <w:sz w:val="12"/>
                <w:szCs w:val="12"/>
                <w:color w:val="auto"/>
              </w:rPr>
            </w:pPr>
          </w:p>
        </w:tc>
        <w:tc>
          <w:tcPr>
            <w:tcW w:w="148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Position Held</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Forward Rate</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Date</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Settlement Date</w:t>
            </w:r>
          </w:p>
        </w:tc>
        <w:tc>
          <w:tcPr>
            <w:tcW w:w="0" w:type="dxa"/>
            <w:vAlign w:val="bottom"/>
          </w:tcPr>
          <w:p>
            <w:pPr>
              <w:spacing w:after="0"/>
              <w:rPr>
                <w:sz w:val="1"/>
                <w:szCs w:val="1"/>
                <w:color w:val="auto"/>
              </w:rPr>
            </w:pPr>
          </w:p>
        </w:tc>
      </w:tr>
      <w:tr>
        <w:trPr>
          <w:trHeight w:val="192"/>
        </w:trPr>
        <w:tc>
          <w:tcPr>
            <w:tcW w:w="1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2"/>
              </w:rPr>
              <w:t>(in thousands)</w:t>
            </w:r>
            <w:r>
              <w:rPr>
                <w:rFonts w:ascii="Arial" w:cs="Arial" w:eastAsia="Arial" w:hAnsi="Arial"/>
                <w:sz w:val="8"/>
                <w:szCs w:val="8"/>
                <w:b w:val="1"/>
                <w:bCs w:val="1"/>
                <w:color w:val="auto"/>
                <w:w w:val="92"/>
              </w:rPr>
              <w:t>(1)</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 2015</w:t>
            </w:r>
          </w:p>
        </w:tc>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USD/Euro</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July 24, 2015</w:t>
            </w: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2"/>
          </w:tcPr>
          <w:p>
            <w:pPr>
              <w:ind w:left="40"/>
              <w:spacing w:after="0"/>
              <w:rPr>
                <w:sz w:val="20"/>
                <w:szCs w:val="20"/>
                <w:color w:val="auto"/>
              </w:rPr>
            </w:pPr>
            <w:r>
              <w:rPr>
                <w:rFonts w:ascii="Arial" w:cs="Arial" w:eastAsia="Arial" w:hAnsi="Arial"/>
                <w:sz w:val="18"/>
                <w:szCs w:val="18"/>
                <w:color w:val="auto"/>
              </w:rPr>
              <w:t>USD/Chinese Yuan</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Chinese Yuan</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June 30, 2015</w:t>
            </w:r>
          </w:p>
        </w:tc>
        <w:tc>
          <w:tcPr>
            <w:tcW w:w="2200" w:type="dxa"/>
            <w:vAlign w:val="bottom"/>
            <w:gridSpan w:val="2"/>
          </w:tcPr>
          <w:p>
            <w:pPr>
              <w:ind w:left="40"/>
              <w:spacing w:after="0"/>
              <w:rPr>
                <w:sz w:val="20"/>
                <w:szCs w:val="20"/>
                <w:color w:val="auto"/>
              </w:rPr>
            </w:pPr>
            <w:r>
              <w:rPr>
                <w:rFonts w:ascii="Arial" w:cs="Arial" w:eastAsia="Arial" w:hAnsi="Arial"/>
                <w:sz w:val="18"/>
                <w:szCs w:val="18"/>
                <w:color w:val="auto"/>
              </w:rPr>
              <w:t>Renminbi</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Renminbi</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6.2645</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July 17, 2015</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USD/Chinese Yuan</w:t>
            </w: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 2015</w:t>
            </w:r>
          </w:p>
        </w:tc>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Renminbi</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6.2355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July 17, 2015</w:t>
            </w: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2"/>
          </w:tcPr>
          <w:p>
            <w:pPr>
              <w:ind w:left="40"/>
              <w:spacing w:after="0"/>
              <w:rPr>
                <w:sz w:val="20"/>
                <w:szCs w:val="20"/>
                <w:color w:val="auto"/>
              </w:rPr>
            </w:pPr>
            <w:r>
              <w:rPr>
                <w:rFonts w:ascii="Arial" w:cs="Arial" w:eastAsia="Arial" w:hAnsi="Arial"/>
                <w:sz w:val="18"/>
                <w:szCs w:val="18"/>
                <w:color w:val="auto"/>
              </w:rPr>
              <w:t>USD/Chinese Yuan</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June 30, 2015</w:t>
            </w:r>
          </w:p>
        </w:tc>
        <w:tc>
          <w:tcPr>
            <w:tcW w:w="2200" w:type="dxa"/>
            <w:vAlign w:val="bottom"/>
            <w:gridSpan w:val="2"/>
          </w:tcPr>
          <w:p>
            <w:pPr>
              <w:ind w:left="40"/>
              <w:spacing w:after="0"/>
              <w:rPr>
                <w:sz w:val="20"/>
                <w:szCs w:val="20"/>
                <w:color w:val="auto"/>
              </w:rPr>
            </w:pPr>
            <w:r>
              <w:rPr>
                <w:rFonts w:ascii="Arial" w:cs="Arial" w:eastAsia="Arial" w:hAnsi="Arial"/>
                <w:sz w:val="18"/>
                <w:szCs w:val="18"/>
                <w:color w:val="auto"/>
              </w:rPr>
              <w:t>Renminbi</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USD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6.2473</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July 17, 2015</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 2015</w:t>
            </w:r>
          </w:p>
        </w:tc>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USD/Brazilian Real</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July 17, 2015</w:t>
            </w:r>
          </w:p>
        </w:tc>
        <w:tc>
          <w:tcPr>
            <w:tcW w:w="0" w:type="dxa"/>
            <w:vAlign w:val="bottom"/>
          </w:tcPr>
          <w:p>
            <w:pPr>
              <w:spacing w:after="0"/>
              <w:rPr>
                <w:sz w:val="1"/>
                <w:szCs w:val="1"/>
                <w:color w:val="auto"/>
              </w:rPr>
            </w:pPr>
          </w:p>
        </w:tc>
      </w:tr>
      <w:tr>
        <w:trPr>
          <w:trHeight w:val="297"/>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2014</w:t>
            </w:r>
          </w:p>
        </w:tc>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USD/Euro</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January 23, 2015</w:t>
            </w: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2"/>
          </w:tcPr>
          <w:p>
            <w:pPr>
              <w:ind w:left="40"/>
              <w:spacing w:after="0"/>
              <w:rPr>
                <w:sz w:val="20"/>
                <w:szCs w:val="20"/>
                <w:color w:val="auto"/>
              </w:rPr>
            </w:pPr>
            <w:r>
              <w:rPr>
                <w:rFonts w:ascii="Arial" w:cs="Arial" w:eastAsia="Arial" w:hAnsi="Arial"/>
                <w:sz w:val="18"/>
                <w:szCs w:val="18"/>
                <w:color w:val="auto"/>
              </w:rPr>
              <w:t>USD/Chinese Yuan</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Chinese Yuan</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December 31, 2014</w:t>
            </w:r>
          </w:p>
        </w:tc>
        <w:tc>
          <w:tcPr>
            <w:tcW w:w="2200" w:type="dxa"/>
            <w:vAlign w:val="bottom"/>
            <w:gridSpan w:val="2"/>
          </w:tcPr>
          <w:p>
            <w:pPr>
              <w:ind w:left="40"/>
              <w:spacing w:after="0"/>
              <w:rPr>
                <w:sz w:val="20"/>
                <w:szCs w:val="20"/>
                <w:color w:val="auto"/>
              </w:rPr>
            </w:pPr>
            <w:r>
              <w:rPr>
                <w:rFonts w:ascii="Arial" w:cs="Arial" w:eastAsia="Arial" w:hAnsi="Arial"/>
                <w:sz w:val="18"/>
                <w:szCs w:val="18"/>
                <w:color w:val="auto"/>
              </w:rPr>
              <w:t>Renminbi</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Renminbi</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6.2757</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January 16, 2015</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2014</w:t>
            </w:r>
          </w:p>
        </w:tc>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USD/Brazilian Real</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January 16, 2015</w:t>
            </w:r>
          </w:p>
        </w:tc>
        <w:tc>
          <w:tcPr>
            <w:tcW w:w="0" w:type="dxa"/>
            <w:vAlign w:val="bottom"/>
          </w:tcPr>
          <w:p>
            <w:pPr>
              <w:spacing w:after="0"/>
              <w:rPr>
                <w:sz w:val="1"/>
                <w:szCs w:val="1"/>
                <w:color w:val="auto"/>
              </w:rPr>
            </w:pPr>
          </w:p>
        </w:tc>
      </w:tr>
      <w:tr>
        <w:trPr>
          <w:trHeight w:val="243"/>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December 31, 2014</w:t>
            </w:r>
          </w:p>
        </w:tc>
        <w:tc>
          <w:tcPr>
            <w:tcW w:w="2200" w:type="dxa"/>
            <w:vAlign w:val="bottom"/>
            <w:gridSpan w:val="2"/>
          </w:tcPr>
          <w:p>
            <w:pPr>
              <w:ind w:left="40"/>
              <w:spacing w:after="0"/>
              <w:rPr>
                <w:sz w:val="20"/>
                <w:szCs w:val="20"/>
                <w:color w:val="auto"/>
              </w:rPr>
            </w:pPr>
            <w:r>
              <w:rPr>
                <w:rFonts w:ascii="Arial" w:cs="Arial" w:eastAsia="Arial" w:hAnsi="Arial"/>
                <w:sz w:val="18"/>
                <w:szCs w:val="18"/>
                <w:color w:val="auto"/>
              </w:rPr>
              <w:t>USD/Brazilian Real</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Brazilian Real</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2.5442</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January 16, 2015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540" w:hanging="328"/>
        <w:spacing w:after="0" w:line="216" w:lineRule="auto"/>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Gains on futures contracts are recorded in prepaid expenses and other current assets. Losses on futures contracts are recorded in other accrued expenses.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Subsequent Event</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4, 2015, we signed an Asset Purchase Agreement to acquire substantially all of the net assets of Ecolink Intelligent Technology, Inc. (“Ecolink”), a U.S.-based leading developer of smart home technology that designs, develops and manufactures a wide range of intelligent wireless security and home automation products. Under the terms of the Asset Purchase Agreement, we will pay an initial cash purchase price of approximately $12.4 million, plus contingent cash consideration based upon a percentage of operating income attributable to Ecolink over the next five years. We expect this transaction to close during the third quarter of 2015.</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develop and manufacture a broad line of pre-programmed universal remote control products, audio-video ("AV") accessories, and software that are marketed to enhance home entertainment systems. Our customers operate in the consumer electronics market and include subscription broadcasters, original equipment manufacturers ("OEMs"), international retailers, private labels, and companies in the computing industry. We also sell integrated circuits, on which our software and infrared ("IR") code database, or library, is embedded, to OEMs that manufacture wireless control devices, cable converters or satellite receivers for resale in their products.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our beginning in 1986, we have compiled an extensive IR code library that covers over 896,000 individual device functions and approximately 7,200 individual consumer electronic equipment brand names. Our library is regularly updated with IR codes used in newly introduced AV devices. These IR codes are captured directly from the remote control devices or the manufacturer's written specifications to ensure the accuracy and integrity of the database. We believe that our universal remote control library contains device codes that are capable of controlling virtually all IR controlled set-top boxes, televisions, audio components, DVD players, Blu-Ray players and CD players, as well as most other remote controlled home entertainment devices and home automation control modules worldwide.</w:t>
      </w:r>
    </w:p>
    <w:p>
      <w:pPr>
        <w:spacing w:after="0" w:line="13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operate as one business segment. We have twenty-four international subsidiaries located in Argentina, Brazil, British Virgin Islands (3), Cayman Islands, France, Germany, Hong Kong (4), India, Italy, Japan, Mexico, the Netherlands, People's Republic of China (4), Singapore, Spain, and the United Kingdom.</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the three months ended June 30, 2015:</w:t>
      </w:r>
    </w:p>
    <w:p>
      <w:pPr>
        <w:spacing w:after="0" w:line="63" w:lineRule="exact"/>
        <w:rPr>
          <w:sz w:val="20"/>
          <w:szCs w:val="20"/>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sales increased 0.8% to $147.6 million for the three months ended June 30, 2015 from $146.3 million for the three months ended June 30, 2014.</w:t>
      </w:r>
    </w:p>
    <w:p>
      <w:pPr>
        <w:spacing w:after="0" w:line="8"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gross margin percentage decreased from 29.8% for the three months ended June 30, 2014 to 27.3% for the three months ended June 30, 2015.</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expenses, as a percent of sales, decreased from 21.8% for the three months ended June 30, 2014 to 20.3% for the three months ended June 30, 2015.</w:t>
      </w:r>
    </w:p>
    <w:p>
      <w:pPr>
        <w:spacing w:after="0" w:line="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operating income decreased 10.9% to $10.4 million for the three months ended June 30, 2015 from $11.7 million for the three months ended June 30, 2014, and our operating margin percentage decreased from 8.0% for the three months ended June 30, 2014 to 7.0% for the three months ended June 30, 2015.</w:t>
      </w:r>
    </w:p>
    <w:p>
      <w:pPr>
        <w:spacing w:after="0" w:line="19"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effective tax rate decreased to 20.7% for the three months ended June 30, 2015, compared to 24.7% for the three months ended June 30, 2014.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2015 include the following:</w:t>
      </w:r>
    </w:p>
    <w:p>
      <w:pPr>
        <w:spacing w:after="0" w:line="63"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to develop industry-leading technologies and products in order to improve profitability;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to increase our market share in newer product categories, such as smart devices and game consoles;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further penetrate the growing Asian and Latin American subscription broadcasting markets;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acquire new customers in historically strong regions;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our share with existing customers;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to seek acquisitions or strategic partners that complement and strengthen our existing business.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allowances for</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sales returns and doubtful accounts, inventory valuation, our review for impairment of long-lived assets, intangible assets and goodwill, income taxes and stock-based compensation expense. Actual results may differ from these judgments and estimates, and they may be adjusted as more information becomes available. Any adjustment may be significant and may have a material impact on our consolidated financial position or results of operations.</w:t>
      </w:r>
    </w:p>
    <w:p>
      <w:pPr>
        <w:spacing w:after="0" w:line="1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We do not believe that there have been any significant changes during the six months ended June 30, 2015 to the items that we disclosed as our critical accounting policies and estimates in Item 7, "Management's Discussion and Analysis of Financial Condition and Results of Operations" contained in our Annual Report on Form 10-K for our fiscal year ended December 31, 2014.</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1 contained in the "Notes to Consolidated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expressed as a percentage of net sales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3280" w:type="dxa"/>
            <w:vAlign w:val="bottom"/>
            <w:gridSpan w:val="4"/>
          </w:tcPr>
          <w:p>
            <w:pPr>
              <w:ind w:left="680"/>
              <w:spacing w:after="0"/>
              <w:rPr>
                <w:sz w:val="20"/>
                <w:szCs w:val="20"/>
                <w:color w:val="auto"/>
              </w:rPr>
            </w:pPr>
            <w:r>
              <w:rPr>
                <w:rFonts w:ascii="Arial" w:cs="Arial" w:eastAsia="Arial" w:hAnsi="Arial"/>
                <w:sz w:val="14"/>
                <w:szCs w:val="14"/>
                <w:b w:val="1"/>
                <w:bCs w:val="1"/>
                <w:color w:val="auto"/>
              </w:rPr>
              <w:t>Three Months Ended June 30,</w:t>
            </w:r>
          </w:p>
        </w:tc>
        <w:tc>
          <w:tcPr>
            <w:tcW w:w="3180" w:type="dxa"/>
            <w:vAlign w:val="bottom"/>
            <w:gridSpan w:val="3"/>
          </w:tcPr>
          <w:p>
            <w:pPr>
              <w:jc w:val="right"/>
              <w:ind w:right="65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5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2014</w:t>
            </w: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20" w:type="dxa"/>
            <w:vAlign w:val="bottom"/>
          </w:tcPr>
          <w:p>
            <w:pPr>
              <w:jc w:val="right"/>
              <w:ind w:right="113"/>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1"/>
                <w:szCs w:val="21"/>
                <w:color w:val="auto"/>
              </w:rPr>
            </w:pPr>
          </w:p>
        </w:tc>
        <w:tc>
          <w:tcPr>
            <w:tcW w:w="1560" w:type="dxa"/>
            <w:vAlign w:val="bottom"/>
          </w:tcPr>
          <w:p>
            <w:pPr>
              <w:jc w:val="right"/>
              <w:ind w:right="151"/>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1520" w:type="dxa"/>
            <w:vAlign w:val="bottom"/>
          </w:tcPr>
          <w:p>
            <w:pPr>
              <w:jc w:val="right"/>
              <w:ind w:right="93"/>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71.0</w:t>
            </w:r>
          </w:p>
        </w:tc>
      </w:tr>
      <w:tr>
        <w:trPr>
          <w:trHeight w:val="27"/>
        </w:trPr>
        <w:tc>
          <w:tcPr>
            <w:tcW w:w="496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5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29.0</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1520" w:type="dxa"/>
            <w:vAlign w:val="bottom"/>
          </w:tcPr>
          <w:p>
            <w:pPr>
              <w:jc w:val="right"/>
              <w:ind w:right="11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560" w:type="dxa"/>
            <w:vAlign w:val="bottom"/>
          </w:tcPr>
          <w:p>
            <w:pPr>
              <w:jc w:val="right"/>
              <w:ind w:right="15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520" w:type="dxa"/>
            <w:vAlign w:val="bottom"/>
          </w:tcPr>
          <w:p>
            <w:pPr>
              <w:jc w:val="right"/>
              <w:ind w:right="113"/>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3.0</w:t>
            </w:r>
          </w:p>
        </w:tc>
      </w:tr>
      <w:tr>
        <w:trPr>
          <w:trHeight w:val="27"/>
        </w:trPr>
        <w:tc>
          <w:tcPr>
            <w:tcW w:w="49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5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19.6</w:t>
            </w: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52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6.4</w:t>
            </w:r>
          </w:p>
        </w:tc>
      </w:tr>
      <w:tr>
        <w:trPr>
          <w:trHeight w:val="27"/>
        </w:trPr>
        <w:tc>
          <w:tcPr>
            <w:tcW w:w="49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15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(0.0)</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520" w:type="dxa"/>
            <w:vAlign w:val="bottom"/>
          </w:tcPr>
          <w:p>
            <w:pPr>
              <w:jc w:val="right"/>
              <w:ind w:right="11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520" w:type="dxa"/>
            <w:vAlign w:val="bottom"/>
          </w:tcPr>
          <w:p>
            <w:pPr>
              <w:jc w:val="right"/>
              <w:ind w:right="11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(0.3)</w:t>
            </w:r>
          </w:p>
        </w:tc>
      </w:tr>
      <w:tr>
        <w:trPr>
          <w:trHeight w:val="27"/>
        </w:trPr>
        <w:tc>
          <w:tcPr>
            <w:tcW w:w="496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15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6.1</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520" w:type="dxa"/>
            <w:vAlign w:val="bottom"/>
          </w:tcPr>
          <w:p>
            <w:pPr>
              <w:jc w:val="right"/>
              <w:ind w:right="11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560" w:type="dxa"/>
            <w:vAlign w:val="bottom"/>
          </w:tcPr>
          <w:p>
            <w:pPr>
              <w:jc w:val="right"/>
              <w:ind w:right="15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520" w:type="dxa"/>
            <w:vAlign w:val="bottom"/>
          </w:tcPr>
          <w:p>
            <w:pPr>
              <w:jc w:val="right"/>
              <w:ind w:right="11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1.5</w:t>
            </w:r>
          </w:p>
        </w:tc>
      </w:tr>
      <w:tr>
        <w:trPr>
          <w:trHeight w:val="27"/>
        </w:trPr>
        <w:tc>
          <w:tcPr>
            <w:tcW w:w="496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2015 versus Three Months Ended June 30, 2014</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the three months ended June 30, 2015 were $147.6 million, an increase of 0.8% compared to $146.3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2014. Net sales by our Business and Consumer lines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2015</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2014</w:t>
            </w:r>
          </w:p>
        </w:tc>
      </w:tr>
      <w:tr>
        <w:trPr>
          <w:trHeight w:val="264"/>
        </w:trPr>
        <w:tc>
          <w:tcPr>
            <w:tcW w:w="50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w w:val="93"/>
              </w:rPr>
              <w:t>(millions)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 (millions)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90.7%</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w:t>
            </w:r>
          </w:p>
        </w:tc>
        <w:tc>
          <w:tcPr>
            <w:tcW w:w="1740" w:type="dxa"/>
            <w:vAlign w:val="bottom"/>
            <w:gridSpan w:val="3"/>
          </w:tcPr>
          <w:p>
            <w:pPr>
              <w:jc w:val="right"/>
              <w:ind w:right="108"/>
              <w:spacing w:after="0"/>
              <w:rPr>
                <w:sz w:val="20"/>
                <w:szCs w:val="20"/>
                <w:color w:val="auto"/>
              </w:rPr>
            </w:pPr>
            <w:r>
              <w:rPr>
                <w:rFonts w:ascii="Arial" w:cs="Arial" w:eastAsia="Arial" w:hAnsi="Arial"/>
                <w:sz w:val="18"/>
                <w:szCs w:val="18"/>
                <w:color w:val="auto"/>
              </w:rPr>
              <w:t>9.3</w:t>
            </w:r>
          </w:p>
        </w:tc>
      </w:tr>
      <w:tr>
        <w:trPr>
          <w:trHeight w:val="27"/>
        </w:trPr>
        <w:tc>
          <w:tcPr>
            <w:tcW w:w="5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147.6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Net sales in our Business lines (subscription broadcasting, OEM, and computing companies) were 91.8% of net sales for the three months ended June 30, 2015 compared to 90.7% for the three months ended June 30, 2014. Net sales in our Business lines for the three months ended June 30, 2015 increased by 2.1% to $135.5 million from $132.7 million driven primarily by strong demand and increased market share with North American subscription broadcasters.</w:t>
      </w:r>
    </w:p>
    <w:p>
      <w:pPr>
        <w:spacing w:after="0" w:line="93"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Net sales in our Consumer lines (</w:t>
      </w:r>
      <w:r>
        <w:rPr>
          <w:rFonts w:ascii="Arial" w:cs="Arial" w:eastAsia="Arial" w:hAnsi="Arial"/>
          <w:sz w:val="17"/>
          <w:szCs w:val="17"/>
          <w:i w:val="1"/>
          <w:iCs w:val="1"/>
          <w:color w:val="auto"/>
        </w:rPr>
        <w:t>One For All</w:t>
      </w:r>
      <w:r>
        <w:rPr>
          <w:rFonts w:ascii="Arial" w:cs="Arial" w:eastAsia="Arial" w:hAnsi="Arial"/>
          <w:sz w:val="24"/>
          <w:szCs w:val="24"/>
          <w:i w:val="1"/>
          <w:iCs w:val="1"/>
          <w:color w:val="auto"/>
          <w:vertAlign w:val="superscript"/>
        </w:rPr>
        <w:t>®</w:t>
      </w:r>
      <w:r>
        <w:rPr>
          <w:rFonts w:ascii="Arial" w:cs="Arial" w:eastAsia="Arial" w:hAnsi="Arial"/>
          <w:sz w:val="17"/>
          <w:szCs w:val="17"/>
          <w:color w:val="auto"/>
        </w:rPr>
        <w:t xml:space="preserve"> retail and private label) were 8.2% of net sales for the three months ended June 30, 2015 compared to 9.3% for the three months ended June 30, 2014. Net sales in our Consumer lines for the three months ended June 30, 2015 decreased by 11.0% to $12.1 million from $13.6 million in the three months ended June 30, 2014. This decrease was driven primarily by the weakening of the Euro and the British Pound compared to the U.S. Dollar, which negatively impacted sales in the current year period by $1.5 million.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Gross profit for the three months ended June 30, 2015 was $40.3 million compared to $43.6 million for the three months ended June 30, 2014.</w:t>
      </w:r>
      <w:r>
        <w:rPr>
          <w:rFonts w:ascii="Arial" w:cs="Arial" w:eastAsia="Arial" w:hAnsi="Arial"/>
          <w:sz w:val="16"/>
          <w:szCs w:val="16"/>
          <w:i w:val="1"/>
          <w:iCs w:val="1"/>
          <w:color w:val="auto"/>
        </w:rPr>
        <w:t xml:space="preserve"> </w:t>
      </w:r>
      <w:r>
        <w:rPr>
          <w:rFonts w:ascii="Arial" w:cs="Arial" w:eastAsia="Arial" w:hAnsi="Arial"/>
          <w:sz w:val="16"/>
          <w:szCs w:val="16"/>
          <w:color w:val="auto"/>
        </w:rPr>
        <w:t>Gross profit as a percent of sales decreased to 27.3% for the three months ended June 30, 2015 compared to 29.8% for the three months ended June 30, 2014. The gross margin percentage was unfavorably impacted by an increase in sales to certain large customers that yield a lower gross margin than our company average, labor inflation in China where our three manufacturing facilities are located, and the strengthening of the U.S. Dollar versus the Euro and British Pound. In addition, a decrease in chip and royalty revenue associated with the TV and mobile device markets also negatively impacted our gross margin rate.</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remained at $4.1 million for both the three months ended June 30, 2015 and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2014 as we continue to develop new product offerings for new and existing categories.</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Selling, general and administrative ("SG&amp;A") expenses. </w:t>
      </w:r>
      <w:r>
        <w:rPr>
          <w:rFonts w:ascii="Arial" w:cs="Arial" w:eastAsia="Arial" w:hAnsi="Arial"/>
          <w:sz w:val="17"/>
          <w:szCs w:val="17"/>
          <w:color w:val="auto"/>
        </w:rPr>
        <w:t>SG&amp;A expenses decreased 7.1% to $25.8 million for the three months ended June 30, 2015 from</w:t>
      </w:r>
      <w:r>
        <w:rPr>
          <w:rFonts w:ascii="Arial" w:cs="Arial" w:eastAsia="Arial" w:hAnsi="Arial"/>
          <w:sz w:val="17"/>
          <w:szCs w:val="17"/>
          <w:i w:val="1"/>
          <w:iCs w:val="1"/>
          <w:color w:val="auto"/>
        </w:rPr>
        <w:t xml:space="preserve"> </w:t>
      </w:r>
      <w:r>
        <w:rPr>
          <w:rFonts w:ascii="Arial" w:cs="Arial" w:eastAsia="Arial" w:hAnsi="Arial"/>
          <w:sz w:val="17"/>
          <w:szCs w:val="17"/>
          <w:color w:val="auto"/>
        </w:rPr>
        <w:t>$27.8 million for the three months ended June 30, 2014. This decrease was attributable primarily to the weakening of the Euro and Brazilian Real, as well as decreases in incentive compensation costs and outside legal expenses related to patent litigation cases. These decreases were partially offset by increased payroll costs associated with additional headcount to support product development efforts and annual merit increases, and increased delivery expenses as a result of the additional sales to North American subscription broadcasting customers in the current year period.</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Net interest income was $0.1 million for the three months ended June 30, 2015 compared to net interest expense of $71</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 for the three months ended June 30, 2014.</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income was $56 thousand for the three months ended June 30, 2015 compared to net other expense of $0.3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June 30, 2014. This change was driven primarily by a net foreign currency gain being recorded for the three months ended June 30, 2015, compared to a net foreign currency loss for the three months ended June 30, 2014, and was mostly associated with fluctuations in foreign currency exchange rates related to the Chinese Yuan Renminbi, British Pound, Brazilian Real and Euro.</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Income tax expense was $2.2 million for the three months ended June 30, 2015 compared to $2.8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2014. Our effective tax rate was 20.7% for the three months ended June 30, 2015 compared to 24.7% for the three months ended June 30, 2014. The decrease in our effective tax rate was primarily due to the recording of a $0.5 million tax refund during the three months ended June 30, 2015 relating to tax incentives in China for the years 2012 through 2014.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2015 versus Six Months Ended June 30, 2014</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for the six months ended June 30, 2015 were $280.3 million, an increase of 1.5% compared to $276.2 million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2014. Net sales by our Business and Consumer lines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2015</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2014</w:t>
            </w:r>
          </w:p>
        </w:tc>
      </w:tr>
      <w:tr>
        <w:trPr>
          <w:trHeight w:val="264"/>
        </w:trPr>
        <w:tc>
          <w:tcPr>
            <w:tcW w:w="50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w w:val="93"/>
              </w:rPr>
              <w:t>(millions)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 (millions)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90.9%</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w:t>
            </w:r>
          </w:p>
        </w:tc>
        <w:tc>
          <w:tcPr>
            <w:tcW w:w="1740" w:type="dxa"/>
            <w:vAlign w:val="bottom"/>
            <w:gridSpan w:val="3"/>
          </w:tcPr>
          <w:p>
            <w:pPr>
              <w:jc w:val="right"/>
              <w:ind w:right="108"/>
              <w:spacing w:after="0"/>
              <w:rPr>
                <w:sz w:val="20"/>
                <w:szCs w:val="20"/>
                <w:color w:val="auto"/>
              </w:rPr>
            </w:pPr>
            <w:r>
              <w:rPr>
                <w:rFonts w:ascii="Arial" w:cs="Arial" w:eastAsia="Arial" w:hAnsi="Arial"/>
                <w:sz w:val="18"/>
                <w:szCs w:val="18"/>
                <w:color w:val="auto"/>
              </w:rPr>
              <w:t>9.1</w:t>
            </w:r>
          </w:p>
        </w:tc>
      </w:tr>
      <w:tr>
        <w:trPr>
          <w:trHeight w:val="27"/>
        </w:trPr>
        <w:tc>
          <w:tcPr>
            <w:tcW w:w="5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280.3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Net sales in our Business lines (subscription broadcasting, OEM, and computing companies) were 91.7% of net sales for the six months ended June 30, 2015 compared to 90.9% for the six months ended June 30, 2014. Net sales in our Business lines for the six months ended June 30, 2015 increased by 2.3% to $257.0 million from $251.2 million driven primarily by strong demand and increased market share with North American subscription broadcasters.</w:t>
      </w:r>
    </w:p>
    <w:p>
      <w:pPr>
        <w:spacing w:after="0" w:line="9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Net sales in our Consumer lines (</w:t>
      </w:r>
      <w:r>
        <w:rPr>
          <w:rFonts w:ascii="Arial" w:cs="Arial" w:eastAsia="Arial" w:hAnsi="Arial"/>
          <w:sz w:val="18"/>
          <w:szCs w:val="18"/>
          <w:i w:val="1"/>
          <w:iCs w:val="1"/>
          <w:color w:val="auto"/>
        </w:rPr>
        <w:t>One For All</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retail and private label) were 8.3% of net sales for the six months ended June 30, 2015 compared to 9.1% for the six months ended June 30, 2014. Net sales in our Consumer lines for the six months ended June 30, 2015 decreased by 6.8% to $23.3 million from $25.0 million in the six months ended June 30, 2014. This decrease was driven primarily by the weakening of the Euro and the British Pound compared to the U.S. Dollar, which negatively impacted sales in the current year period by $2.8 million. This unfavorable currency impact was partially offset by increased sales in the European market.</w:t>
      </w:r>
    </w:p>
    <w:p>
      <w:pPr>
        <w:spacing w:after="0" w:line="1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for the six months ended June 30, 2015 was $77.7 million compared to $80.1 million for the six months ended June 30, 2014. Gross</w:t>
      </w:r>
      <w:r>
        <w:rPr>
          <w:rFonts w:ascii="Arial" w:cs="Arial" w:eastAsia="Arial" w:hAnsi="Arial"/>
          <w:sz w:val="18"/>
          <w:szCs w:val="18"/>
          <w:i w:val="1"/>
          <w:iCs w:val="1"/>
          <w:color w:val="auto"/>
        </w:rPr>
        <w:t xml:space="preserve"> </w:t>
      </w:r>
      <w:r>
        <w:rPr>
          <w:rFonts w:ascii="Arial" w:cs="Arial" w:eastAsia="Arial" w:hAnsi="Arial"/>
          <w:sz w:val="18"/>
          <w:szCs w:val="18"/>
          <w:color w:val="auto"/>
        </w:rPr>
        <w:t>profit as a percent of sales decreased to 27.7% for the six months ended June 30, 2015 compared to 29.0% for the six months ended June 30, 2014. The gross margin percentage was unfavorably impacted by an increase in sales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large customers that yield a lower gross margin than our company average as well as labor inflation in China where our three manufacturing facilities are located.</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R&amp;D expense was $8.5 million for the six months ended June 30, 2015 compared to $8.4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2014 as we continue to develop new product offerings for new and existing categories.</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SG&amp;A expenses decreased 2.6% to $52.7 million for the six months ended June 30, 2015 from $54.0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six months ended June 30, 2014. This decrease was attributable primarily to the weakening of the Euro and Brazilian Real as well as decreases in incentive compensation costs and outside legal expenses related to patent litigation cases. These decreases were partially offset by increased payroll costs associated with additional headcount to support product development efforts and annual merit increases, and increased delivery and freight expense as a result of the additional sales to North American subscription broadcasting customers in the current year period as well as the rerouting of certain shipments in the first quarter of 2015 due to the temporary port congestion in Los Angeles, California.</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Net interest income was $0.2 million for the six months ended June 30, 2015 compared to net interest expense of $0.1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six months ended June 30, 2014.</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income was $0.3 million for the six months ended June 30, 2015 compared to net other expense of $0.7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2014. This change was driven primarily by a net foreign currency gain being recorded for the six months ended June 30, 2015, compared to a net foreign currency loss for the six months ended June 30, 2014, and was mostly associated with fluctuations in foreign currency exchange rates related to the Chinese Yuan Renminbi, British Pound, and Euro.</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Income tax expense was $3.4 million for the six months ended June 30, 2015 compared to $4.1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2014. Our effective tax rate was 20.2% for the six months ended June 30, 2015 compared to 24.5% for the six months ended June 30, 2014. The decrease in our effective tax rate was primarily due to the recording of $0.8 million in tax refunds during the six months ended June 30, 2015, of which $0.5 million related to tax incentives in China for the years 2012 through 2014 and $0.3 million related to certain deductible research and development expenses incurred in China during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Six Months Ended June 30,</w:t>
            </w:r>
          </w:p>
        </w:tc>
        <w:tc>
          <w:tcPr>
            <w:tcW w:w="360" w:type="dxa"/>
            <w:vAlign w:val="bottom"/>
          </w:tcPr>
          <w:p>
            <w:pPr>
              <w:spacing w:after="0"/>
              <w:rPr>
                <w:sz w:val="14"/>
                <w:szCs w:val="1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Increase</w:t>
            </w: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92"/>
        </w:trPr>
        <w:tc>
          <w:tcPr>
            <w:tcW w:w="57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jc w:val="center"/>
              <w:ind w:right="21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6"/>
                <w:szCs w:val="16"/>
                <w:color w:val="auto"/>
              </w:rPr>
            </w:pPr>
          </w:p>
        </w:tc>
        <w:tc>
          <w:tcPr>
            <w:tcW w:w="1600" w:type="dxa"/>
            <w:vAlign w:val="bottom"/>
          </w:tcPr>
          <w:p>
            <w:pPr>
              <w:jc w:val="center"/>
              <w:ind w:right="134"/>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3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28,791</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Cash used for investing activities</w:t>
            </w: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(16,907)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(8,530)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(8,377)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for)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(8,468)</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30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504"/>
        </w:trPr>
        <w:tc>
          <w:tcPr>
            <w:tcW w:w="5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June 30, 2015</w:t>
            </w:r>
          </w:p>
        </w:tc>
        <w:tc>
          <w:tcPr>
            <w:tcW w:w="360" w:type="dxa"/>
            <w:vAlign w:val="bottom"/>
          </w:tcPr>
          <w:p>
            <w:pPr>
              <w:spacing w:after="0"/>
              <w:rPr>
                <w:sz w:val="24"/>
                <w:szCs w:val="2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Increase</w:t>
            </w:r>
          </w:p>
        </w:tc>
        <w:tc>
          <w:tcPr>
            <w:tcW w:w="220" w:type="dxa"/>
            <w:vAlign w:val="bottom"/>
          </w:tcPr>
          <w:p>
            <w:pPr>
              <w:spacing w:after="0"/>
              <w:rPr>
                <w:sz w:val="24"/>
                <w:szCs w:val="24"/>
                <w:color w:val="auto"/>
              </w:rPr>
            </w:pPr>
          </w:p>
        </w:tc>
        <w:tc>
          <w:tcPr>
            <w:tcW w:w="1600" w:type="dxa"/>
            <w:vAlign w:val="bottom"/>
            <w:vMerge w:val="restart"/>
          </w:tcPr>
          <w:p>
            <w:pPr>
              <w:jc w:val="center"/>
              <w:ind w:right="134"/>
              <w:spacing w:after="0"/>
              <w:rPr>
                <w:sz w:val="20"/>
                <w:szCs w:val="20"/>
                <w:color w:val="auto"/>
              </w:rPr>
            </w:pPr>
            <w:r>
              <w:rPr>
                <w:rFonts w:ascii="Arial" w:cs="Arial" w:eastAsia="Arial" w:hAnsi="Arial"/>
                <w:sz w:val="14"/>
                <w:szCs w:val="14"/>
                <w:b w:val="1"/>
                <w:bCs w:val="1"/>
                <w:color w:val="auto"/>
                <w:w w:val="93"/>
              </w:rPr>
              <w:t>December 31, 2014</w:t>
            </w: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82,162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112,521</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30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158,921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(24,679)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183,600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Net cash provided by operating activities </w:t>
      </w:r>
      <w:r>
        <w:rPr>
          <w:rFonts w:ascii="Arial" w:cs="Arial" w:eastAsia="Arial" w:hAnsi="Arial"/>
          <w:sz w:val="17"/>
          <w:szCs w:val="17"/>
          <w:color w:val="auto"/>
        </w:rPr>
        <w:t>was $5.9 million during the six months ended June 30, 2015 compared to $28.8 million during the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2014, primarily due to the net impact of changes in working capital needs associated with inventory, accounts payable and accounts receivable. During the six months ended June 30, 2015, we deliberately increased our inventory levels in order to meet the strong second half demand for our higher end products in the subscription broadcast channel. In addition, we made a strategic purchase of resin to take advantage of attractive pricing. With respect to accounts payable, payment timing related to 2015 inventory purchases resulted in decreased cash inflows during the six months ended June 30, 2015 compared to the prior year period. Offsetting these impacts were improved cash flows associated with accounts receivable during the six months ended June 30, 2015, which was driven mainly by favorable collection timing. Days sales outstanding decreased from 66 days at June 30, 2014 to 63 days at June 30, 2015. Our days sales outstanding typically fluctuates between 62 and 69 days.</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cash used for investing activities </w:t>
      </w:r>
      <w:r>
        <w:rPr>
          <w:rFonts w:ascii="Arial" w:cs="Arial" w:eastAsia="Arial" w:hAnsi="Arial"/>
          <w:sz w:val="18"/>
          <w:szCs w:val="18"/>
          <w:color w:val="auto"/>
        </w:rPr>
        <w:t>during the six months ended June 30, 2015 was $16.9 million compared to $8.4 million during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2014. Cash outflows to purchase property, plant and equipment were $15.7 million during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six months ended June 30, 2015 compared to $7.7 million for the six months ended June 30, 2014. This increase was driven primarily by additional machinery and equipment purchases which are required to meet the increased demand for more advanced remote controls. In addition, we are increasing the amount of automation in our factories in an effort to mitigate the rising cost of labor in China. As a result, for the full year 2015 we expect property, plant and equipment purchases to total between $23 million to $26 million.</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 cash used for financing activities </w:t>
      </w:r>
      <w:r>
        <w:rPr>
          <w:rFonts w:ascii="Arial" w:cs="Arial" w:eastAsia="Arial" w:hAnsi="Arial"/>
          <w:sz w:val="18"/>
          <w:szCs w:val="18"/>
          <w:color w:val="auto"/>
        </w:rPr>
        <w:t>was $19.9 million during the six months ended June 30, 2015 compared to $8.5 million during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2014. The increase in cash used for financing activities was driven primarily by an increased level of stock repurchases and a decrease in proceeds from stock options exercised in the current year period. Offsetting these increases in cash outflows were net borrowings on our line of credit of $12.0 million in the current year period.</w:t>
      </w:r>
    </w:p>
    <w:p>
      <w:pPr>
        <w:spacing w:after="0" w:line="13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six months ended June 30, 2015, we repurchased 648,708 shares of our common stock at a cost of $34.3 million compared to our repurchase of 349,533 shares at a cost of $14.3 million during the six months ended June 30, 2014. We hold these shares as treasury stock and they are available for reissue. Presently, we have no plans to distribute these shares, although we may change these plans if necessary to fulfill our on-going business objectives.</w:t>
      </w:r>
    </w:p>
    <w:p>
      <w:pPr>
        <w:spacing w:after="0" w:line="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our Board of Directors authorizes management to repurchase shares of our issued and outstanding common stock on the open market. Repurchases may be made to manage dilution created by shares issued under our stock incentive plans or whenever we deem a repurchase is a good use of our cash and the price to be paid is at or below a threshold approved by our Board. As of June 30, 2015, we had 526,069 shares available for repurchase on the open market under the Board's authorizations. On July 28, 2015, our Board increased these repurchase authorizations by 403,003 shares bringing the total authorization as of the approval date to 700,000 shares.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our contractual obligations and the effect these obligations are expected to have on our liquidity and cash flow in future periods.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3"/>
                <w:szCs w:val="13"/>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center"/>
              <w:ind w:right="196"/>
              <w:spacing w:after="0" w:line="153" w:lineRule="exact"/>
              <w:rPr>
                <w:sz w:val="20"/>
                <w:szCs w:val="20"/>
                <w:color w:val="auto"/>
              </w:rPr>
            </w:pPr>
            <w:r>
              <w:rPr>
                <w:rFonts w:ascii="Arial" w:cs="Arial" w:eastAsia="Arial" w:hAnsi="Arial"/>
                <w:sz w:val="14"/>
                <w:szCs w:val="14"/>
                <w:b w:val="1"/>
                <w:bCs w:val="1"/>
                <w:color w:val="auto"/>
                <w:w w:val="92"/>
              </w:rPr>
              <w:t>1 - 3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416"/>
              <w:spacing w:after="0" w:line="153" w:lineRule="exact"/>
              <w:rPr>
                <w:sz w:val="20"/>
                <w:szCs w:val="20"/>
                <w:color w:val="auto"/>
              </w:rPr>
            </w:pPr>
            <w:r>
              <w:rPr>
                <w:rFonts w:ascii="Arial" w:cs="Arial" w:eastAsia="Arial" w:hAnsi="Arial"/>
                <w:sz w:val="14"/>
                <w:szCs w:val="14"/>
                <w:b w:val="1"/>
                <w:bCs w:val="1"/>
                <w:color w:val="auto"/>
              </w:rPr>
              <w:t>4 - 5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376"/>
              <w:spacing w:after="0" w:line="153"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1 year</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87"/>
              </w:rPr>
              <w:t>years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3,198</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(1)</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4,178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4,178</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Total contractual obligations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15,752</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7,396</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4,236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1,963</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Purchase obligations primarily consist of contractual payments to purchase property, plant and equipment.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Historically, we have utilized cash provided from operations as our primary source of liquidity, as internally generated cash flows have been sufficient to support our business operations, capital expenditures and discretionary share repurchases. Our working capital needs have typically been greatest during the third and fourth quarters when accounts receivable and inventories increase in connection with the fourth quarter holiday selling season. We believe our current cash balances and anticipated cash flow to be generated from operations will be sufficient to cover expected cash outlays during the next twelve months; however, because our cash is located in various jurisdictions throughout the world, we may at times need to borrow from our revolving line of credit or take on additional debt until we are able to transfer cash among our various entities.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Our liquidity is subject to various risks including the risks discussed under "Item 3. Quantitative and Qualitative Disclosures about Market Risk."</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2015</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December 31, 2014</w:t>
            </w: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20" w:type="dxa"/>
            <w:vAlign w:val="bottom"/>
            <w:tcBorders>
              <w:bottom w:val="single" w:sz="8" w:color="CCEEFF"/>
            </w:tcBorders>
            <w:shd w:val="clear" w:color="auto" w:fill="CCEEFF"/>
          </w:tcPr>
          <w:p>
            <w:pPr>
              <w:jc w:val="right"/>
              <w:ind w:right="14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82,162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112,521</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Available borrowing resources</w:t>
            </w:r>
          </w:p>
        </w:tc>
        <w:tc>
          <w:tcPr>
            <w:tcW w:w="1620" w:type="dxa"/>
            <w:vAlign w:val="bottom"/>
          </w:tcPr>
          <w:p>
            <w:pPr>
              <w:jc w:val="right"/>
              <w:ind w:right="141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42,987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6"/>
              <w:spacing w:after="0"/>
              <w:rPr>
                <w:sz w:val="20"/>
                <w:szCs w:val="20"/>
                <w:color w:val="auto"/>
              </w:rPr>
            </w:pPr>
            <w:r>
              <w:rPr>
                <w:rFonts w:ascii="Arial" w:cs="Arial" w:eastAsia="Arial" w:hAnsi="Arial"/>
                <w:sz w:val="18"/>
                <w:szCs w:val="18"/>
                <w:color w:val="auto"/>
              </w:rPr>
              <w:t>54,987</w:t>
            </w:r>
          </w:p>
        </w:tc>
      </w:tr>
    </w:tbl>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cash balances are held in numerous locations throughout the world. The majority of our cash is held outside of the United States and may be repatriated to the United States but, under current law, would be subject to United States federal income taxes, less applicable foreign tax credits. Repatriation of some foreign balances is restricted by local laws. We have not provided for the United States federal tax liability on these amounts for financial statement purposes as this cash is considered indefinitely reinvested outside of the United States. Our intent is to meet our domestic liquidity needs through ongoing cash flows, external borrowings,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or both. We utilize a variety of tax planning strategies in an effort to ensure that our worldwide cash is available in the locations in which it is needed.</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30, 2015, we had $4.9 million, $65.0 million, $10.1 million and $2.2 million of cash and cash equivalents in the United States, Asia, Europe, and South America, respectively. On December 31, 2014, we had $43.5 million, $50.8 million, $12.9 million, and $5.3 million of cash and cash equivalents in the United States, Asia, Europe and South America, respectively. We attempt to mitigate our exposure to liquidity, credit and other relevant risks by placing our cash and cash equivalents with financial institutions we believe are high quality.</w:t>
      </w:r>
    </w:p>
    <w:p>
      <w:pPr>
        <w:spacing w:after="0" w:line="1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October 9, 2014, we extended the term of our Amended and Restated Credit Agreement ("Amended Credit Agreement") with U.S. Bank National Association ("U.S. Bank") to November 1, 2017. The Amended Credit Agreement provides for a $55.0 million line of credit ("Credit Line") that may be used for working capital and other general corporate purposes including acquisitions, share repurchases and capital expenditures. Amounts available for borrowing under the Credit Line are reduced by the balance of any outstanding letters of credit and debt, of which there were $13 thousand at June 30, 2015.</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People's Republic of China ("PRC").</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Amended Credit Agreement, we may elect to pay interest on the Credit Line based on LIBOR plus an applicable margin (varying from 1.25% to 1.75%) or base rate (based on the prime rate of U.S. Bank or as otherwise specified in the Amended Credit Agreement) plus an applicable margin (varying from 0.00% to 0.50%). The applicable margins are calculated quarterly and vary based on our cash flow leverage ratio as set forth in the Amended Credit Agreement. There are no commitment fees or unused line fees under the Amended Credit Agreement.</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Amended Credit Agreement includes financial covenants requiring a minimum fixed charge coverage ratio and a maximum cash flow leverage ratio. In addition, the Amended Credit Agreement also contains other customary affirmative and negative covenants and events of default. As of June 30, 2015, we were in compliance with the covenants and conditions of the Amended Credit Agreement.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At June 30, 2015, we had an outstanding balance of $12.0 million on our Credit Line.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material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caution that the following important factors, among others (including but not limited to factors discussed in "Management's Discussion and Analysis of Financial Condition and Results of Operations," as well as those discussed in our 2014 Annual Report on Form 10-K, or in our other reports filed from time to time with the Securities and Exchange Commission), may affect our actual results and may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 Therefore, forward-looking statements should not be relied upon as a prediction of actual future results.</w:t>
      </w:r>
    </w:p>
    <w:p>
      <w:pPr>
        <w:spacing w:after="0" w:line="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While we believe that the forward-looking statements made in this report are based on reasonable assumptions, the actual outcome of such statements is subject to a number of risks and uncertainties, including the failure of our markets to continue growing and expanding in the manner we anticipated; the failure of our customers to grow and expand as we anticipated; the effects of natural or other events beyond our control, including the effects political unrest, war or terrorist activities may have on us or the economy; the economic environment's effect on us or our customers; the growth of, acceptance of and the demand for our products and technologies in various markets and geographical regions, including cable, satellite, consumer electronics, retail, and digital media and interactive technology; our inability to add profitable complementary products which are accepted by the marketplace; our inability to attract and retain a quality workforce at adequate levels in all regions of the world, and particularly Asia; our inability to continue to maintain our operating costs at acceptable levels through our cost containment efforts; an unfavorable ruling in any or all of the litigation matters to which we are party; our inability to continue selling our products or licensing our technologies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higher or profitable margins; our inability to obtain orders or maintain our order volume with new and existing customers; our inability to develop new and innovative technologies and products that are accepted by our customers; the possible dilutive effect our stock incentive programs may have on our earnings per share and stock price; our inability to continue to obtain adequate quantities of component parts or secure adequate factory production capacity on a timely basis; and other factors listed from time to time in our press releases and filings with the Securities and Exchange Commission.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exposed to interest rate risk related to our debt. From time to time we may need to borrow amounts on our Credit Line for working capital and other liquidity needs. Under the Amended Credit Agreement that became effective on October 2, 2012, we may elect to pay interest on outstanding borrowings on our Credit Line based on LIBOR or a base rate (based on the prime rate of U.S. Bank) plus an applicable margin as defined in the Amended Credit Agreement. A 100 basis point increase in interest rates would have had an insignificant effect on reported net income for the six months ended June 30, 2015.</w:t>
      </w:r>
    </w:p>
    <w:p>
      <w:pPr>
        <w:spacing w:after="0" w:line="10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June 30, 2015 we had wholly owned subsidiaries in Argentina, Brazil, Cayman Islands, France, Germany, Hong Kong, India, Italy, Japan, Mexico, the Netherlands, the PRC, Singapore, Spain, and the United Kingdom. We are exposed to foreign currency exchange rate risk inherent in our sales commitments, anticipated sales, anticipated purchases, assets and liabilities denominated in currencies other than the U.S. Dollar. The most significant foreign currencies to our operations are the Chinese Yuan Renminbi, Euro, British Pound, Argentinian Peso, Brazilian Real, and Indian Rupee. Our most significant foreign currency exposure is to the Chinese Yuan Renminbi as this is the functional currency of our China-based factories where the majority of our products are manufactured. If the Chinese Yuan Renminbi were to strengthen against the U.S. Dollar, our manufacturing costs would increase. We are generally a net payor of the Euro and Indian Rupee and therefore benefit from a stronger U.S. Dollar and are adversely affected by a weaker U.S. Dollar relateive to the foreign currency. For the British Pound, Argentinian Peso and Brazilian Real, we are generally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1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sensitivity of earnings and cash flows to the variability in exchange rates is assessed by applying an approximate range of potential rate fluctuations to our assets, obligations and projected results of operations denominated in foreign currency with all other variables held constant. The analysis covers all of our foreign currency contracts offset by the underlying exposures. Based on our overall foreign currency rate exposure at June 30, 2015, we believe that movements in foreign currency rates may have a material effect on our financial position and results of operations. We estimate that if the exchange rates for the Chinese Yuan Renminbi, Euro, British Pound, Argentinian Peso, Brazilian Real, and Indian Rupee relative to the U.S. Dollar fluctuate 10% from June 30, 2015, net income in the third quarter of 2015 would fluctuate by approximately $9.5 million.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to allow timely decisions regarding required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lawsuits arising out of the conduct of our business. The discussion of our litigation matters contained in "Notes to Consolidated Financial Statements - Note 10"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reader should carefully consider, in connection with the other information in this report, the factors discussed in "Part I, Item</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1A: Risk Factors" of the Company's 2014 Annual Report on Form 10-K incorporated herein by reference. These factors may cause our actual results to differ materially from those stated in forward-looking statements contained in this document and elsewhere.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three months ended June 30, 2015, we repurchased 579,248 shares of our issued and outstanding common stock for $30.3 million under the ongoing and systematic programs approved by our Board of Directors. We make stock repurchases to manage the dilution created by shares issued under our stock incentive plans or when we deem a repurchase is a good use of our cash and the price to be paid is at or below a threshold approved by our Board from time to time. On June 30, 2015, we had 526,069 shares available for repurchase on the open market under the Board's authorizations. On July 28, 2015, our Board increased these repurchase authorizations by 403,003 shares bringing the total authorization as of the approval date to 700,000 shares.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for the three months ended June 30, 2015, our total stock repurchases, average price paid per share and the maximum number of shares that may yet be purchased on the open market under our plans or programs: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 Shares</w:t>
            </w: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 xml:space="preserve">Shares Purchased </w:t>
            </w:r>
            <w:r>
              <w:rPr>
                <w:rFonts w:ascii="Arial" w:cs="Arial" w:eastAsia="Arial" w:hAnsi="Arial"/>
                <w:sz w:val="8"/>
                <w:szCs w:val="8"/>
                <w:b w:val="1"/>
                <w:bCs w:val="1"/>
                <w:color w:val="auto"/>
                <w:w w:val="95"/>
              </w:rPr>
              <w:t>(1)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4"/>
              </w:rPr>
              <w:t xml:space="preserve">per Share </w:t>
            </w:r>
            <w:r>
              <w:rPr>
                <w:rFonts w:ascii="Arial" w:cs="Arial" w:eastAsia="Arial" w:hAnsi="Arial"/>
                <w:sz w:val="8"/>
                <w:szCs w:val="8"/>
                <w:b w:val="1"/>
                <w:bCs w:val="1"/>
                <w:color w:val="auto"/>
                <w:w w:val="94"/>
              </w:rPr>
              <w:t>(2)</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(3)</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1, 2015 - April 30, 2015</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12,870</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54.04</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12,870</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1,087,130</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May 1, 2015 - May 31, 2015</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293,171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52.16</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8"/>
                <w:szCs w:val="18"/>
                <w:color w:val="auto"/>
              </w:rPr>
              <w:t>288,499</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798,631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1, 2015 - June 30, 2015</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273,207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52.30</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272,562</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526,069</w:t>
            </w:r>
          </w:p>
        </w:tc>
        <w:tc>
          <w:tcPr>
            <w:tcW w:w="0" w:type="dxa"/>
            <w:vAlign w:val="bottom"/>
          </w:tcPr>
          <w:p>
            <w:pPr>
              <w:spacing w:after="0"/>
              <w:rPr>
                <w:sz w:val="1"/>
                <w:szCs w:val="1"/>
                <w:color w:val="auto"/>
              </w:rPr>
            </w:pPr>
          </w:p>
        </w:tc>
      </w:tr>
      <w:tr>
        <w:trPr>
          <w:trHeight w:val="257"/>
        </w:trPr>
        <w:tc>
          <w:tcPr>
            <w:tcW w:w="424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579,248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52.27</w:t>
            </w:r>
          </w:p>
        </w:tc>
        <w:tc>
          <w:tcPr>
            <w:tcW w:w="100" w:type="dxa"/>
            <w:vAlign w:val="bottom"/>
          </w:tcPr>
          <w:p>
            <w:pPr>
              <w:spacing w:after="0"/>
              <w:rPr>
                <w:sz w:val="22"/>
                <w:szCs w:val="22"/>
                <w:color w:val="auto"/>
              </w:rPr>
            </w:pPr>
          </w:p>
        </w:tc>
        <w:tc>
          <w:tcPr>
            <w:tcW w:w="1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573,931</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526,069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16" w:lineRule="auto"/>
        <w:tabs>
          <w:tab w:leader="none" w:pos="66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Of the shares purchased in May and June, 4,672 and 645, respectively, represent common shares of the Company that were owned and tendered by employees to satisfy withholding obligations in connection with the vesting of restricted shares.</w:t>
      </w:r>
    </w:p>
    <w:p>
      <w:pPr>
        <w:spacing w:after="0" w:line="95" w:lineRule="exact"/>
        <w:rPr>
          <w:rFonts w:ascii="Arial" w:cs="Arial" w:eastAsia="Arial" w:hAnsi="Arial"/>
          <w:sz w:val="25"/>
          <w:szCs w:val="25"/>
          <w:color w:val="auto"/>
          <w:vertAlign w:val="superscript"/>
        </w:rPr>
      </w:pPr>
    </w:p>
    <w:p>
      <w:pPr>
        <w:ind w:left="660" w:right="20" w:hanging="328"/>
        <w:spacing w:after="0" w:line="216" w:lineRule="auto"/>
        <w:tabs>
          <w:tab w:leader="none" w:pos="66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For shares tendered in connection with the vesting of restricted shares, the average price paid per share is an average calculated using the daily high and low of the Company's common stock at the time of vesting.</w:t>
      </w:r>
    </w:p>
    <w:p>
      <w:pPr>
        <w:spacing w:after="0" w:line="95" w:lineRule="exact"/>
        <w:rPr>
          <w:rFonts w:ascii="Arial" w:cs="Arial" w:eastAsia="Arial" w:hAnsi="Arial"/>
          <w:sz w:val="25"/>
          <w:szCs w:val="25"/>
          <w:color w:val="auto"/>
          <w:vertAlign w:val="superscript"/>
        </w:rPr>
      </w:pPr>
    </w:p>
    <w:p>
      <w:pPr>
        <w:jc w:val="both"/>
        <w:ind w:left="660" w:hanging="328"/>
        <w:spacing w:after="0" w:line="226" w:lineRule="auto"/>
        <w:tabs>
          <w:tab w:leader="none" w:pos="66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On July 28, 2015, our board authorized an additional 403,003 shares for repurchase under this plan. The Company may purchase shares from time to time in open market purchases or privately negotiated transactions. The Company may make all or part of the purchases pursuant to accelerated share repurchases or Rule 10b5-1 plans.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1"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31.1</w:t>
            </w:r>
          </w:p>
        </w:tc>
        <w:tc>
          <w:tcPr>
            <w:tcW w:w="9940" w:type="dxa"/>
            <w:vAlign w:val="bottom"/>
          </w:tcPr>
          <w:p>
            <w:pPr>
              <w:ind w:left="560"/>
              <w:spacing w:after="0"/>
              <w:rPr>
                <w:sz w:val="20"/>
                <w:szCs w:val="20"/>
                <w:color w:val="auto"/>
              </w:rPr>
            </w:pPr>
            <w:r>
              <w:rPr>
                <w:rFonts w:ascii="Arial" w:cs="Arial" w:eastAsia="Arial" w:hAnsi="Arial"/>
                <w:sz w:val="18"/>
                <w:szCs w:val="18"/>
                <w:color w:val="auto"/>
                <w:w w:val="96"/>
              </w:rPr>
              <w:t>Rule 13a-14(a) Certifications of Paul D. Arling, Chief Executive Officer (principal executive officer) of Universal Electronics</w:t>
            </w:r>
          </w:p>
        </w:tc>
      </w:tr>
      <w:tr>
        <w:trPr>
          <w:trHeight w:val="230"/>
        </w:trPr>
        <w:tc>
          <w:tcPr>
            <w:tcW w:w="860" w:type="dxa"/>
            <w:vAlign w:val="bottom"/>
          </w:tcPr>
          <w:p>
            <w:pPr>
              <w:spacing w:after="0"/>
              <w:rPr>
                <w:sz w:val="20"/>
                <w:szCs w:val="20"/>
                <w:color w:val="auto"/>
              </w:rPr>
            </w:pPr>
          </w:p>
        </w:tc>
        <w:tc>
          <w:tcPr>
            <w:tcW w:w="9940" w:type="dxa"/>
            <w:vAlign w:val="bottom"/>
          </w:tcPr>
          <w:p>
            <w:pPr>
              <w:ind w:left="560"/>
              <w:spacing w:after="0"/>
              <w:rPr>
                <w:sz w:val="20"/>
                <w:szCs w:val="20"/>
                <w:color w:val="auto"/>
              </w:rPr>
            </w:pPr>
            <w:r>
              <w:rPr>
                <w:rFonts w:ascii="Arial" w:cs="Arial" w:eastAsia="Arial" w:hAnsi="Arial"/>
                <w:sz w:val="18"/>
                <w:szCs w:val="18"/>
                <w:color w:val="auto"/>
              </w:rPr>
              <w:t>Inc.</w:t>
            </w:r>
          </w:p>
        </w:tc>
      </w:tr>
      <w:tr>
        <w:trPr>
          <w:trHeight w:val="377"/>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31.2</w:t>
            </w:r>
          </w:p>
        </w:tc>
        <w:tc>
          <w:tcPr>
            <w:tcW w:w="9940" w:type="dxa"/>
            <w:vAlign w:val="bottom"/>
          </w:tcPr>
          <w:p>
            <w:pPr>
              <w:ind w:left="560"/>
              <w:spacing w:after="0"/>
              <w:rPr>
                <w:sz w:val="20"/>
                <w:szCs w:val="20"/>
                <w:color w:val="auto"/>
              </w:rPr>
            </w:pPr>
            <w:r>
              <w:rPr>
                <w:rFonts w:ascii="Arial" w:cs="Arial" w:eastAsia="Arial" w:hAnsi="Arial"/>
                <w:sz w:val="18"/>
                <w:szCs w:val="18"/>
                <w:color w:val="auto"/>
              </w:rPr>
              <w:t>Rule 13a-14(a) Certifications of Bryan M. Hackworth, Chief Financial Officer (principal financial officer and principal</w:t>
            </w:r>
          </w:p>
        </w:tc>
      </w:tr>
      <w:tr>
        <w:trPr>
          <w:trHeight w:val="230"/>
        </w:trPr>
        <w:tc>
          <w:tcPr>
            <w:tcW w:w="860" w:type="dxa"/>
            <w:vAlign w:val="bottom"/>
          </w:tcPr>
          <w:p>
            <w:pPr>
              <w:spacing w:after="0"/>
              <w:rPr>
                <w:sz w:val="20"/>
                <w:szCs w:val="20"/>
                <w:color w:val="auto"/>
              </w:rPr>
            </w:pPr>
          </w:p>
        </w:tc>
        <w:tc>
          <w:tcPr>
            <w:tcW w:w="9940" w:type="dxa"/>
            <w:vAlign w:val="bottom"/>
          </w:tcPr>
          <w:p>
            <w:pPr>
              <w:ind w:left="560"/>
              <w:spacing w:after="0"/>
              <w:rPr>
                <w:sz w:val="20"/>
                <w:szCs w:val="20"/>
                <w:color w:val="auto"/>
              </w:rPr>
            </w:pPr>
            <w:r>
              <w:rPr>
                <w:rFonts w:ascii="Arial" w:cs="Arial" w:eastAsia="Arial" w:hAnsi="Arial"/>
                <w:sz w:val="18"/>
                <w:szCs w:val="18"/>
                <w:color w:val="auto"/>
              </w:rPr>
              <w:t>accounting officer) of Universal Electronics Inc.</w:t>
            </w:r>
          </w:p>
        </w:tc>
      </w:tr>
    </w:tbl>
    <w:p>
      <w:pPr>
        <w:spacing w:after="0" w:line="161" w:lineRule="exact"/>
        <w:rPr>
          <w:sz w:val="20"/>
          <w:szCs w:val="20"/>
          <w:color w:val="auto"/>
        </w:rPr>
      </w:pPr>
    </w:p>
    <w:p>
      <w:pPr>
        <w:jc w:val="both"/>
        <w:ind w:left="1800" w:hanging="1414"/>
        <w:spacing w:after="0" w:line="264"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pacing w:after="0" w:line="141"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4860" w:type="dxa"/>
            <w:vAlign w:val="bottom"/>
          </w:tcPr>
          <w:p>
            <w:pPr>
              <w:ind w:left="380"/>
              <w:spacing w:after="0"/>
              <w:rPr>
                <w:sz w:val="20"/>
                <w:szCs w:val="20"/>
                <w:color w:val="auto"/>
              </w:rPr>
            </w:pPr>
            <w:r>
              <w:rPr>
                <w:rFonts w:ascii="Arial" w:cs="Arial" w:eastAsia="Arial" w:hAnsi="Arial"/>
                <w:sz w:val="18"/>
                <w:szCs w:val="18"/>
                <w:color w:val="auto"/>
              </w:rPr>
              <w:t>XBRL Instance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4860" w:type="dxa"/>
            <w:vAlign w:val="bottom"/>
          </w:tcPr>
          <w:p>
            <w:pPr>
              <w:ind w:left="38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4860" w:type="dxa"/>
            <w:vAlign w:val="bottom"/>
          </w:tcPr>
          <w:p>
            <w:pPr>
              <w:ind w:left="38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4860" w:type="dxa"/>
            <w:vAlign w:val="bottom"/>
          </w:tcPr>
          <w:p>
            <w:pPr>
              <w:ind w:left="38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4860" w:type="dxa"/>
            <w:vAlign w:val="bottom"/>
          </w:tcPr>
          <w:p>
            <w:pPr>
              <w:ind w:left="38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4860" w:type="dxa"/>
            <w:vAlign w:val="bottom"/>
          </w:tcPr>
          <w:p>
            <w:pPr>
              <w:ind w:left="380"/>
              <w:spacing w:after="0"/>
              <w:rPr>
                <w:sz w:val="20"/>
                <w:szCs w:val="20"/>
                <w:color w:val="auto"/>
              </w:rPr>
            </w:pPr>
            <w:r>
              <w:rPr>
                <w:rFonts w:ascii="Arial" w:cs="Arial" w:eastAsia="Arial" w:hAnsi="Arial"/>
                <w:sz w:val="18"/>
                <w:szCs w:val="18"/>
                <w:color w:val="auto"/>
                <w:w w:val="90"/>
              </w:rPr>
              <w:t>XBRL Taxonomy Extension Presentation Linkbase Document</w:t>
            </w:r>
          </w:p>
        </w:tc>
      </w:tr>
      <w:tr>
        <w:trPr>
          <w:trHeight w:val="918"/>
        </w:trPr>
        <w:tc>
          <w:tcPr>
            <w:tcW w:w="1040" w:type="dxa"/>
            <w:vAlign w:val="bottom"/>
          </w:tcPr>
          <w:p>
            <w:pPr>
              <w:spacing w:after="0"/>
              <w:rPr>
                <w:sz w:val="24"/>
                <w:szCs w:val="24"/>
                <w:color w:val="auto"/>
              </w:rPr>
            </w:pPr>
          </w:p>
        </w:tc>
        <w:tc>
          <w:tcPr>
            <w:tcW w:w="4860" w:type="dxa"/>
            <w:vAlign w:val="bottom"/>
          </w:tcPr>
          <w:p>
            <w:pPr>
              <w:ind w:left="4200"/>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180"/>
          </w:cols>
          <w:pgMar w:left="240" w:top="118" w:right="47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Arial" w:cs="Arial" w:eastAsia="Arial" w:hAnsi="Arial"/>
                <w:sz w:val="18"/>
                <w:szCs w:val="18"/>
                <w:color w:val="auto"/>
                <w:w w:val="92"/>
              </w:rPr>
              <w:t>Dated:August 7, 2015</w:t>
            </w:r>
          </w:p>
        </w:tc>
        <w:tc>
          <w:tcPr>
            <w:tcW w:w="7640" w:type="dxa"/>
            <w:vAlign w:val="bottom"/>
            <w:gridSpan w:val="2"/>
          </w:tcPr>
          <w:p>
            <w:pPr>
              <w:ind w:left="1880"/>
              <w:spacing w:after="0"/>
              <w:rPr>
                <w:sz w:val="20"/>
                <w:szCs w:val="20"/>
                <w:color w:val="auto"/>
              </w:rPr>
            </w:pPr>
            <w:r>
              <w:rPr>
                <w:rFonts w:ascii="Arial" w:cs="Arial" w:eastAsia="Arial" w:hAnsi="Arial"/>
                <w:sz w:val="18"/>
                <w:szCs w:val="18"/>
                <w:b w:val="1"/>
                <w:bCs w:val="1"/>
                <w:color w:val="auto"/>
              </w:rPr>
              <w:t>UNIVERSAL ELECTRONICS INC.</w:t>
            </w:r>
          </w:p>
        </w:tc>
      </w:tr>
      <w:tr>
        <w:trPr>
          <w:trHeight w:val="392"/>
        </w:trPr>
        <w:tc>
          <w:tcPr>
            <w:tcW w:w="3740" w:type="dxa"/>
            <w:vAlign w:val="bottom"/>
          </w:tcPr>
          <w:p>
            <w:pPr>
              <w:spacing w:after="0"/>
              <w:rPr>
                <w:sz w:val="24"/>
                <w:szCs w:val="24"/>
                <w:color w:val="auto"/>
              </w:rPr>
            </w:pPr>
          </w:p>
        </w:tc>
        <w:tc>
          <w:tcPr>
            <w:tcW w:w="2500" w:type="dxa"/>
            <w:vAlign w:val="bottom"/>
          </w:tcPr>
          <w:p>
            <w:pPr>
              <w:ind w:left="1880"/>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Bryan M. Hackworth</w:t>
            </w:r>
          </w:p>
        </w:tc>
      </w:tr>
      <w:tr>
        <w:trPr>
          <w:trHeight w:val="27"/>
        </w:trPr>
        <w:tc>
          <w:tcPr>
            <w:tcW w:w="37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Bryan M. Hackworth</w:t>
            </w:r>
          </w:p>
        </w:tc>
      </w:tr>
      <w:tr>
        <w:trPr>
          <w:trHeight w:val="270"/>
        </w:trPr>
        <w:tc>
          <w:tcPr>
            <w:tcW w:w="37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Chief Financial Officer (principal financial officer</w:t>
            </w:r>
          </w:p>
        </w:tc>
      </w:tr>
      <w:tr>
        <w:trPr>
          <w:trHeight w:val="270"/>
        </w:trPr>
        <w:tc>
          <w:tcPr>
            <w:tcW w:w="37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and principal accounting officer)</w:t>
            </w:r>
          </w:p>
        </w:tc>
      </w:tr>
      <w:tr>
        <w:trPr>
          <w:trHeight w:val="864"/>
        </w:trPr>
        <w:tc>
          <w:tcPr>
            <w:tcW w:w="3740" w:type="dxa"/>
            <w:vAlign w:val="bottom"/>
          </w:tcPr>
          <w:p>
            <w:pPr>
              <w:spacing w:after="0"/>
              <w:rPr>
                <w:sz w:val="24"/>
                <w:szCs w:val="24"/>
                <w:color w:val="auto"/>
              </w:rPr>
            </w:pPr>
          </w:p>
        </w:tc>
        <w:tc>
          <w:tcPr>
            <w:tcW w:w="2500" w:type="dxa"/>
            <w:vAlign w:val="bottom"/>
          </w:tcPr>
          <w:p>
            <w:pPr>
              <w:ind w:left="1840"/>
              <w:spacing w:after="0"/>
              <w:rPr>
                <w:sz w:val="20"/>
                <w:szCs w:val="20"/>
                <w:color w:val="auto"/>
              </w:rPr>
            </w:pPr>
            <w:r>
              <w:rPr>
                <w:rFonts w:ascii="Arial" w:cs="Arial" w:eastAsia="Arial" w:hAnsi="Arial"/>
                <w:sz w:val="18"/>
                <w:szCs w:val="18"/>
                <w:color w:val="auto"/>
              </w:rPr>
              <w:t>30</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r>
      <w:tr>
        <w:trPr>
          <w:trHeight w:val="588"/>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86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43"/>
        </w:trPr>
        <w:tc>
          <w:tcPr>
            <w:tcW w:w="1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9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7"/>
              </w:rPr>
              <w:t>Rule 13a-14(a) Certifications of Paul D. Arling, Chief Executive Officer (principal executive officer) of Universal Electronics Inc.</w:t>
            </w: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w w:val="97"/>
              </w:rPr>
              <w:t>Rule 13a-14(a) Certifications of Bryan M. Hackworth, Chief Financial Officer (principal financial officer and principal accounting</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rPr>
              <w:t>officer) of Universal Electronics Inc.</w:t>
            </w: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w w:val="95"/>
              </w:rPr>
              <w:t>Section 1350 Certifications of Paul D. Arling, Chief Executive Officer (principal executive officer) of Universal Electronics Inc., and</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w w:val="94"/>
              </w:rPr>
              <w:t>Bryan M. Hackworth, Chief Financial Officer (principal financial officer and principal accounting officer) of Universal Electronics Inc.</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rPr>
              <w:t>pursuant to 18 U.S.C. Section 1350</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86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86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86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86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86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86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118" w:right="29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71"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jc w:val="both"/>
        <w:ind w:left="340" w:firstLine="154"/>
        <w:spacing w:after="0" w:line="311" w:lineRule="auto"/>
        <w:tabs>
          <w:tab w:leader="none" w:pos="869"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340" w:firstLine="154"/>
        <w:spacing w:after="0" w:line="311" w:lineRule="auto"/>
        <w:tabs>
          <w:tab w:leader="none" w:pos="89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firstLine="154"/>
        <w:spacing w:after="0" w:line="357" w:lineRule="auto"/>
        <w:tabs>
          <w:tab w:leader="none" w:pos="896"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7"/>
          <w:szCs w:val="17"/>
          <w:color w:val="auto"/>
        </w:rPr>
      </w:pPr>
    </w:p>
    <w:p>
      <w:pPr>
        <w:ind w:left="340" w:firstLine="154"/>
        <w:spacing w:after="0" w:line="369" w:lineRule="auto"/>
        <w:tabs>
          <w:tab w:leader="none" w:pos="878"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340" w:firstLine="154"/>
        <w:spacing w:after="0" w:line="324" w:lineRule="auto"/>
        <w:tabs>
          <w:tab w:leader="none" w:pos="864"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340" w:right="20" w:firstLine="154"/>
        <w:spacing w:after="0" w:line="324" w:lineRule="auto"/>
        <w:tabs>
          <w:tab w:leader="none" w:pos="871"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2015</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41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71"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340" w:firstLine="154"/>
        <w:spacing w:after="0" w:line="311" w:lineRule="auto"/>
        <w:tabs>
          <w:tab w:leader="none" w:pos="869"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340" w:firstLine="154"/>
        <w:spacing w:after="0" w:line="311" w:lineRule="auto"/>
        <w:tabs>
          <w:tab w:leader="none" w:pos="89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340" w:firstLine="154"/>
        <w:spacing w:after="0" w:line="357" w:lineRule="auto"/>
        <w:tabs>
          <w:tab w:leader="none" w:pos="896"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 w:lineRule="exact"/>
        <w:rPr>
          <w:rFonts w:ascii="Arial" w:cs="Arial" w:eastAsia="Arial" w:hAnsi="Arial"/>
          <w:sz w:val="17"/>
          <w:szCs w:val="17"/>
          <w:color w:val="auto"/>
        </w:rPr>
      </w:pPr>
    </w:p>
    <w:p>
      <w:pPr>
        <w:ind w:left="340" w:firstLine="154"/>
        <w:spacing w:after="0" w:line="369" w:lineRule="auto"/>
        <w:tabs>
          <w:tab w:leader="none" w:pos="878"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340" w:firstLine="154"/>
        <w:spacing w:after="0" w:line="324" w:lineRule="auto"/>
        <w:tabs>
          <w:tab w:leader="none" w:pos="864"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340" w:right="20" w:firstLine="154"/>
        <w:spacing w:after="0" w:line="324" w:lineRule="auto"/>
        <w:tabs>
          <w:tab w:leader="none" w:pos="871"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2015</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41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420"/>
          </w:cols>
          <w:pgMar w:left="240" w:top="58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each of the undersigned officers of Universal Electronics Inc. (the “Company”), hereby certifies that the (i) Company’s Form 10-Q for the fiscal quarter ended June 30, 2015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tabs>
          <w:tab w:leader="none" w:pos="820" w:val="left"/>
          <w:tab w:leader="none" w:pos="8040" w:val="left"/>
          <w:tab w:leader="none" w:pos="84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7,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31750</wp:posOffset>
            </wp:positionV>
            <wp:extent cx="17837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8060"/>
        <w:spacing w:after="0"/>
        <w:tabs>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31750</wp:posOffset>
            </wp:positionV>
            <wp:extent cx="17837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Chief Financial Officer</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32"/>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2019-12-29T15:06:57Z</dcterms:created>
  <dcterms:modified xsi:type="dcterms:W3CDTF">2019-12-29T15:06:57Z</dcterms:modified>
</cp:coreProperties>
</file>