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4" w:lineRule="exact"/>
        <w:rPr>
          <w:sz w:val="24"/>
          <w:szCs w:val="24"/>
          <w:color w:val="auto"/>
        </w:rPr>
      </w:pPr>
    </w:p>
    <w:p>
      <w:pPr>
        <w:ind w:left="680" w:right="50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80" w:lineRule="exact"/>
        <w:rPr>
          <w:sz w:val="24"/>
          <w:szCs w:val="24"/>
          <w:color w:val="auto"/>
        </w:rPr>
      </w:pPr>
    </w:p>
    <w:p>
      <w:pPr>
        <w:ind w:left="3800"/>
        <w:spacing w:after="0"/>
        <w:rPr>
          <w:sz w:val="20"/>
          <w:szCs w:val="20"/>
          <w:color w:val="auto"/>
        </w:rPr>
      </w:pPr>
      <w:r>
        <w:rPr>
          <w:rFonts w:ascii="Arial" w:cs="Arial" w:eastAsia="Arial" w:hAnsi="Arial"/>
          <w:sz w:val="22"/>
          <w:szCs w:val="22"/>
          <w:b w:val="1"/>
          <w:bCs w:val="1"/>
          <w:color w:val="auto"/>
        </w:rPr>
        <w:t>For the fiscal year ended December 31, 2020</w:t>
      </w:r>
    </w:p>
    <w:p>
      <w:pPr>
        <w:spacing w:after="0" w:line="85"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25"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6"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UNIVERSAL ELECTRONICS INC.</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1740" w:type="dxa"/>
        <w:tblCellMar>
          <w:top w:w="0" w:type="dxa"/>
          <w:left w:w="0" w:type="dxa"/>
          <w:bottom w:w="0" w:type="dxa"/>
          <w:right w:w="0" w:type="dxa"/>
        </w:tblCellMar>
      </w:tblPr>
      <w:tr>
        <w:trPr>
          <w:trHeight w:val="225"/>
        </w:trPr>
        <w:tc>
          <w:tcPr>
            <w:tcW w:w="4060" w:type="dxa"/>
            <w:vAlign w:val="bottom"/>
          </w:tcPr>
          <w:p>
            <w:pPr>
              <w:jc w:val="center"/>
              <w:ind w:right="2062"/>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2062"/>
              <w:spacing w:after="0"/>
              <w:rPr>
                <w:sz w:val="20"/>
                <w:szCs w:val="20"/>
                <w:color w:val="auto"/>
              </w:rPr>
            </w:pPr>
            <w:r>
              <w:rPr>
                <w:rFonts w:ascii="Arial" w:cs="Arial" w:eastAsia="Arial" w:hAnsi="Arial"/>
                <w:sz w:val="18"/>
                <w:szCs w:val="18"/>
                <w:b w:val="1"/>
                <w:bCs w:val="1"/>
                <w:color w:val="auto"/>
                <w:w w:val="89"/>
              </w:rPr>
              <w:t>33-0204817</w:t>
            </w:r>
          </w:p>
        </w:tc>
      </w:tr>
      <w:tr>
        <w:trPr>
          <w:trHeight w:val="144"/>
        </w:trPr>
        <w:tc>
          <w:tcPr>
            <w:tcW w:w="4060" w:type="dxa"/>
            <w:vAlign w:val="bottom"/>
          </w:tcPr>
          <w:p>
            <w:pPr>
              <w:jc w:val="center"/>
              <w:ind w:right="204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tcPr>
          <w:p>
            <w:pPr>
              <w:jc w:val="center"/>
              <w:ind w:left="2082"/>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23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Title of each class</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Common Stock, par value $0.01 per share</w:t>
            </w:r>
          </w:p>
        </w:tc>
        <w:tc>
          <w:tcPr>
            <w:tcW w:w="52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614"/>
        </w:trPr>
        <w:tc>
          <w:tcPr>
            <w:tcW w:w="9120" w:type="dxa"/>
            <w:vAlign w:val="bottom"/>
            <w:gridSpan w:val="4"/>
          </w:tcPr>
          <w:p>
            <w:pPr>
              <w:jc w:val="center"/>
              <w:ind w:left="205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tcPr>
          <w:p>
            <w:pPr>
              <w:jc w:val="center"/>
              <w:ind w:left="430"/>
              <w:spacing w:after="0"/>
              <w:rPr>
                <w:sz w:val="20"/>
                <w:szCs w:val="20"/>
                <w:color w:val="auto"/>
              </w:rPr>
            </w:pPr>
            <w:r>
              <w:rPr>
                <w:rFonts w:ascii="Arial" w:cs="Arial" w:eastAsia="Arial" w:hAnsi="Arial"/>
                <w:sz w:val="18"/>
                <w:szCs w:val="18"/>
                <w:color w:val="auto"/>
                <w:w w:val="92"/>
              </w:rPr>
              <w:t>None</w:t>
            </w:r>
          </w:p>
        </w:tc>
        <w:tc>
          <w:tcPr>
            <w:tcW w:w="2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84"/>
        </w:trPr>
        <w:tc>
          <w:tcPr>
            <w:tcW w:w="3740" w:type="dxa"/>
            <w:vAlign w:val="bottom"/>
          </w:tcPr>
          <w:p>
            <w:pPr>
              <w:spacing w:after="0"/>
              <w:rPr>
                <w:sz w:val="24"/>
                <w:szCs w:val="24"/>
                <w:color w:val="auto"/>
              </w:rPr>
            </w:pPr>
          </w:p>
        </w:tc>
        <w:tc>
          <w:tcPr>
            <w:tcW w:w="5380" w:type="dxa"/>
            <w:vAlign w:val="bottom"/>
            <w:gridSpan w:val="3"/>
          </w:tcPr>
          <w:p>
            <w:pPr>
              <w:jc w:val="center"/>
              <w:ind w:right="1570"/>
              <w:spacing w:after="0"/>
              <w:rPr>
                <w:sz w:val="20"/>
                <w:szCs w:val="20"/>
                <w:color w:val="auto"/>
              </w:rPr>
            </w:pPr>
            <w:r>
              <w:rPr>
                <w:rFonts w:ascii="Arial" w:cs="Arial" w:eastAsia="Arial" w:hAnsi="Arial"/>
                <w:sz w:val="18"/>
                <w:szCs w:val="18"/>
                <w:color w:val="auto"/>
                <w:w w:val="90"/>
              </w:rPr>
              <w:t>_______________________________________</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0"/>
        </w:trPr>
        <w:tc>
          <w:tcPr>
            <w:tcW w:w="91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whether the registrant is a well-known seasoned issuer, as defined in Rule 405 of the Securities Act.</w:t>
            </w:r>
          </w:p>
        </w:tc>
        <w:tc>
          <w:tcPr>
            <w:tcW w:w="660" w:type="dxa"/>
            <w:vAlign w:val="bottom"/>
          </w:tcPr>
          <w:p>
            <w:pPr>
              <w:ind w:left="14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4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91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6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14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28"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Arial" w:cs="Arial" w:eastAsia="Arial" w:hAnsi="Arial"/>
          <w:sz w:val="18"/>
          <w:szCs w:val="18"/>
          <w:color w:val="211D1E"/>
        </w:rPr>
        <w:t>"</w:t>
      </w:r>
      <w:r>
        <w:rPr>
          <w:rFonts w:ascii="Arial" w:cs="Arial" w:eastAsia="Arial" w:hAnsi="Arial"/>
          <w:sz w:val="18"/>
          <w:szCs w:val="18"/>
          <w:color w:val="auto"/>
        </w:rPr>
        <w:t xml:space="preserve"> in Rule 12b-2 of the Exchange Act.</w:t>
      </w:r>
    </w:p>
    <w:p>
      <w:pPr>
        <w:spacing w:after="0" w:line="340" w:lineRule="exact"/>
        <w:rPr>
          <w:sz w:val="24"/>
          <w:szCs w:val="24"/>
          <w:color w:val="auto"/>
        </w:rPr>
      </w:pPr>
    </w:p>
    <w:tbl>
      <w:tblPr>
        <w:tblLayout w:type="fixed"/>
        <w:tblInd w:w="268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225" w:right="319" w:bottom="49"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2020, the last business day of the registrant's most recently completed second fiscal quarter, was $423,597,067 based upon the closing sale price of the Company's common stock as reported on the NASDAQ Stock Market for that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March 3, 2021, 13,808,558 shares of Common Stock, par value $.01 per share, of the registrant were outstanding.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2020 are incorporated by reference into Part III of this Form 10-K. The Proxy Statement will be filed with the Securities and Exchange Commission no later than April 29, 2021.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Except as otherwise stated, the information contained in this Form 10-K is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jc w:val="center"/>
              <w:ind w:left="150"/>
              <w:spacing w:after="0"/>
              <w:rPr>
                <w:sz w:val="20"/>
                <w:szCs w:val="20"/>
                <w:color w:val="auto"/>
              </w:rPr>
            </w:pPr>
            <w:r>
              <w:rPr>
                <w:rFonts w:ascii="Arial" w:cs="Arial" w:eastAsia="Arial" w:hAnsi="Arial"/>
                <w:sz w:val="18"/>
                <w:szCs w:val="18"/>
                <w:b w:val="1"/>
                <w:bCs w:val="1"/>
                <w:color w:val="auto"/>
              </w:rPr>
              <w:t>UNIVERSAL ELECTRONICS INC.</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Annual Report on Form 10-K</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2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Table of Contents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04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r>
      <w:tr>
        <w:trPr>
          <w:trHeight w:val="149"/>
        </w:trPr>
        <w:tc>
          <w:tcPr>
            <w:tcW w:w="20" w:type="dxa"/>
            <w:vAlign w:val="bottom"/>
          </w:tcPr>
          <w:p>
            <w:pPr>
              <w:spacing w:after="0"/>
              <w:rPr>
                <w:sz w:val="12"/>
                <w:szCs w:val="12"/>
                <w:color w:val="auto"/>
              </w:rPr>
            </w:pPr>
          </w:p>
        </w:tc>
        <w:tc>
          <w:tcPr>
            <w:tcW w:w="10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Number</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Number</w:t>
            </w:r>
          </w:p>
        </w:tc>
      </w:tr>
      <w:tr>
        <w:trPr>
          <w:trHeight w:val="250"/>
        </w:trPr>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92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PART I</w:t>
            </w:r>
          </w:p>
        </w:tc>
        <w:tc>
          <w:tcPr>
            <w:tcW w:w="5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593"/>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1</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30"/>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1A Risk Factors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r>
      <w:tr>
        <w:trPr>
          <w:trHeight w:val="229"/>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1B Unresolved Staff Comments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230"/>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25">
              <w:r>
                <w:rPr>
                  <w:rFonts w:ascii="Arial" w:cs="Arial" w:eastAsia="Arial" w:hAnsi="Arial"/>
                  <w:sz w:val="18"/>
                  <w:szCs w:val="18"/>
                  <w:u w:val="single" w:color="auto"/>
                  <w:color w:val="0000FF"/>
                  <w:w w:val="99"/>
                </w:rPr>
                <w:t>2</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Properties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r>
      <w:tr>
        <w:trPr>
          <w:trHeight w:val="229"/>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26">
              <w:r>
                <w:rPr>
                  <w:rFonts w:ascii="Arial" w:cs="Arial" w:eastAsia="Arial" w:hAnsi="Arial"/>
                  <w:sz w:val="18"/>
                  <w:szCs w:val="18"/>
                  <w:u w:val="single" w:color="auto"/>
                  <w:color w:val="0000FF"/>
                  <w:w w:val="99"/>
                </w:rPr>
                <w:t>3</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Legal Proceedings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r>
      <w:tr>
        <w:trPr>
          <w:trHeight w:val="230"/>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26">
              <w:r>
                <w:rPr>
                  <w:rFonts w:ascii="Arial" w:cs="Arial" w:eastAsia="Arial" w:hAnsi="Arial"/>
                  <w:sz w:val="18"/>
                  <w:szCs w:val="18"/>
                  <w:u w:val="single" w:color="auto"/>
                  <w:color w:val="0000FF"/>
                  <w:w w:val="99"/>
                </w:rPr>
                <w:t>4</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r>
      <w:tr>
        <w:trPr>
          <w:trHeight w:val="59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20" w:type="dxa"/>
            <w:vAlign w:val="bottom"/>
          </w:tcPr>
          <w:p>
            <w:pPr>
              <w:jc w:val="center"/>
              <w:ind w:left="130"/>
              <w:spacing w:after="0"/>
              <w:rPr>
                <w:sz w:val="20"/>
                <w:szCs w:val="20"/>
                <w:color w:val="auto"/>
              </w:rPr>
            </w:pPr>
            <w:r>
              <w:rPr>
                <w:rFonts w:ascii="Arial" w:cs="Arial" w:eastAsia="Arial" w:hAnsi="Arial"/>
                <w:sz w:val="18"/>
                <w:szCs w:val="18"/>
                <w:b w:val="1"/>
                <w:bCs w:val="1"/>
                <w:color w:val="auto"/>
              </w:rPr>
              <w:t>PART II</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93"/>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27">
              <w:r>
                <w:rPr>
                  <w:rFonts w:ascii="Arial" w:cs="Arial" w:eastAsia="Arial" w:hAnsi="Arial"/>
                  <w:sz w:val="18"/>
                  <w:szCs w:val="18"/>
                  <w:u w:val="single" w:color="auto"/>
                  <w:color w:val="0000FF"/>
                  <w:w w:val="99"/>
                </w:rPr>
                <w:t>5</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29"/>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28">
              <w:r>
                <w:rPr>
                  <w:rFonts w:ascii="Arial" w:cs="Arial" w:eastAsia="Arial" w:hAnsi="Arial"/>
                  <w:sz w:val="18"/>
                  <w:szCs w:val="18"/>
                  <w:u w:val="single" w:color="auto"/>
                  <w:color w:val="0000FF"/>
                  <w:w w:val="99"/>
                </w:rPr>
                <w:t>6</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Selected Consolidated Financial Data</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30"/>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29">
              <w:r>
                <w:rPr>
                  <w:rFonts w:ascii="Arial" w:cs="Arial" w:eastAsia="Arial" w:hAnsi="Arial"/>
                  <w:sz w:val="18"/>
                  <w:szCs w:val="18"/>
                  <w:u w:val="single" w:color="auto"/>
                  <w:color w:val="0000FF"/>
                  <w:w w:val="99"/>
                </w:rPr>
                <w:t>7</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r>
      <w:tr>
        <w:trPr>
          <w:trHeight w:val="229"/>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7A Quantitative and Qualitative Disclosures About Market Risk</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30"/>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39">
              <w:r>
                <w:rPr>
                  <w:rFonts w:ascii="Arial" w:cs="Arial" w:eastAsia="Arial" w:hAnsi="Arial"/>
                  <w:sz w:val="18"/>
                  <w:szCs w:val="18"/>
                  <w:u w:val="single" w:color="auto"/>
                  <w:color w:val="0000FF"/>
                  <w:w w:val="99"/>
                </w:rPr>
                <w:t>8</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Financial Statements and Supplementary Data</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29"/>
        </w:trPr>
        <w:tc>
          <w:tcPr>
            <w:tcW w:w="140" w:type="dxa"/>
            <w:vAlign w:val="bottom"/>
            <w:gridSpan w:val="2"/>
          </w:tcPr>
          <w:p>
            <w:pPr>
              <w:ind w:left="20"/>
              <w:spacing w:after="0"/>
              <w:rPr>
                <w:rFonts w:ascii="Arial" w:cs="Arial" w:eastAsia="Arial" w:hAnsi="Arial"/>
                <w:sz w:val="18"/>
                <w:szCs w:val="18"/>
                <w:u w:val="single" w:color="auto"/>
                <w:color w:val="0000FF"/>
                <w:w w:val="99"/>
              </w:rPr>
            </w:pPr>
            <w:hyperlink w:anchor="page78">
              <w:r>
                <w:rPr>
                  <w:rFonts w:ascii="Arial" w:cs="Arial" w:eastAsia="Arial" w:hAnsi="Arial"/>
                  <w:sz w:val="18"/>
                  <w:szCs w:val="18"/>
                  <w:u w:val="single" w:color="auto"/>
                  <w:color w:val="0000FF"/>
                  <w:w w:val="99"/>
                </w:rPr>
                <w:t>9</w:t>
              </w:r>
            </w:hyperlink>
          </w:p>
        </w:tc>
        <w:tc>
          <w:tcPr>
            <w:tcW w:w="10320" w:type="dxa"/>
            <w:vAlign w:val="bottom"/>
            <w:gridSpan w:val="2"/>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Changes in and Disagreements with Accountants on Accounting and Financial Disclosure</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79</w:t>
              </w:r>
            </w:hyperlink>
          </w:p>
        </w:tc>
      </w:tr>
      <w:tr>
        <w:trPr>
          <w:trHeight w:val="230"/>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9A Controls and Procedures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79</w:t>
              </w:r>
            </w:hyperlink>
          </w:p>
        </w:tc>
      </w:tr>
      <w:tr>
        <w:trPr>
          <w:trHeight w:val="230"/>
        </w:trPr>
        <w:tc>
          <w:tcPr>
            <w:tcW w:w="20" w:type="dxa"/>
            <w:vAlign w:val="bottom"/>
          </w:tcPr>
          <w:p>
            <w:pPr>
              <w:spacing w:after="0"/>
              <w:rPr>
                <w:sz w:val="20"/>
                <w:szCs w:val="20"/>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9B Other Information</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81</w:t>
              </w:r>
            </w:hyperlink>
          </w:p>
        </w:tc>
      </w:tr>
      <w:tr>
        <w:trPr>
          <w:trHeight w:val="59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20" w:type="dxa"/>
            <w:vAlign w:val="bottom"/>
          </w:tcPr>
          <w:p>
            <w:pPr>
              <w:jc w:val="center"/>
              <w:ind w:left="130"/>
              <w:spacing w:after="0"/>
              <w:rPr>
                <w:sz w:val="20"/>
                <w:szCs w:val="20"/>
                <w:color w:val="auto"/>
              </w:rPr>
            </w:pPr>
            <w:r>
              <w:rPr>
                <w:rFonts w:ascii="Arial" w:cs="Arial" w:eastAsia="Arial" w:hAnsi="Arial"/>
                <w:sz w:val="18"/>
                <w:szCs w:val="18"/>
                <w:b w:val="1"/>
                <w:bCs w:val="1"/>
                <w:color w:val="auto"/>
              </w:rPr>
              <w:t>PART III</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93"/>
        </w:trPr>
        <w:tc>
          <w:tcPr>
            <w:tcW w:w="20" w:type="dxa"/>
            <w:vAlign w:val="bottom"/>
          </w:tcPr>
          <w:p>
            <w:pPr>
              <w:spacing w:after="0"/>
              <w:rPr>
                <w:sz w:val="24"/>
                <w:szCs w:val="24"/>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10 Directors, Executive Officers and Corporate Governance</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81</w:t>
              </w:r>
            </w:hyperlink>
          </w:p>
        </w:tc>
      </w:tr>
      <w:tr>
        <w:trPr>
          <w:trHeight w:val="230"/>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11 Executive Compensation</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81</w:t>
              </w:r>
            </w:hyperlink>
          </w:p>
        </w:tc>
      </w:tr>
      <w:tr>
        <w:trPr>
          <w:trHeight w:val="230"/>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12 Security Ownership of Certain Beneficial Owners and Management and Related Stockholder Matters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81</w:t>
              </w:r>
            </w:hyperlink>
          </w:p>
        </w:tc>
      </w:tr>
      <w:tr>
        <w:trPr>
          <w:trHeight w:val="229"/>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13 Certain Relationships and Related Transactions, and Director Independence</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82</w:t>
              </w:r>
            </w:hyperlink>
          </w:p>
        </w:tc>
      </w:tr>
      <w:tr>
        <w:trPr>
          <w:trHeight w:val="230"/>
        </w:trPr>
        <w:tc>
          <w:tcPr>
            <w:tcW w:w="20" w:type="dxa"/>
            <w:vAlign w:val="bottom"/>
          </w:tcPr>
          <w:p>
            <w:pPr>
              <w:spacing w:after="0"/>
              <w:rPr>
                <w:sz w:val="20"/>
                <w:szCs w:val="20"/>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14 Principal Accountant Fees and Services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r>
      <w:tr>
        <w:trPr>
          <w:trHeight w:val="59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2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PART IV</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93"/>
        </w:trPr>
        <w:tc>
          <w:tcPr>
            <w:tcW w:w="20" w:type="dxa"/>
            <w:vAlign w:val="bottom"/>
          </w:tcPr>
          <w:p>
            <w:pPr>
              <w:spacing w:after="0"/>
              <w:rPr>
                <w:sz w:val="24"/>
                <w:szCs w:val="24"/>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15 Exhibits and Financial Statement Schedules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r>
      <w:tr>
        <w:trPr>
          <w:trHeight w:val="230"/>
        </w:trPr>
        <w:tc>
          <w:tcPr>
            <w:tcW w:w="2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16 Form 10-K Summary</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85</w:t>
              </w:r>
            </w:hyperlink>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2"/>
          </w:tcPr>
          <w:p>
            <w:pPr>
              <w:ind w:left="2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Signatures</w:t>
              </w:r>
            </w:hyperlink>
          </w:p>
        </w:tc>
        <w:tc>
          <w:tcPr>
            <w:tcW w:w="780" w:type="dxa"/>
            <w:vAlign w:val="bottom"/>
            <w:gridSpan w:val="2"/>
          </w:tcPr>
          <w:p>
            <w:pPr>
              <w:jc w:val="right"/>
              <w:ind w:right="4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86</w:t>
              </w:r>
            </w:hyperlink>
          </w:p>
        </w:tc>
      </w:tr>
      <w:tr>
        <w:trPr>
          <w:trHeight w:val="1451"/>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to the contrary.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65"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ind w:left="980" w:right="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 with billions of transactions per year in device and data management;</w:t>
      </w: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software development companies, private label customers, and video service providers;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ind w:left="980" w:hanging="324"/>
        <w:spacing w:after="0" w:line="26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methods for our control solutions vary depending on the sales channel. We distribute remote control devices, ICs, home security sensors, connected thermostats and AV accessories directly to video and security service providers and OEMs, both domestically and internationally. We also distribute home security sensors and connected thermostats to pro-security installers and hospitality system integrators in the United States and Europe through a network of national and regional distributors and dealers.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sell our wireless control devices and AV accessories under the One For All® and private label brand names to retailers through our international subsidiaries and direct to retailers in key markets, such as in the United States, United Kingdom, Germany, France, Spain, and Italy. We utilize third-party distributors for the retail channel in countries where we do not have subsidiaries.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goal is to provide universal control solutions that require minimal or no user set-up and deliver consistent and intuitive one-touch control of all connected content sources and devices. QuickSet® ("QuickSet") is a software application that is currently embedded or enabled via a cloud service in over 550 million devices worldwide. QuickSet may be embedded in an AV device, set-top box, or other host device, or delivered as a cloud-based service to enable universal remote setup and control. QuickSet enables universal device control set-up using automated and guided on-screen instructions and a wireless two-way communication link between the remote and the QuickSet enabled device. The two-way connection allows device control code data and configuration settings to be sent to the remote control from the device and greatly simplifies the universal control set-up process and can enable other time-saving features. QuickSet utilizes data transmitted over HDMI or Internet Protocol ("IP") networks to automatically detect various attributes of the connected device and downloads the appropriate control codes and functions into the remote control without the need for the user to enter any additional information. With QuickSet, consumers switch easily between activities and reliably view their chosen content source with a single touch. A QuickSet user experience can be delivered via a tactile remote, touchscreen interface, on-screen graphical user interface or voice-enabled system. Licensees of QuickSet include service providers such as Comcast, Charter Communications, AT&amp;T and Dish Network Corporation; smart TV manufacturers such as Sony Corporation, LG and Samsung; and leading game console manufacturers such as Microsoft Corporation on its Xbox One game system and Sony PlayStation on its PlayStation 5 remote control.</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QuickSet Cloud is an end-to-end platform for discovery, control, and interaction with devices including rules and automation framework for a truly connected home experience. UEI has developed one of the largest knowledge graphs of devices on the market, enabling a broad array of connected device information to be collected. Through our QuickSet Cloud and QuickSet SDK delivery methods, we can offer the advantage of edge intelligence built in, as well as the benefits of a cloud-scalable solution.</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technology pipeline has expanded to include an artificial intelligence platform, nevo.ai, that enables a digital assistant for the connected home with a natural language interface to allow interaction with devices within the home using QuickSet's underlying capabilities. For example, our newest product platform, Nevo Butler, offers a turnkey smart home hub with nevo.ai and QuickSet pre-integrated. Nevo Butler delivers a managed hardware with security built-in capable of supporting other digital assistants. We are engaged with several customers, across different channels, that are currently using our underlying technologies, such as our proprietary microcontrollers, nevo.ai and QuickSet in their devices.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evolve our hardware and software solutions by adding new features and capabilities to ensure added value. Through our cloud service platforms, QuickSet Cloud and nevo.ai, we also offer Interoperability as a Service, a managed Internet of Things ("IoT") service which ensures compatibility across the most common devices found in consumers' homes. Features are further expandable through enterprise integration with an ecosystem of third party partner services.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we won a Technical &amp; Engineering Emmy® Award from The National Academy of Television Arts &amp; Sciences for our work relating to voice navigation technologies for discovering and interacting with TV content. We were selected for our excellence in engineering and creativity that has materially affected the television viewing experience. To date, we have shipped over 100 million voice-enabled RF remote controls in the home entertainment channel since our first deployment in 2015.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2020, 2019 and 2018, our sales to Comcast accounted for 20.1%, 15.9% and 17.6% of our net sales,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Competition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place significant emphasis on expanding our sales and marketing efforts to video service providers and home entertainment OEMs in Asia, Latin America and Europe. In the markets for video services we include cable, satellite, IPTV and OTT service providers. In recent years, we have seen a significant change in our markets with the rise of the direct-to-consumer streaming video apps that are enabled on smart TVs and streaming devices as well as advanced set-top boxes. This has resulted in a change in mix in our customer base, especially in the U.S., where our traditional customers in cable and satellite have been complimented with new customers in the digital media streaming domain. For example, during the fourth quarter of 2020, we announced an MFi-certified, AppleTV remote control for the Multichannel Video Programming Distributor ("MVPD") market allowing subscribers access to subscription-based channels through an OTT streaming platform, such as AppleTV.</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some of our current customers have successfully introduced media streaming services and expanded their footprint to new end-users. Tivo Stream, Comcast Flex and Dish Sling are examples of current customer offerings of these types of services.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same time, we have seen our markets in Home Entertainment OEM, and especially our smartTV OEMs, successfully upgrade to streaming service aggregators. The advanced TV interfaces on Smart TVs and related streaming devices offer platforms for personalized advertising and smart home services which is expected to ensure demand for our wireless and wired control products, microcontrollers and software technology.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competitors in the home entertainment market are Remote Solutions, Omni Remotes, SMK, Ohsung, Tech4Home and Ruwido. In the international retail and private label markets for wireless controls we compete primarily with the remote segment of Logitech and accessory trading and branding companies like Jasco and Hama, as well as various manufacturers of wireless controls in Asia. Our primary competitors in the OEM market are the OEMs themselves and various wireless control manufacturers in Asia.</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Leveraging our scale and expertise in low-power RF microcontrollers, we continue to pursue further penetration of the more traditional OEM consumer electronics markets as well as newer product categories in the smart home and IoT markets such as lighting, window coverings, and bathroom controllers. Customers in these markets integrate our connectivity and cloud-based solutions, services and technology into their products to enhance their consumer lifestyle ecosystems. Growth in these markets has been driven by the increasing demand for more energy efficient homes, consumer convenience and the increasing proliferation of connected devices.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home security, safety and automation, we offer universal sub-gigahertz products that are compatible with the top security panel manufacturers, such as Honeywell, GE, Tyco/DSC and 2GIG. In the Do-It-Yourself ("DIY") residential security channel, we offer sensor-based products using industry standard</w:t>
      </w:r>
    </w:p>
    <w:p>
      <w:pPr>
        <w:jc w:val="both"/>
        <w:ind w:right="20"/>
        <w:spacing w:after="0" w:line="229" w:lineRule="auto"/>
        <w:rPr>
          <w:sz w:val="20"/>
          <w:szCs w:val="20"/>
          <w:color w:val="auto"/>
        </w:rPr>
      </w:pPr>
      <w:r>
        <w:rPr>
          <w:rFonts w:ascii="Arial" w:cs="Arial" w:eastAsia="Arial" w:hAnsi="Arial"/>
          <w:sz w:val="18"/>
          <w:szCs w:val="18"/>
          <w:color w:val="auto"/>
        </w:rPr>
        <w:t>Z-Wave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ZigBee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protocols. In this market, we compete with offshore-based, original design and built-to-print hardware manufacturers, such as Leedarson. In the connected smart home market, we compete with the OEMs themselves as well as wireless manufacturers in North America, such as Nortek, and other original design manufacturers in Asia.</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HVAC controller and thermostat market, we compete with regional specialists and global companies such as Honeywell, Johnson Control, Emerson, Schneider Electric, as well as Far East based OEM manufacturers such as Computime.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compete in our markets on the basis of product quality, enhanced features, intellectual property, local design and development expertise, local development support and end-user support. We believe that we will need to continue to introduce new and innovative products and software solutions to remain competitive and to recruit and retain competent personnel to successfully accomplish our future objectives.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28 domestic and international subsidiaries are the following:</w:t>
      </w:r>
    </w:p>
    <w:p>
      <w:pPr>
        <w:spacing w:after="0" w:line="25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Distribution Co., S. de R.L. de C.V., established in Mexico;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 de R.L. de C.V., established in Mexico;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Ecolink Intelligent Technology, Inc.; established under the laws of Delaware;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Gemstar Technology (Qinzhou) Co. Ltd., established in the People's Republic of China ("PRC");</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Guangzhou Universal Electronics Service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Qinzhou Universal Trading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RCS Technology, LLC; established under the laws of Delaware;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Korea Ltd., established in South Korea;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do Brasil Ltda., established in Brazil;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Yangzhou Universal Trading Co. Ltd., established in the PRC.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2020, our engineering efforts focused on the following:</w:t>
      </w:r>
    </w:p>
    <w:p>
      <w:pPr>
        <w:spacing w:after="0" w:line="25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existing products and relocating certain manufacturing to lower cost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 and</w:t>
      </w:r>
    </w:p>
    <w:p>
      <w:pPr>
        <w:spacing w:after="0" w:line="9" w:lineRule="exact"/>
        <w:rPr>
          <w:rFonts w:ascii="Arial" w:cs="Arial" w:eastAsia="Arial" w:hAnsi="Arial"/>
          <w:sz w:val="18"/>
          <w:szCs w:val="18"/>
          <w:color w:val="auto"/>
        </w:rPr>
      </w:pPr>
    </w:p>
    <w:p>
      <w:pPr>
        <w:ind w:left="980" w:hanging="324"/>
        <w:spacing w:after="0" w:line="26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optimizing, scaling and improving our cloud platform to deliver additional features and managed services to a large installed base of customer and end users.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2020, our advanced engineering efforts focused on further developing our existing products, services and technologies. We released software updates to our embedded QuickSet application, and continued development initiatives around emerging RF technologies, such as Rf4CE, Bluetooth, Bluetooth Smart and WiFi. We also introduced a new service platform (UEI Virtual Agent) for easier device onboarding, identification and troubleshooting across our portfolio of control products.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and RF communication and networking in the home. Because of the nature of research and development ("R&amp;D") activities, there can be no assurance that any of our R&amp;D projects will be successfully completed or ultimately achieve commercial success.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founding in 1986, we have compiled an extensive device control library that includes nearly 13,000 brands comprising over 930,000 device models across AV and smart home platforms, supported by many common smart home protocols, including IR, HDMI-CEC, Zigbee (Rf4CE), Z-Wave, IP, as well as Home Network and Cloud Control.</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setup and control software. We ship integrated circuits, on which our software and control code libraries are embedded and that connect to our cloud services, directly to manufacturers for inclusion in their products. In addition, we license our software and technology to manufacturers.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IoT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from our competitors.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over 8.3 million unique device fingerprints across both AV and Smart Home devices.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Smart devices are becoming a more prevalent part of the home entertainment experience, and we offer several solutions to enable entertainment device control via a smart phone, tablet, smart TV or smart speaker or digital assistant. In our smart device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control solutions, we offer the elements needed for device control ranging from IR and RF controller chips to device control libraries to graphical and voice user interfaces, as well as artificial intelligence systems that deliver context aware device interactions.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hold a number of patents in the United States and abroad related to our products and technology, and have filed domestic and foreign applications for other patents that are pending. At the end of 2020, we had nearly 600 issued and pending United States patents related to remote control, home security, safety and automation as well as hundreds of foreign counterpart patents and applications in various territories around the world.</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patents have remaining lives ranging from one to 18 years. We have also obtained copyright registration and claim copyright protection for certain proprietary software and libraries of our device control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Supply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own and operate vertically integrated manufacturing and assembly factories in the PRC, Mexico and Brazil, which allow us to produce in the regional markets and to scale our production to meet growing demand. In 2018, we began conversion of our Mexico refurbishment plant into a full manufacturing and assembly factory. This conversion was substantially completed by the third quarter of 2019. We also use third-party manufacturing partners in the Far East, such as Vietnam.</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our own manufacturing plants and third-party manufacturers and suppliers primarily to produce our control and sensor products. In 2020, Qorvo International Pte Ltd. provided 14.2% of our total inventory purchases. In 2019 and 2018, no single supplier provided more than 10% of our total inventory purchases.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though we operate two factories in the PRC and manufacturing and assembly plants in Mexico and Brazil, we continue to evaluate additional contract manufacturers and sources of supply. During 2020, we utilized multiple contract manufacturers and maintained duplicate tooling for certain of our products. Where possible we utilize standard parts and components, which are available from multiple sources.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manufacturing process consists of plastic injection, keypad molding, coating or painting, surface mounting of printed circuit boards, assembly, software installation, functional testing, and quality control. We conduct operations utilizing a formal, documented quality management system to ensure that our products and services satisfy customer needs and expectations. Our manufacturing facilities are certified to the ISO 9001:2015 International Standard for quality management. Testing and quality control are applied to components, parts, sub-assemblies, and systems obtained from third-party suppliers. Our factories in the PRC are certified to the ISO 14001 International Standard for environmental management systems. In addition, our manufacturing facilities in Yangzhou, PRC have also achieved ISO 45001 International Standard for safety and health management systems with one of the facilities successfully completing the Validated Audit Process with the Responsible Business Alliance ("RBA"). We are focused on reducing the impact of our operations on the environment; and our teams continue to examine practices and processes throughout our facilities to identify opportunities for greater efficiency. Each of our manufacturing facilities has standing policies and/or guidelines for the monitoring and management of energy consumption, and continually strives for reduction in electricity and water usage.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requiring observance to strict quality standards by our suppliers, we maintain and require our suppliers to adhere to a robust Global Supplier Code of Conduct, which is available on our website. As part of the initial qualification and ongoing audit process, our dedicated Global Supplier Quality Management Team examines a supplier's social and environmental responsiveness in areas such as labor practice, occupational health and safety, and environmental protection. Additionally, we are committed to a conflict-free mineral supply chain.</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memory-based microcontrollers have shorter lead times than microcontrollers using other memory technologies and may be reprogrammed, if necessary. This allows us flexibility to use a given component on many different products, has the added benefit of potentially reducing excess and obsolete inventory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exposure and allows us to update our product functionality in the field. This diversification lessens our dependence on any one supplier and allows us to negotiate more favorable terms.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a large consumer of low-power, RF chips and modules that are used throughout our product portfolios, including many of our remotes, sensors and thermostats.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Matters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Directive ("WEEE")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Brazil, the PRC, India and Japan.</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2020, 2019 and 2018, the costs incurred in complying with federal, state and local statutes and regulations pertaining to environmental standards and occupational safety and health laws and regulations did not materially affect our earnings, financial condition or competitive position. In addition, during the same period, the costs incurred in complying with other applicable government regulations likewise did not materially affect our earnings, financial condition or competitive position.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committed to reducing and eliminating substances of concern from our products and manufacturing process. Our products distributed in the European Union are compliant with the RoHS (Restriction of Hazardous Substances Directive 2002/95/EC) and REACH (Registration, Evaluation, Authorisation and Restriction of Chemicals) directives. In other regions, we also need to comply with our customers' specific requirements relating to the non-use of certain hazardous substances in the products, which are typically equally or more stringent than the RoHS directive. We have a dedicated "Green Team" based in the PRC and in-house testing capability to ensure product compliance. At our manufacturing facilities, we are also committed to protecting our workers from exposure to hazardous substances under an established health and safety management system; for example, we strive to have our facilities be free of lead and the substances banned by RoHS. We also place great importance in strict compliance of local health and safety laws and regulations.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strive to extend the useful life of our products and reduce our products' impact on the environment. For example, we deploy a low energy IR-engine in some of our products which can extend battery life regardless of the protocols utilized by the product. We also offer a robust product refurbishment program to our customers where we reclaim, refurbish and recycle pre-owned remote controls. Under this program, substantially all of the materials in a pre-owned remote control unit are reused or recycled; for example, used plastics and silicon are ground and reused in other products. We have also employed new master carton packing methods to increase shipping efficiency and reduce cardboard usage. Some of our manufacturing facilities are switching to the use of recycled solder. We are also looking for ways to reduce the use of single-use plastics in our products and packaging.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we employed 3,839 members of staff across our worldwide facilities. Of this staff, 2,362 members are associated with our manufacturing and supply chain organizations in the PRC, Mexico and Brazil. In the PRC we are working with external agencies to recruit staff to support our production activities where 3,866 staff members are contracted through agency agreements. Beyond the manufacturing and supply chain organizations, 1,064 members of staff work in engineering and R&amp;D, 109 work in sales and marketing, 33 work in consumer service and support and 271 work in executive and administrative functions.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Talent management is critical to our ability to execute our long-term growth strategy, and we utilize both internal human resource personnel and external recruiting firms to identify and attract talent. Through our history of technological innovation, we appreciate the importance of retention, growth and development of our employees. Due to the nature of our activities, we tend to heavily invest in engineering capital, employing highly skilled and specialized engineers and technicians in the areas of electronics, RF design, software, cloud, mechanical, industrial design, manufacturing and quality disciplines.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staff is located around the globe at different office and development locations. Our R&amp;D locations are as follows:</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engineering, architecture and cloud teams are located in Santa Ana, California, and Scottsdale, Arizona;</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cloud architecture, software and service teams are located in Santa Ana and San Mateo,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sensor engineering and R&amp;D teams are located in Carlsbad,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connected thermostat engineering and R&amp;D teams are located in Poway,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hardware engineering teams are located in Panyu and Suzhou in the PRC;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software, firmware and device database teams are located in Bangalore, India.</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Next to these specialized centers of excellence, we employ engineering, sales and marketing and support staff in many of our regional offices in the United States, The Netherlands, Hong Kong, Brazil, India, Japan, Korea and Mexico.</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be committed to an inclusive culture that values equality, opportunity and respect. We have an active policy and Code of Conduct covering diversity, inclusion, anti-discrimination and corporate social responsibility across all our facilities, and we encourage our suppliers to do the same. During the COVID-19 pandemic, we established a proactive steering committee to monitor, support and ensure the safety and health of all of our staff around the globe.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unions represent approximately 44.8% of our 3,839 employees at December 31, 2020. Some unionized workers, employed in Monterrey, Mexico, are represented under contract with the Sindicato Industrial de Trabajadores de Nuevo León adherido a la Federación Nacional de Sindicatos Independientes. Other unionized workers, employed in Manaus, Brazil, are represented under contract with the Sindicato dos Trabalhadores nas Industrias Metalugicas, Mecanicas e de Materiais Eletricos de Manaus.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21"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5,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640" w:type="dxa"/>
            <w:vAlign w:val="bottom"/>
          </w:tcPr>
          <w:p>
            <w:pPr>
              <w:ind w:left="35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Paul D. Arling</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top w:val="single" w:sz="8" w:color="CCEEFF"/>
            </w:tcBorders>
            <w:shd w:val="clear" w:color="auto" w:fill="CCEEFF"/>
          </w:tcPr>
          <w:p>
            <w:pPr>
              <w:spacing w:after="0"/>
              <w:rPr>
                <w:sz w:val="19"/>
                <w:szCs w:val="19"/>
                <w:color w:val="auto"/>
              </w:rPr>
            </w:pPr>
          </w:p>
        </w:tc>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Bryan M. Hackworth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Ramzi S. Ammari</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Corporate Planning and Strategy</w:t>
            </w: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David Chong</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Executive Vice President, Asia</w:t>
            </w: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A. Firehammer, Jr.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Menno V. Koopmans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Senior Vice President, Global Sales</w:t>
            </w:r>
          </w:p>
        </w:tc>
      </w:tr>
      <w:tr>
        <w:trPr>
          <w:trHeight w:val="23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Joseph E. Miketo</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Operations</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Chief Operating Officer in September 1998, was promoted to Chief Executive Officer in October 2000 and appointed as Chairman in July 2001. At the 2020 Annual Meeting of Stockholders, Mr. Arling was re-elected as our Chairman to serve until the 2021 Annual Meeting of Stockholders. From 1993 through May 1996, he served in various capacities at LESCO, Inc. (a manufacturer and distributor of professional turf care products). Prior to LESCO, he worked for Imperial Wallcoverings (a manufacturer and distributor of wall covering products) as Director of Planning and The Michael Allen Company (a strategic management consulting company) where he was employed as a management consultant. Mr. Arling received his Bachelor of Science and Master of Business Administration from The Wharton School of the University of Pennsylvania.</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to Chief Financial Officer in August 2006. Mr. Hackworth</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2004 as Corporate Controller and subsequently assumed the role of Chief Accounting Officer in May 2005. Before joining us in 2004, he spent five years at Mars, Inc., a privately held international manufacturer and distributor of consumer products and served in several financial and strategic roles. Prior to joining Mars, Inc., Mr. Hackworth spent six years at Deloitte &amp; Touche LLP as an auditor, specializing in the manufacturing and retail industries. Mr. Hackworth is a certified public accountant (inactive) in the state of California and holds a Bachelor of Arts in Economics from University of California, Irvine.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Ramzi S. Ammari </w:t>
      </w:r>
      <w:r>
        <w:rPr>
          <w:rFonts w:ascii="Arial" w:cs="Arial" w:eastAsia="Arial" w:hAnsi="Arial"/>
          <w:sz w:val="18"/>
          <w:szCs w:val="18"/>
          <w:color w:val="auto"/>
        </w:rPr>
        <w:t>is our Senior Vice President, Corporate Planning and Strategy. He joined us in June 1997 as a Project Manager and has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of increasing responsibility within our organization until being named to his current position in October 2013. He has global responsibility for the company's technology innovation roadmap; driving new product initiatives; directing and implementing strategic partnerships, joint ventures and acquisitions; and recommending new avenues for business creation. Prior to joining us, Mr. Ammari worked at Mitsubishi Consumer Electronics of America for four years as Business Planning Manager where he was responsible for introducing the first flat-screen plasma display panel television for the North America market. He received his Bachelor of Science, Engineering degree in 1989 and, subsequently, a Master of Business Administration from University of California, Irvine in 1993.</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David Chong </w:t>
      </w:r>
      <w:r>
        <w:rPr>
          <w:rFonts w:ascii="Arial" w:cs="Arial" w:eastAsia="Arial" w:hAnsi="Arial"/>
          <w:sz w:val="17"/>
          <w:szCs w:val="17"/>
          <w:color w:val="auto"/>
        </w:rPr>
        <w:t>is our Executive Vice President, Asia. He is responsible for managing sales in our Asian markets. He was previously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management of our Asia region. Mr. Chong joined us in January 2009 as Senior Vice President of Global OEM Sales.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Mr. Chong had his senior education in The United Kingdom, holding a Bachelor of Science in Electrical and Electronics Engineering with High Honors from University of Nottingham.</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is our Senior Vice President, General Counsel and Secretary. He joined us in October 1993 as General Counsel. He</w:t>
      </w:r>
      <w:r>
        <w:rPr>
          <w:rFonts w:ascii="Arial" w:cs="Arial" w:eastAsia="Arial" w:hAnsi="Arial"/>
          <w:sz w:val="18"/>
          <w:szCs w:val="18"/>
          <w:i w:val="1"/>
          <w:iCs w:val="1"/>
          <w:color w:val="auto"/>
        </w:rPr>
        <w:t xml:space="preserve"> </w:t>
      </w:r>
      <w:r>
        <w:rPr>
          <w:rFonts w:ascii="Arial" w:cs="Arial" w:eastAsia="Arial" w:hAnsi="Arial"/>
          <w:sz w:val="18"/>
          <w:szCs w:val="18"/>
          <w:color w:val="auto"/>
        </w:rPr>
        <w:t>became our Secretary in February 1994. He was our Vice President from May 1997 until August 1998, and served as counsel to us from September 1998 until February 1999, at which time he was promoted to his current position. From November 1992 to September 1993, he was associated with the Chicago, Illinois law firm, Shefsky &amp; Froelich, Ltd. From 1987 to 1992, he was with the law firm Vedder, Price, Kaufman &amp; Kammholz in Chicago, Illinois. He received his Bachelor of Science in Accounting from Indiana University and a Juris Doctor degree from Whittier College School of Law. Mr. Firehammer is also a certified public accountant (inactive).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Menno V. Koopmans </w:t>
      </w:r>
      <w:r>
        <w:rPr>
          <w:rFonts w:ascii="Arial" w:cs="Arial" w:eastAsia="Arial" w:hAnsi="Arial"/>
          <w:sz w:val="17"/>
          <w:szCs w:val="17"/>
          <w:color w:val="auto"/>
        </w:rPr>
        <w:t>is our Senior Vice President, Global Sales. He served as Managing Director, EMEA from 2018 to August 2019 when he was promoted</w:t>
      </w:r>
      <w:r>
        <w:rPr>
          <w:rFonts w:ascii="Arial" w:cs="Arial" w:eastAsia="Arial" w:hAnsi="Arial"/>
          <w:sz w:val="17"/>
          <w:szCs w:val="17"/>
          <w:i w:val="1"/>
          <w:iCs w:val="1"/>
          <w:color w:val="auto"/>
        </w:rPr>
        <w:t xml:space="preserve"> </w:t>
      </w:r>
      <w:r>
        <w:rPr>
          <w:rFonts w:ascii="Arial" w:cs="Arial" w:eastAsia="Arial" w:hAnsi="Arial"/>
          <w:sz w:val="17"/>
          <w:szCs w:val="17"/>
          <w:color w:val="auto"/>
        </w:rPr>
        <w:t>to his current position. From 2014 to the end of 2017, he was our Senior Vice President for subscription broadcasting business in Europe and India where he led the customer transition into smart remote controls. From 2005 until 2013, he was the head of our worldwide consumer business and our One For All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Prior to joining us, Mr. Koopmans worked at Mars, Sony Europe and Royal Philips Electronics in different product, marketing and sales management roles in both fast-moving consumer goods and durable consumer goods categories. Mr. Koopmans received his Master in Science of Business Administration from Erasmus University in Rotterdam, The Netherlands.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Joseph E. Miketo </w:t>
      </w:r>
      <w:r>
        <w:rPr>
          <w:rFonts w:ascii="Arial" w:cs="Arial" w:eastAsia="Arial" w:hAnsi="Arial"/>
          <w:sz w:val="18"/>
          <w:szCs w:val="18"/>
          <w:color w:val="auto"/>
        </w:rPr>
        <w:t>is our Senior Vice President, Operations. Mr. Miketo rejoined us in January 2019 to lead our global manufacturing and operations. 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originally joined us in 2008 holding various positions, ultimately advancing to Senior Vice President of Operations by 2013. Before rejoining us in 2019, he was President/COO at Cast Nylons, a privately held manufacturer and distributor of cast nylon stock shapes and custom cast parts. From 2014 to 2017, Mr. Miketo served as CEO/President at Air Enterprises, a privately held manufacturer of specialty air handling equipment. Prior to joining us in 2008, Mr. Miketo managed all product development, manufacturing and materials planning for Ranpak, a manufacturer and distributor of machines and paper packaging materials in North America and Europe. Mr. Miketo holds a Bachelor of Science in Chemical Engineering from Rose-Hulman Institute of Technology of Terre Haute, Indiana.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various risks that could materially and adversely affect our business, results of operations, cash flow, liquidity, or financial condition which make an investment in our securities risky. You should understand that these risks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report or in other Company communications, including those we file from time to time with the SEC. These risk factors do not identify all risks that we face; our operations could also be affected by factors, events, or uncertainties that are not presently known to us or that we currently do not consider to present significant risks to our operations. Because there is no way to determine in advance whether, or to what extent, any present uncertainty will ultimately impact our business, you should give equal weight to each of the following: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global spread of the COVID-19 pandemic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and the availability of effective treatments or vaccines); the negative impact the COVID-19 pandemic has on global and regional economies and economic activity, including the duration and magnitude of its impact on unemployment rates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has spread to other jurisdictions and has been declared a global pandemic, the full extent of this outbreak and the related governmental, business and travel restrictions in order to contain the COVID-19 pandemic are continuing to evolve globally. In response, we have created a COVID-19 task force,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includes a cross-functional group of senior-level executives, to manage and respond to the everchanging health and safety requirements across the globe and communicate our response to the pandemic to our global factory and office leaders.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Local government mandates required us, in the first quarter of 2020, to keep our China factories closed for a period of approximately two weeks beyond the end of the Chinese Lunar New Year. Our Mexico factory was closed for more than one week due to local health ordinance requirements during the second quarter of 2020. As a part of our response to this pandemic, our COVID-19 task force has developed and we have implemented additional safety measures for all factory employees across the globe, including temperature scans upon entry, hand sanitizer stations located throughout the facilities, mandatory mask wearing, social distancing measures in gathering places and restricting all visitor access. All factories are up to or near labor capacity as of the issuance of this report.</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also taken measures to safeguard the health and well-being of our employees in our office locations throughout the world, including implementing work from home arrangements and a moratorium on all travel, except where essential and approved in advance. We have implemented enhanced safety measures upon the reopening of our office locations, including more frequent office sanitation, temperature scans upon arrival, mandatory mask wearing, additional hand sanitizer locations, social distancing measures throughout locations and restricted visitor access. The reopening of our offices continues to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that restrictions enacted as a result of and the global health crisis caused by the COVID-19 pandemic will continue to negatively impact business activity across the globe, including our business. We expect our sales demand to be negatively impacted into, at least, the first half of 2021 given the global reach and economic impact of the COVID-19 pandemic and the various quarantine and social distancing measures put in place to contain the spread of COVID-19. We have also seen some disruptions in our supply chain that, if continued, may cause us difficulty in fulfilling customer orders. A closure of one of our factories for a sustained period of time would, in the short run, impact our ability to meet customer demand and would negatively impact our results.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as necessary or as required by federal, state, or local authorities. The potential effects of any such alterations or modifications may have a material adverse impact on our business during 2021. Even after the COVID-19 pandemic subsides or effective treatments or vaccines become available, our business, markets, growth prospects and business model could be materially impacted or altered.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Cybersecurity Issues: Security Breaches, Failure to Maintain the Integrity of and Protect Internal or Customer Data May Result in Faulty Business Decisions, Operational Inefficiencies, Damage to our Reputation and/or Subject Us to Costs, Fines, or Lawsuits</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business requires collection, processing, and retention of large volumes of internal and sensitive and confidential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 incomplete, we may make faulty decisions. Our customers and employees also have a high expectation that we and our service providers will adequately protect their personal information. Despite the security measures we have in place, our facilities and systems, and those of the retailers, dealers, licensees and other third-party suppliers and vendors with which we do business, may be vulnerable to security breaches, cyber attacks, acts of vandalism or misconduct, computer viruses, misplaced or lost data, programming and/or human errors or other similar events. Any security breach involving the misappropriation, loss or other unauthorized disclosure of confidential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 security threats evolve in sophistication and become more prevalent in numerous industries worldwide, we continue to increase our sensitivity and attention to these threats, seek additional investments and resources to address these threats and enhance the security of our facilities and systems and strengthen our controls and procedures implemented to monitor and mitigate these threats. The domestic and international regulatory environment related to information security, data collection and privacy is increasingly rigorous and complex, with new and constantly changing requirements applicable to our business. Compliance with these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including the European Union's General Data Protection Regulation and other domestic and international regulations, could result in additional costs and changes to our business practices.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we rely heavily on computer systems to manage and operate our business, record and process transactions, and manage, support and communicate with our employees, customers, suppliers and other vendors. Computer systems are important to production planning, finance, company operations and customer service, among other business-critical processes. Despite efforts to prevent disruptions to our computer systems, our systems may be affected by damage or interruption from, among other causes, power outages, system failures, computer viruses and other intrusions, including cyber attacks. Computer hardware and storage equipment that is integral to efficient operations, such as email, telephone and other functionality, is concentrated in certain physical locations in the various continents in which we operate. Additionally, we rely on software applications, enterprise cloud storage systems and cloud computing services provided by third-party vendors, and our business may be adversely affected by service disruptions in or security breaches to such third-party systems.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 and Sensing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derive substantial revenue from the sale of wireless remote controls, sensors and home automation products based on IR and RF and other technologies. Other control technologies exist or may be developed that may compete with this technology. In addition, we develop and maintain our own database of IR and RF codes. There are other IR and RF libraries offered by companies that we compete within the marketplace. The advantage that we may have compared to our competitors is difficult to measure. In addition, if competing wireless control and sensing technology and products gain acceptance and start to be integrated into home electronics devices and home security and automation products that are currently utilizing our remote controllers and sensors, demand for our products may decrease, resulting in decreased operating results, financial condition,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remain competitive in the video services, consumer electronics, security, home automation, climate control and home appliance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 In addition, the introduction of new products may require significant expenditures for R&amp;D, tooling, manufacturing processes, inventory and marketing. In order to achieve high-volume production of any new product, we may have to make substantial investments in inventory and expand our production capabilities. We cannot be certain that we will recover the costs we incurred in developing new products, investing in inventory, to expand our production capabilities, or that those new products will be successful.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video service providers, OEMs, retailers and private label customers. We also supply our products to our wholly owned, non-U.S. subsidiaries and to independent foreign distributors, who in turn distribute our products worldwide.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generally have a broad and varied customer base, during the years ended December 31, 2020, 2019 and 2018, Comcast accounted for sales totaling more than 10% of our net sales. In addition to this customer, we have some customers that, individually,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own and operate factories in the PRC, Brazil and Mexico, third-party manufacturers located in Asia continue to manufacture a portion of our products.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Disruptions Caused by Labor Disputes or Organized Labor Activities Could Materially Harm our Business and Reputation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Currently, approximately 1,700 of our Brazil and Mexico employees are represented by labor unions. Disputes with the current labor unions or new union organizing activities could lead to production slowdowns or stoppages and make it difficult 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impossible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and Impact of Oil Prices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R&amp;D of these products as quickly as we expect, if at all.</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resources which could have a material adverse effect on our ability to drive awareness and demand for our products and services. In addition, video service providers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with having our own factories,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historically made strategic acquisitions of businesses in industries adjacent to our core business and will likely acquire additional businesses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Presently, we manufacture a majority of our products in our factories in the PRC. Additionally, many of our contract manufacturers are located in the PRC.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 the PRC carries a number of risks including the following: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fluctuation of the Chinese Yuan Renminbi may harm your investment.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Chinese monetary policy, the Chinese Yuan Renminbi is permitted to fluctuate within a managed band against a basket of certain foreign currencies and has resulted in increased volatility in the exchange rate the Chinese Yuan Renminbi against the U.S. Dollar.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 which could lead to higher manufacturing costs for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Availability of adequate workforce levels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Presently, the vast majority of workers at our PRC factories are obtained from third-party employment agencies. As the labor laws, social insurance and wage levels continue to grow and the workers become more sophisticated, our costs to employ these and other workers in the PRC may grow beyond that anticipated by management.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Changes in the policies of the PRC government may have a significant impact upon the business we may be able to conduct in the PRC and the profitability of such business</w:t>
      </w:r>
      <w:r>
        <w:rPr>
          <w:rFonts w:ascii="Arial" w:cs="Arial" w:eastAsia="Arial" w:hAnsi="Arial"/>
          <w:sz w:val="18"/>
          <w:szCs w:val="18"/>
          <w:i w:val="1"/>
          <w:iCs w:val="1"/>
          <w:color w:val="auto"/>
        </w:rPr>
        <w:t>.</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20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u w:val="single" w:color="auto"/>
          <w:color w:val="auto"/>
        </w:rPr>
        <w:t>The PRC laws and regulations governing our current business operations are sometimes vague and uncertain. Any changes in such PRC laws and regulations may harm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 levying fines; revoking our business and other licenses; requiring that we restructure our ownership or operations; and requiring that we discontinue any portion or all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PRC's legal and judicial system may not adequately protect our business and operations and the rights of foreign investors.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Regulation and Legal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Developments From Potential Changes in U.S. Trade Policies Could Have a Material Adverse Effect On Us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U.S. government implemented additional tariffs on certain goods imported from the PRC. We manufacture a substantial amount of our products in the PRC and are presently subjected to these additional tariffs and will remain so until the tariff lists are altered. These tariffs, and other governmental action relating to international trade agreements or policies, may adversely impact demand for our products, our costs, customers, suppliers and/or the U.S. economy or certain sectors thereof and, as 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tariffs and other governmental action, we moved production of many of our products destined for U.S. to Mexico and a third-party manufacturing partner outside of the PRC. This transition was substantially completed by the third quarter of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Policy Changes Affecting International Trade Could Adversely Impact the Demand for Our Products and Our Competitive Position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may benefit from free trade agreements. Efforts to withdraw from or substantially modify such agreements or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United Kingdom's exit from the European Union has caused and may continue to cause significant volatility in global stock markets, currency exchange rate fluctuations and global economic uncertainty. Although it is unknown what the terms of the United Kingdom's future relationship with the European Union will be, it is possible there will be greater restrictions on imports and exports between the United Kingdom and the European Union and increased regulatory complexities. Any of these factors could adversely impact customer demand, our relationships with customers and suppliers and our results of operations.</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international operations, and resulting revenues, continue to grow, making up a significant part of our current business and future strategic plans. Additionally, we operate factories in the PRC, Brazil and Mexico, engineering centers in India, Korea and Japan and rely on third-party manufacturers located in Asia.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acts of terrorism, or the threat of international boycotts or U.S. anti-boycott legislation; and (7) currency exchange rate fluctuations.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and as such we are subject to a variety of taxes in the U.S. (federal, state, and local) and numerous foreign 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for which the ultimate tax determination is uncertain.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currently subject to tax controversies in various jurisdictions, and these jurisdictions may assess additional tax liabilities against us. Developments in an audit, investigation, or other tax controversy could have a material effect on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subject to restrictions imposed by the U.S. Foreign Corrupt Practices Act and anti-corruption laws and regulations of other countries applicable to our operations, such as the U.K. Bribery Act. Anti-corruption laws and regulations generally prohibit companies and their intermediaries from making improper payments to government officials or other persons in order to receive or retain business. These laws also require us to maintain adequate internal controls and accurate books and records. We have properties and do business in many parts of the world where corruption is common, and our compliance with anti-corruption laws may potentially conflict with local customs and practices.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U.S. Office of Foreign Assets Control and the U.S. Department of Commerce, and other U.S. government agencies, and authorities in other countries where we do business. Our compliance programs and internal control policies and procedures may not prevent conduct that is prohibited under these rules. The United States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or damage our reputation or result in lawsuits or regulatory actions being brought against us or our officers or directors. In addition, the operation of these laws and regulations or an imposition of further restrictions in these areas could increase our cost of operations, reduce our profits or cause us to forgo development opportunities or limit certain business operations that would otherwise support growth.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 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our business is not materially dependent upon any single patent, trade secret, trademark, trade name, copyright, and know-how.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Exposed to Greater Risks of Liability for Omissions or System Failures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 GAAP") regarding future events and the financial performance of the Company, including those involving: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Latin American markets, without which, we may not be able to recover the costs we incur to enter into such markets;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mobile devices, and other home entertainment and control devices;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competitors and OTT providers may have on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have goodwill and intangible assets recorded on our consolidated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from time to time increase our operating expenses to fund greater levels of R&amp;D,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Fluctuations in Foreign Currency Exchange Rates or Interest Rates May Adversely Affect Our Results of Operations, Cash Flow, Liquidity or Financial Condition</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our international operations, we are exposed to risk associated with interest rates and value changes in foreign currencies, which may adversely affect our business. We earn revenues and incur expenses in foreign currencies as part of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 foreign exchange rates and the U.S. dollar affect the amounts we record for our foreign assets, liabilities, revenues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expenses, and could have a negative effect on our financial results. We expect that our exposure to foreign currency exchange rate fluctuations will grow as the relative contribution of our non-U.S. operations increases. We actively manage the exposure of our foreign currency risk as part of our overall financial risk management policy, by entering into foreign exchange hedging agreements with financial institutions to reduce exposures to some of the principal currencies,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under the Second Amended and Restated Credit Agreement ("Second Amended Credit Agreement") with U.S. Bank National Association ("U.S. Bank"), we may elect to pay interest on the revolving line of credit ("Credit Line") based on LIBOR or a base rate as specified in the Second Amended Credit Agreement. LIBOR is subject to recent national, international and other regulatory guidance and proposals for reform. These reforms have resulted in plans to phase out and eventually replace LIBOR. On November 30, 2020, the Financial Conduct Authority, which regulates LIBOR, announced it would cease publication of the one-week and two-month USD LIBOR immediately after December 31, 2021 and cease publications of the remaining tenors immediately after June 30, 2023. On January 7, 2021, we executed an amendment to our Second Amended Credit Agreement which defines the Secured Overnight Financing Rate ("SOFR") as the replacement benchmark for LIBOR upon its phase out. The calculation of interest rates under the SOFR replacement benchmarks could negatively impact our business and financial results. To the extent these interest rates increase, our interest expense will increase, which could adversely affect our financial condition, operating results and cash flows.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degree to which we are currently leveraged could have important consequences for shareholders. For example, it could:</w:t>
      </w:r>
    </w:p>
    <w:p>
      <w:pPr>
        <w:spacing w:after="0" w:line="252"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to enable us to react to changes in our business;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significant portion of our operations are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 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may fund a portion of our seasonal working capital needs and obtain funding for other general corporate purposes through short-term borrowings backed by our revolving credit facility.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Historically, we have had large fluctuations in the price of our common stock, and such fluctuations may continue. The market price for our common stock is volatile and may fluctuate significantly in response to a number of factors, most of which we cannot control, including:</w:t>
      </w:r>
    </w:p>
    <w:p>
      <w:pPr>
        <w:spacing w:after="0" w:line="212" w:lineRule="exact"/>
        <w:rPr>
          <w:sz w:val="20"/>
          <w:szCs w:val="20"/>
          <w:color w:val="auto"/>
        </w:rPr>
      </w:pPr>
    </w:p>
    <w:p>
      <w:pPr>
        <w:jc w:val="both"/>
        <w:ind w:left="6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or content providing companies generally;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officers and directors periodically sell shares of our common stock which they own, many times pursuant to trading plans established under Rule 10b5-1 of the Securities Exchange Act of 1934, as amended, or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If Securities or Industry Analysts Fail to Continue Publishing Research About Our Business, Our Stock Price and Trading Volume May Decline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has historically been at low volumes and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Equity May Depress the Market Price of Our Common Stock</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 Further, due to our historically low trading volumes, such large stockholders may not be able to sell the number of shares they wish to sell and/or in the time frame in which they wish to sell. Moreover, while such large stockholders are attempting to sell their shares, other stockholders may not be able to sell their shares at the price and time that such other stockholders desire due to the low trading volumes of our stock. Additionally, in March 2016, we issued common stock purchase warrants to Comcast to purchase up to 725,000 shares of our common stock at a price of $54.55 per share. The right to exercise the warrants is subject to vesting over three successive two-year periods (the third two-year period commenced on January 1, 2020 and ends on December 31, 2021) based on the level of purchases of goods and services from us by Comcast and its affiliates, as defined in the warrants. To the extent that the warrants vest and Comcast exercises the warrants and sells any of the shares of common stock issuable upon exercise, or the perception that such sales may occur, could adversely affect the market price and/or trading volume of our common stock. Based upon the volume of goods and services purchased by Comcast during the first and second two-year period which ended on December 31, 2017 and December 31, 2019, Comcast vested in 275,000 of the warrants.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Periodically, our Board approves programs to repurchase our common stock based upon an assessment of the then current value as compared to the then trading ranges and investor analyst reports. Also considered in this decision is the effect any such repurchases may have on our cash balances and needs, cash flow, and short- and long-term borrowing. Our stock price has experienced substantial price volatility in the past and may continue to do so in the future. Additionally, we, the 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06"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u w:val="single" w:color="auto"/>
          <w:color w:val="auto"/>
        </w:rPr>
        <w:t xml:space="preserve">Our Governing Corporate Documents Contain, and Our Board of Directors May Implement, Antitakeover Provisions that May Deter Takeover Attempts </w:t>
      </w:r>
      <w:r>
        <w:rPr>
          <w:rFonts w:ascii="Arial" w:cs="Arial" w:eastAsia="Arial" w:hAnsi="Arial"/>
          <w:sz w:val="16"/>
          <w:szCs w:val="16"/>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Economic Downturns and Other Global, National, and Regional Conditions May Adversely Affect Our Results of Operations, Cash Flow, Liquidity or Financial Condition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we conduct our business on a global platform, our business is sensitive to global and regional business and economic conditions. Adverse changes in global, national, regional economies, governmental policies (including in areas such as trade, travel, immigration, healthcare, and related issues), and geopolitical conditions impact our activities. Such conditions in the United States and worldwide may impact our business due to weak economic conditions, changes in energy prices and currency values, political instability, heightened travel security measures, travel advisories, disruptions in travel, and concerns over disease, violence, war, or terrorism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 economic uncertainty continues to exist. The continuation or worsening of the global economic downturn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u w:val="single" w:color="auto"/>
          <w:color w:val="auto"/>
        </w:rPr>
        <w:t>Risks Relating to Natural or Man-Made Disasters, Contagious Disease, Violence, or War May Cause Increases in the Cost of Raw Materials and Energy which May Adversely Affect Our Earnings or Cash Flow</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including manufacturing or distribution capabilities, and that of our suppliers, business partners and contract manufacturers, to make, move and sell products is critical to our success. We purchase raw materials and energy for use in the manufacturing, distribution and sale of our products. So called "Acts of God," such as hurricanes, earthquakes, tsunamis,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floods, volcanic activity, wildfires, and other natural disasters, as well as man-made disasters and the spread of contagious diseases in locations where we lease and/or own properties and equipment or manage our business,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have already experienced from the COVID-19 pandemic, any one or more of these events could disrupt raw material and fuel supplies and increase our costs, reduce our ability to manufacture and supply our products, and/or increase our operating costs, all of which could adversely affect our earnings or cash flows and profits. 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Scottsdale, Arizona. We utilize the following facilities: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386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Purpose or Use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w:t>
            </w:r>
          </w:p>
        </w:tc>
        <w:tc>
          <w:tcPr>
            <w:tcW w:w="37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88"/>
        </w:trPr>
        <w:tc>
          <w:tcPr>
            <w:tcW w:w="2420" w:type="dxa"/>
            <w:vAlign w:val="bottom"/>
            <w:gridSpan w:val="2"/>
            <w:vMerge w:val="continue"/>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Feet</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Scottsdale, Arizona</w:t>
            </w:r>
          </w:p>
        </w:tc>
        <w:tc>
          <w:tcPr>
            <w:tcW w:w="120" w:type="dxa"/>
            <w:vAlign w:val="bottom"/>
            <w:tcBorders>
              <w:top w:val="single" w:sz="8" w:color="CCEEFF"/>
            </w:tcBorders>
            <w:shd w:val="clear" w:color="auto" w:fill="CCEEFF"/>
          </w:tcPr>
          <w:p>
            <w:pPr>
              <w:spacing w:after="0"/>
              <w:rPr>
                <w:sz w:val="14"/>
                <w:szCs w:val="14"/>
                <w:color w:val="auto"/>
              </w:rPr>
            </w:pPr>
          </w:p>
        </w:tc>
        <w:tc>
          <w:tcPr>
            <w:tcW w:w="37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Corporate headquarters, engineering, research and</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25,106</w:t>
            </w:r>
          </w:p>
        </w:tc>
        <w:tc>
          <w:tcPr>
            <w:tcW w:w="100" w:type="dxa"/>
            <w:vAlign w:val="bottom"/>
            <w:tcBorders>
              <w:top w:val="single" w:sz="8" w:color="CCEEFF"/>
            </w:tcBorders>
            <w:shd w:val="clear" w:color="auto" w:fill="CCEEFF"/>
          </w:tcPr>
          <w:p>
            <w:pPr>
              <w:spacing w:after="0"/>
              <w:rPr>
                <w:sz w:val="14"/>
                <w:szCs w:val="14"/>
                <w:color w:val="auto"/>
              </w:rPr>
            </w:pPr>
          </w:p>
        </w:tc>
        <w:tc>
          <w:tcPr>
            <w:tcW w:w="37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Leased, expires February 27, 2027</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Carlsbad, California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30,758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November 30, 2022</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Poway, California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December 31, 2021</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San Mateo, California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January 31, 2024</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Santa Ana, California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36,184</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Bangalore, India </w:t>
            </w:r>
            <w:r>
              <w:rPr>
                <w:rFonts w:ascii="Arial" w:cs="Arial" w:eastAsia="Arial" w:hAnsi="Arial"/>
                <w:sz w:val="23"/>
                <w:szCs w:val="23"/>
                <w:color w:val="auto"/>
                <w:vertAlign w:val="superscript"/>
              </w:rPr>
              <w:t>(1)</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expired November 30, 2020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December 31, 2023</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Hong Kong,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Asian headquarters</w:t>
            </w:r>
          </w:p>
        </w:tc>
        <w:tc>
          <w:tcPr>
            <w:tcW w:w="1120" w:type="dxa"/>
            <w:vAlign w:val="bottom"/>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July 31, 2022</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Enschede, Netherlands</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headquarters and call center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February 29, 2024</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Guangzhou,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1120" w:type="dxa"/>
            <w:vAlign w:val="bottom"/>
          </w:tcPr>
          <w:p>
            <w:pPr>
              <w:jc w:val="right"/>
              <w:spacing w:after="0"/>
              <w:rPr>
                <w:sz w:val="20"/>
                <w:szCs w:val="20"/>
                <w:color w:val="auto"/>
              </w:rPr>
            </w:pPr>
            <w:r>
              <w:rPr>
                <w:rFonts w:ascii="Arial" w:cs="Arial" w:eastAsia="Arial" w:hAnsi="Arial"/>
                <w:sz w:val="18"/>
                <w:szCs w:val="18"/>
                <w:color w:val="auto"/>
              </w:rPr>
              <w:t>26,850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April 14, 2023</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Manaus, Brazil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56,120</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August 19, 2022</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Monterrey, Mexico</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101,571</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September 30, 2023</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Monterrey, Mexico</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July 29, 2025</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286,118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May 31, 2023</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398,269</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February 28, 2022</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248,448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3"/>
                <w:szCs w:val="23"/>
                <w:color w:val="auto"/>
                <w:vertAlign w:val="superscript"/>
              </w:rPr>
              <w:t>(2)</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1,204,697</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Yangzhou,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77,888</w:t>
            </w:r>
          </w:p>
        </w:tc>
        <w:tc>
          <w:tcPr>
            <w:tcW w:w="10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Lease expired on November 30, 2020. We are currently leasing the facility on a month-to-month basis, pending the finalization of a new lease.</w:t>
      </w:r>
    </w:p>
    <w:p>
      <w:pPr>
        <w:spacing w:after="0" w:line="1" w:lineRule="exact"/>
        <w:rPr>
          <w:rFonts w:ascii="Arial" w:cs="Arial" w:eastAsia="Arial" w:hAnsi="Arial"/>
          <w:sz w:val="21"/>
          <w:szCs w:val="21"/>
          <w:color w:val="auto"/>
          <w:vertAlign w:val="superscript"/>
        </w:rPr>
      </w:pPr>
    </w:p>
    <w:p>
      <w:pPr>
        <w:ind w:left="660" w:hanging="328"/>
        <w:spacing w:after="0" w:line="219"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currently believe that our manufacturing, engineering, and research and development facilities are suitable and adequate for our continued needs. We will continue to assess the suitability and adequacy of these facilities to meet both our current needs, as well as our expected future requirements.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8"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 Commitments and Contingencies — Litigation" is incorporated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trades on the NASDAQ Global Select Market under the symbol UEIC. Our stockholders of record on March 3, 2021 numbered 135.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on the open market under our plans or programs: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40" w:type="dxa"/>
            <w:vAlign w:val="bottom"/>
          </w:tcPr>
          <w:p>
            <w:pPr>
              <w:jc w:val="center"/>
              <w:ind w:lef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7"/>
              </w:rPr>
              <w:t>Total Number of Shares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840" w:type="dxa"/>
            <w:vAlign w:val="bottom"/>
          </w:tcPr>
          <w:p>
            <w:pPr>
              <w:jc w:val="center"/>
              <w:ind w:left="40"/>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Publicly Announced</w:t>
            </w:r>
          </w:p>
        </w:tc>
        <w:tc>
          <w:tcPr>
            <w:tcW w:w="1840" w:type="dxa"/>
            <w:vAlign w:val="bottom"/>
          </w:tcPr>
          <w:p>
            <w:pPr>
              <w:jc w:val="center"/>
              <w:ind w:left="40"/>
              <w:spacing w:after="0" w:line="135"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89"/>
        </w:trPr>
        <w:tc>
          <w:tcPr>
            <w:tcW w:w="4500" w:type="dxa"/>
            <w:vAlign w:val="bottom"/>
            <w:gridSpan w:val="2"/>
            <w:vMerge w:val="continue"/>
          </w:tcPr>
          <w:p>
            <w:pPr>
              <w:spacing w:after="0"/>
              <w:rPr>
                <w:sz w:val="16"/>
                <w:szCs w:val="16"/>
                <w:color w:val="auto"/>
              </w:rPr>
            </w:pPr>
          </w:p>
        </w:tc>
        <w:tc>
          <w:tcPr>
            <w:tcW w:w="1660" w:type="dxa"/>
            <w:vAlign w:val="bottom"/>
          </w:tcPr>
          <w:p>
            <w:pPr>
              <w:jc w:val="right"/>
              <w:ind w:right="356"/>
              <w:spacing w:after="0" w:line="18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840" w:type="dxa"/>
            <w:vAlign w:val="bottom"/>
          </w:tcPr>
          <w:p>
            <w:pPr>
              <w:jc w:val="center"/>
              <w:ind w:left="40"/>
              <w:spacing w:after="0" w:line="189" w:lineRule="exact"/>
              <w:rPr>
                <w:sz w:val="20"/>
                <w:szCs w:val="20"/>
                <w:color w:val="auto"/>
              </w:rPr>
            </w:pPr>
            <w:r>
              <w:rPr>
                <w:rFonts w:ascii="Arial" w:cs="Arial" w:eastAsia="Arial" w:hAnsi="Arial"/>
                <w:sz w:val="14"/>
                <w:szCs w:val="14"/>
                <w:b w:val="1"/>
                <w:bCs w:val="1"/>
                <w:color w:val="auto"/>
                <w:w w:val="90"/>
              </w:rPr>
              <w:t xml:space="preserve">or Programs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2020 - October 31, 2020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113,075</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November 1, 2020 - November 30, 2020</w:t>
            </w:r>
          </w:p>
        </w:tc>
        <w:tc>
          <w:tcPr>
            <w:tcW w:w="16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 December 31, 2020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180,639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113,075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hanging="332"/>
        <w:spacing w:after="0" w:line="234"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Of the repurchases in October, November, and December, 625, 3,004 and 63,935 shares, respectively, represent common shares of the Company that were owned and tendered by employees to satisfy option cost and tax withholding obligations in connection with stock option exercises and the vesting of restricted shares.</w:t>
      </w:r>
    </w:p>
    <w:p>
      <w:pPr>
        <w:spacing w:after="0" w:line="229" w:lineRule="exact"/>
        <w:rPr>
          <w:rFonts w:ascii="Arial" w:cs="Arial" w:eastAsia="Arial" w:hAnsi="Arial"/>
          <w:sz w:val="23"/>
          <w:szCs w:val="23"/>
          <w:color w:val="auto"/>
          <w:vertAlign w:val="superscript"/>
        </w:rPr>
      </w:pPr>
    </w:p>
    <w:p>
      <w:pPr>
        <w:jc w:val="both"/>
        <w:ind w:left="340" w:hanging="332"/>
        <w:spacing w:after="0" w:line="277"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On October 28, 2020, our Board of Directors authorized a new share repurchase program (the "November 2020 Program"), which replaced in its entirety the Company's previous repurchase program in place prior to October 28, 2020. Pursuant to the November 2020 Program, we may, from time to time until February 18, 2021, repurchase up to 500,000 shares of our common stock. At December 31, 2020, we had 500,000 shares of common stock authorized for repurchase remaining under the November 2020 Program. On February 11, 2021, our Board approved a new share repurchase program with an effective date of February 23, 2021 (the "February 2021 Program"). Pursuant to the February 2021 Program, we may, from time to time until May 6, 2021, repurchase up to 300,000 shares of our common stock. We may repurchase shares of common stock in privately negotiated and/or open-market transactions, including pursuant to plans complying with Rule 10b5-1 promulgated under the Exchange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regarding our equity compensation plans is incorporated by reference to "ITEM 12. SECURITY OWNERSHIP OF CERTAIN BENEFICIAL OWNERS AND MANAGEMENT AND RELATED STOCKHOLDER MATTERS" under the caption "Equity Compensation Plan Information".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five-year period ended December 31, 2020. The comparison assumes that $100 was invested on December 31, 2015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83185</wp:posOffset>
            </wp:positionV>
            <wp:extent cx="5837555" cy="3300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755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12/31/2015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12/31/2016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12/31/2017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12/31/2018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12/31/2019</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12/31/2020</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Universal Electronics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S&amp;P Small Cap 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304"/>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r>
    </w:tbl>
    <w:p>
      <w:pPr>
        <w:ind w:left="820" w:hanging="326"/>
        <w:spacing w:after="0" w:line="223" w:lineRule="auto"/>
        <w:tabs>
          <w:tab w:leader="none" w:pos="857"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Companies in the Peer Group Index are as follows: Xperi Corporation (formerly TiVo Corporation), Logitech International, Dolby Laboratories, Inc., and VOXX International Corp.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presented above is as of December 31, 2015 through December 31, 2020. This information should not be deemed to be "soliciting material" or to be "filed" with the SEC or subject to the liabilities of Section 18 of the Exchange Act nor should this information be incorporated by reference into any prior or future filings under the Exchange Act, except to the extent that we specifically incorporate it by reference into a filing.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614,680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753,477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680,241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695,790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651,371</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37,267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15,315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10,670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25,397</w:t>
            </w: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Net income (loss) attributable to Universal Electronics</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38,572</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11,924</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(10,323)</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20,354</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Earnings (loss) per share attributable to Universal</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Electronics Inc.:</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earnings (loss) per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13,948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14,351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 as a % of net sales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 (deficit)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Net income (loss) as a % of net sales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on average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453"/>
        </w:trPr>
        <w:tc>
          <w:tcPr>
            <w:tcW w:w="4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100,597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108,291</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Ratio of current assets to current liabilities</w:t>
            </w: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510,290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564,159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555,596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608,430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521,036</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74,302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53,207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62,438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50,611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 of credit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138,000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49,987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313,301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274,399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262,960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253,549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280,510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w w:val="99"/>
              </w:rPr>
              <w:t>Ratio of liabilities to liabilities and stockholders' equity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comparability of information for 2020, 2019, 2018, and 2017 compared to previous years is affected by the acquisition of the net assets of RCS Technology, LLC ("RCS") during the second quarter of 2017.</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discuss 2020 and 2019 items and year-to-year comparisons between 2020 and 2019 in the section that follows. Discussions of 2018 items and year-to-year comparisons between 2019 and 2018 that are not included in this Annual Report on Form 10-K may be found in "Management's Discussion and Analysis of Financial Condition and Results of Operations" in Part II, Item 7 of our Annual Report on Form 10-K for the year ended December 31, 2019, filed with the SEC on March 16, 2020.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65"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ind w:left="980" w:right="2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 with billions of transactions per year in device and data management;</w:t>
      </w:r>
    </w:p>
    <w:p>
      <w:pPr>
        <w:ind w:left="9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software development companies, private label customers, and video service providers;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ind w:left="980" w:hanging="324"/>
        <w:spacing w:after="0" w:line="26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nearly 13,000 brands comprising over 930,000 device models across AV and smart home platforms, supported by many common smart home protocols, including IR, HDMI-CEC, Zigbee (Rf4CE), Z-Wave, IP, as well as Home Network and Cloud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over 8.3 million unique device fingerprints across both AV and Smart Home devices.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IoT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operate as one business segment. We have two domestic subsidiaries and 26 international subsidiaries located in Argentina, Brazil, British Virgin Islands, Cayman Islands, France, Germany, Hong Kong (3), India, Italy, Japan, Korea, Mexico (2), the Netherlands, the People's Republic of China (7), Singapore, Spain and the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2020:</w:t>
      </w:r>
    </w:p>
    <w:p>
      <w:pPr>
        <w:spacing w:after="0" w:line="25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decreased 18.4% to $614.7 million in 2020 from $753.5 million in 2019.</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 percentage increased to 28.7% in 2020 from 22.6% in 2019.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to 22.6% in 2020 from 20.6% in 2019.</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income increased to $37.3 million in 2020 from $15.3 million in 2019, and our operating margin percentage increased to 6.1% in 2020, compared to 2.0% in 2019.</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effective tax rate decreased to 12.1% in 2020 from 65.1% in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2021 include the following:</w:t>
      </w:r>
    </w:p>
    <w:p>
      <w:pPr>
        <w:spacing w:after="0" w:line="25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and market advanced remote control products and technologies our customer base is adopting;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expand our software and service offerings to deliver a complete managed service platform;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penetration of international subscription broadcasting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global spread of COVID-19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and the availability of effective treatments or vaccines); the negative impact the COVID-19 pandemic has on global and regional economies and economic activity, including the duration and magnitude of its impact on unemployment rates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has spread to other jurisdictions and has been declared a global pandemic, the full extent of this outbreak and the related governmental, business and travel restrictions in order to contain the COVID-19 pandemic are continuing to evolve globally. In response, we have created a COVID-19 task force, which includes a cross-functional group of senior-level executives, to manage and respond to the ever changing health and safety requirements across the globe and communicate our response to the pandemic to our global factory and office leaders.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Local government mandates required us, in the first quarter of 2020, to keep our China factories closed for a period of approximately two weeks beyond the end of the Chinese Lunar New Year. Our Mexico factory was closed for more than one week due to local health ordinance requirements during the second quarter of 2020. As a part of our response to this pandemic, our COVID-19 task force has developed and we have implemented additional safety measures for all factory employees across the globe, including temperature scans upon entry, hand sanitizer stations located throughout the facilities, mandatory mask wearing, social distancing measures in gathering places and restricting all visitor access. All factories are up to or near labor capacity as of the issuance of this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also taken measures to safeguard the health and well-being of our employees in our office locations throughout the world, including implementing work from home arrangements and a moratorium on all travel, except where essential and approved in advance. We have implemented enhanced safety measures upon the reopening of our office locations, including more frequent office sanitation, temperature scans upon arrival, mandatory mask wearing, additional hand sanitizer locations, social distancing measures throughout locations and restricted visitor access. The reopening of our offices continues to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that these actions and the global health crisis caused by the COVID-19 pandemic will continue to negatively impact business activity across the globe, including our business. We expect our sales demand to be negatively impacted into, at least, the first half of 2021 given the global reach and economic impact of the COVID-19 pandemic and the various quarantine and social distancing measures put in place to contain the spread of the COVID-19 pandemic. We have also seen some disruptions in our supply chain that, if continued, may cause us difficulty in fulfilling customer orders. A closure of one of our factories for a sustained period of time would, in the short run, impact our ability to meet customer demand and would negatively impact our results.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as necessary or as required by federal, state, or local authorities. The potential effects of any such alterations or modifications may have a material adverse impact on our business during 2021. Even after the COVID-19 pandemic subsides or effective treatments or vaccines become available, our business, markets, growth prospects and business model could be materially impacted or altered.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estimates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and delivering universal control, sensing and automation products and AV accessories, which are sold through multiple channels, and licensing intellectual property that is embedded in these products or licensed to others for use in their products.</w:t>
      </w:r>
    </w:p>
    <w:p>
      <w:pPr>
        <w:spacing w:after="0" w:line="198"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i w:val="1"/>
          <w:iCs w:val="1"/>
          <w:color w:val="auto"/>
        </w:rPr>
        <w:t xml:space="preserve">Timing of Revenue Recognition </w:t>
      </w:r>
      <w:r>
        <w:rPr>
          <w:rFonts w:ascii="Arial" w:cs="Arial" w:eastAsia="Arial" w:hAnsi="Arial"/>
          <w:sz w:val="16"/>
          <w:szCs w:val="16"/>
          <w:color w:val="auto"/>
        </w:rPr>
        <w:t>– When determining the classification of over time verses point in time revenue recognition, there is significant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by management in identifying and evaluating whether new contracts and/or products meet the criteria for over time or point in time revenue recognition. Significant judgments include the evaluation of legal terms and rights within each jurisdiction that we operate, specifically as it relates to our entitlement to gross margin at termination, and the evaluation of whether it is possible, contractually or economically, to repurpose or redirect products.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Royalty Revenue </w:t>
      </w:r>
      <w:r>
        <w:rPr>
          <w:rFonts w:ascii="Arial" w:cs="Arial" w:eastAsia="Arial" w:hAnsi="Arial"/>
          <w:sz w:val="16"/>
          <w:szCs w:val="16"/>
          <w:color w:val="auto"/>
        </w:rPr>
        <w:t>- We license our intellectual property including our patented technologies and database of control codes. We record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for per-unit based licenses when our customers manufacture or ship a product incorporating our intellectual property and we have a present right to payment. The number of shipped units is estimated based on historical revenue royalty and other known factors. If actual shipped units differs from our estimates we will record a reduction or increase to net sales in the period the actuals are reported by the licensee, typically in the following quarter.</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color w:val="auto"/>
        </w:rPr>
        <w:t xml:space="preserve">Sales Returns and Allowances </w:t>
      </w:r>
      <w:r>
        <w:rPr>
          <w:rFonts w:ascii="Arial" w:cs="Arial" w:eastAsia="Arial" w:hAnsi="Arial"/>
          <w:sz w:val="18"/>
          <w:szCs w:val="18"/>
          <w:color w:val="auto"/>
        </w:rPr>
        <w:t>- A provision is recorded for estimated sales returns and allowances and is deducted from gross sales to arrive at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6" w:lineRule="exact"/>
        <w:rPr>
          <w:sz w:val="20"/>
          <w:szCs w:val="20"/>
          <w:color w:val="auto"/>
        </w:rPr>
      </w:pPr>
    </w:p>
    <w:p>
      <w:pPr>
        <w:jc w:val="both"/>
        <w:ind w:firstLine="192"/>
        <w:spacing w:after="0" w:line="286" w:lineRule="auto"/>
        <w:rPr>
          <w:sz w:val="20"/>
          <w:szCs w:val="20"/>
          <w:color w:val="auto"/>
        </w:rPr>
      </w:pPr>
      <w:r>
        <w:rPr>
          <w:rFonts w:ascii="Arial" w:cs="Arial" w:eastAsia="Arial" w:hAnsi="Arial"/>
          <w:sz w:val="17"/>
          <w:szCs w:val="17"/>
          <w:i w:val="1"/>
          <w:iCs w:val="1"/>
          <w:color w:val="auto"/>
        </w:rPr>
        <w:t xml:space="preserve">Sales Discounts and Rebates - </w:t>
      </w:r>
      <w:r>
        <w:rPr>
          <w:rFonts w:ascii="Arial" w:cs="Arial" w:eastAsia="Arial" w:hAnsi="Arial"/>
          <w:sz w:val="17"/>
          <w:szCs w:val="17"/>
          <w:color w:val="auto"/>
        </w:rPr>
        <w:t>A provision is recorded for estimated sales discounts and rebates and is deducted from gross sales to arrive at net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 the related revenue is recorded. We accrue for discounts and rebates based on historical experience and our expectations regarding future sales to our customers. Changes in such accruals may be required if actual discounts and rebates differ from our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$1.4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19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 If the actual performance of the assets becomes less favorable than those projected by management, adjustments to the carrying values of the these assets may have a material effect on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w:t>
      </w: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significant adverse change in legal factors or in business climate, (2) unanticipated competition or (3) an adverse action or assessment by a regulator.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 the year ended December 31, 2020, 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future events and circumstances, including adverse changes in general business and economic conditions in the United States and worldwide and changes in consumer behavior could result in changes to our assumptions and judgments used in the goodwill impairment tests. A downward revision of these assumptions could cause the fair value of the reporting unit to fall below its respective carrying values and a noncash impairment charge would be required. Such a charge may have a material effect on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 Any changes to the realizability of our deferred tax assets or liabilities may have a material impact on our financial statements.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77.4</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22.6</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3.9</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2.0</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Accrued social insurance adjustment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1.4</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0.5 %</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("2020") Compared to Year Ended December 31, 2019 ("2019")</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2020 were $614.7 million, a decrease of 18.4% compared to $753.5 million in 2019. The decrease in net sales occurred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traditional home entertainment and security customers as we experienced demand, production and supply disruptions caused by the COVID-19 pandemic. Certain customers reduced order quantities, our China-based manufacturing facilities were delayed in re-opening after the Lunar New Year holiday and certain key suppliers were ordered to close by local authorities.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2020 was $176.3 million compared to $170.2 million in 2019. Gross profit as a percent of sales increased to 28.7%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22.6% in 2019. Gross profit as a percent of sales was favorably impacted by a reduction in U.S. tariff expense, improved operational efficiencies in our Mexico-based manufacturing facility as it emerged from a start-up phase, an increase in royalty revenue as certain consumer electronics companies embed our technology in their devices, and the strengthening of the U.S. Dollar versus the Mexican Peso. Our manufacturing costs were negatively impacted by the COVID-19 pandemic as our China-based manufacturing facilities were delayed in re-opening after the Lunar New Year holiday and our Mexico-based manufacturing facility was closed for approximately 10 days.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Research and development ("R&amp;D") expenses. </w:t>
      </w:r>
      <w:r>
        <w:rPr>
          <w:rFonts w:ascii="Arial" w:cs="Arial" w:eastAsia="Arial" w:hAnsi="Arial"/>
          <w:sz w:val="17"/>
          <w:szCs w:val="17"/>
          <w:color w:val="auto"/>
        </w:rPr>
        <w:t>R&amp;D expenses increased 6.9% to $31.5 million in 2020 from $29.4 million in 2019 primarily due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investment in the development of products that enhance the user experience in home entertainment and home automation.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14.3% to $107.5 million in 2020 from $125.5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reduction in incentive compensation expense, a decrease in contingent consideration recorded in connection with our acquisition of the net assets of Ecolink Intelligent Technology, Inc. ("Ecolink"), a decrease in freight costs and a reduction in travel expenditures. We also reduced certain discretionary expenses as a result of the COVID-19 pandemic.</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$1.4 million in 2020 compared to $3.9 million in 2019 as a result of a lower average loan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a lower interest rate.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Accrued social insurance adjustment. </w:t>
      </w:r>
      <w:r>
        <w:rPr>
          <w:rFonts w:ascii="Arial" w:cs="Arial" w:eastAsia="Arial" w:hAnsi="Arial"/>
          <w:sz w:val="18"/>
          <w:szCs w:val="18"/>
          <w:color w:val="auto"/>
        </w:rPr>
        <w:t>In 2020, we reversed approximately $9.5 million of accrued social insurance. In June 2018, we sold our Guangzhou</w:t>
      </w:r>
      <w:r>
        <w:rPr>
          <w:rFonts w:ascii="Arial" w:cs="Arial" w:eastAsia="Arial" w:hAnsi="Arial"/>
          <w:sz w:val="18"/>
          <w:szCs w:val="18"/>
          <w:i w:val="1"/>
          <w:iCs w:val="1"/>
          <w:color w:val="auto"/>
        </w:rPr>
        <w:t xml:space="preserve"> </w:t>
      </w:r>
      <w:r>
        <w:rPr>
          <w:rFonts w:ascii="Arial" w:cs="Arial" w:eastAsia="Arial" w:hAnsi="Arial"/>
          <w:sz w:val="18"/>
          <w:szCs w:val="18"/>
          <w:color w:val="auto"/>
        </w:rPr>
        <w:t>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Net other expense was $1.4 million in 2020 compared to $1.0 million in 2019, as a result of net foreign currency losses.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$5.3 million in 2020 compared to $6.8 million in 2019. Our effective tax rate was 12.1% in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65.1% in 2019. Our effective tax rate was lower than normal in 2020 as a result of the application of preferential foreign tax rates as well as foreign income not subject to tax in its respective local jurisdictions, partially offset by the U.S. tax loss not being benefited due to the valuation allowance.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88"/>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(23,968)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112,296</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was $73.4 million during 2020 compared to $85.3 million during 2019. Net income was $38.6 million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$3.6 million in 2019. Accounts payable and accrued liabilities resulted in net cash outflows of $43.0 million in 2020 compared to net cash inflows of $14.2 million in 2019, largely as a result of a significant decrease in inventories as well as payments related to accrued compensation and contingent consideration. Inventories decreased by $28.3 million during the year ended December 31, 2020 compared to an increase of $1.9 million during the year ended December 31, 2019 as a result of lower sales volume in 2020. Our inventory turns remained relatively consistent with 3.4 turns at December 31, 2020 compared to 3.2 turns at December 31, 2019. Accrued income taxes decreased by $6.5 million during the year ended December 31, 2020 compared to an increase of $3.6 million during the year ended December 31, 2019, largely as a result of increased tax payments during 2020.</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2020 was $23.7 million, of which $16.9 million and $6.4 million was used for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patents, respectively. Net cash used for investing activities during 2019 was $24.0 million, of which $21.3 million and $2.7 million was used for capital expenditures and development of patents,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$66.0 million during 2020 compared to $39.2 million during 2019. The primary financing activities in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were borrowings and repayments on our line of credit and repurchases of shares of our common stock. Net repayments on our line of credit were $48.0 million and $33.5 million in 2020 and 2019, respectively.</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2020, we purchased 443,803 shares of our common stock at a cost of $17.7 million compared to 57,740 shares at a cost of $1.9 million during 2019. We hold repurchased shares as treasury stock and they are available for reissue. Presently, we have no plans to distribute these shares, although we may change these plans if necessary to fulfill our ongoing business objectives. See "ITEM 8. FINANCIAL STATEMENTS AND SUPPLEMENTARY DATA - Notes to Consolidated Financial Statements - Note 14" for further information regarding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40" w:type="dxa"/>
            <w:vAlign w:val="bottom"/>
          </w:tcPr>
          <w:p>
            <w:pPr>
              <w:jc w:val="right"/>
              <w:ind w:right="176"/>
              <w:spacing w:after="0" w:line="135"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396"/>
              <w:spacing w:after="0" w:line="135"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1" w:lineRule="exact"/>
        <w:rPr>
          <w:rFonts w:ascii="Arial" w:cs="Arial" w:eastAsia="Arial" w:hAnsi="Arial"/>
          <w:sz w:val="23"/>
          <w:szCs w:val="23"/>
          <w:color w:val="auto"/>
          <w:vertAlign w:val="superscript"/>
        </w:rPr>
      </w:pPr>
    </w:p>
    <w:p>
      <w:pPr>
        <w:ind w:left="660" w:right="20" w:hanging="328"/>
        <w:spacing w:after="0" w:line="219"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Contingent consideration consists of contingent payments relate to our purchases of the net assets of Ecolink and Residential Control Systems, Inc.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54,300</w:t>
            </w:r>
          </w:p>
        </w:tc>
      </w:tr>
    </w:tbl>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2020, we had $9.8 million, $14.3 million, $13.5 million, $10.9 million and $8.7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 2019, we extended the term of our Second Amended Credit Agreement with U.S. Bank to November 1, 2021. The Second Amended Credit Agreement provided for a $130.0 million Credit Line through June 30, 2019 and a $125.0 million Credit Line thereafter and through its expiration date.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December 31, 2020. On January 7, 2021, we executed an amendment to extend the term of our Second Amended Credit Agreement to November 1, 2022.</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 The applicable margins are calculated quarterly and vary based on our cash flow leverage ratio as set forth in the Second Amended Credit Agreement. The interest rate in effect at December 31, 2020 was 1.39%. There are no commitment fees or unused line fees under the Second Amended Credit Agreement. The amendment executed on January 7, 2021 defines the Secured Overnight Financing Rate ("SOFR") as a replacement benchmark for LIBOR upon its phase out.</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2020, we were in compliance with the covenants and conditions of the Second Amended Credit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we had an outstanding balance of $20.0 million on our Credit Line and $102.3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$0.2 million annual impact on net income based on our outstanding Credit Line balance at December 31, 2020.</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2020,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Brazilian Real, Japanese Yen, and Argentinian Peso. Our most significant foreign currency exposure is to the Chinese Yuan Renminbi as this is the functional currency of our PRC-based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Brazilian Real and Argentinian Peso,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2020, we believe that movements in foreign currency rates may have a material effect on our financial position and results of operations. We estimate that if the exchange rates for the Chinese Yuan Renminbi, Euro, British Pound, Mexican Peso, Indian Rupee, Brazilian Real, Japanese Yen, and Argentinian Peso relative to the U.S. Dollar fluctuate 10% from December 31, 2020, net income in the first quarter of 2021 would fluctuate by approximately $9.1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49"/>
        </w:trPr>
        <w:tc>
          <w:tcPr>
            <w:tcW w:w="10880" w:type="dxa"/>
            <w:vAlign w:val="bottom"/>
            <w:gridSpan w:val="5"/>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Report of Independent Registered Public Accounting Firm</w:t>
              </w:r>
            </w:hyperlink>
          </w:p>
        </w:tc>
        <w:tc>
          <w:tcPr>
            <w:tcW w:w="3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190"/>
        </w:trPr>
        <w:tc>
          <w:tcPr>
            <w:tcW w:w="10880" w:type="dxa"/>
            <w:vAlign w:val="bottom"/>
            <w:gridSpan w:val="5"/>
          </w:tcPr>
          <w:p>
            <w:pPr>
              <w:spacing w:after="0" w:line="190" w:lineRule="exact"/>
              <w:rPr>
                <w:rFonts w:ascii="Arial" w:cs="Arial" w:eastAsia="Arial" w:hAnsi="Arial"/>
                <w:sz w:val="18"/>
                <w:szCs w:val="18"/>
                <w:color w:val="0000FF"/>
              </w:rPr>
            </w:pPr>
            <w:hyperlink w:anchor="page42">
              <w:r>
                <w:rPr>
                  <w:rFonts w:ascii="Arial" w:cs="Arial" w:eastAsia="Arial" w:hAnsi="Arial"/>
                  <w:sz w:val="18"/>
                  <w:szCs w:val="18"/>
                  <w:u w:val="single" w:color="auto"/>
                  <w:color w:val="0000FF"/>
                </w:rPr>
                <w:t>Consolidated Balance Sheets at December 31,</w:t>
              </w:r>
              <w:r>
                <w:rPr>
                  <w:rFonts w:ascii="Arial" w:cs="Arial" w:eastAsia="Arial" w:hAnsi="Arial"/>
                  <w:sz w:val="18"/>
                  <w:szCs w:val="18"/>
                  <w:color w:val="0000FF"/>
                </w:rPr>
                <w:t xml:space="preserve"> 2020 and 2019</w:t>
              </w:r>
            </w:hyperlink>
          </w:p>
        </w:tc>
        <w:tc>
          <w:tcPr>
            <w:tcW w:w="300" w:type="dxa"/>
            <w:vAlign w:val="bottom"/>
          </w:tcPr>
          <w:p>
            <w:pPr>
              <w:jc w:val="right"/>
              <w:spacing w:after="0" w:line="190" w:lineRule="exact"/>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r>
        <w:trPr>
          <w:trHeight w:val="20"/>
        </w:trPr>
        <w:tc>
          <w:tcPr>
            <w:tcW w:w="35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9"/>
        </w:trPr>
        <w:tc>
          <w:tcPr>
            <w:tcW w:w="10880" w:type="dxa"/>
            <w:vAlign w:val="bottom"/>
            <w:gridSpan w:val="5"/>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Consolidated Statements of Operations for the Years Ended December 31, 2020, 2019, and 2018</w:t>
              </w:r>
            </w:hyperlink>
          </w:p>
        </w:tc>
        <w:tc>
          <w:tcPr>
            <w:tcW w:w="30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44</w:t>
              </w:r>
            </w:hyperlink>
          </w:p>
        </w:tc>
      </w:tr>
      <w:tr>
        <w:trPr>
          <w:trHeight w:val="229"/>
        </w:trPr>
        <w:tc>
          <w:tcPr>
            <w:tcW w:w="10880" w:type="dxa"/>
            <w:vAlign w:val="bottom"/>
            <w:gridSpan w:val="5"/>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Consolidated Comprehensive Income (Loss) Statements for the Years Ended December 31, 2020, 2019, and 2018</w:t>
              </w:r>
            </w:hyperlink>
          </w:p>
        </w:tc>
        <w:tc>
          <w:tcPr>
            <w:tcW w:w="30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45</w:t>
              </w:r>
            </w:hyperlink>
          </w:p>
        </w:tc>
      </w:tr>
      <w:tr>
        <w:trPr>
          <w:trHeight w:val="190"/>
        </w:trPr>
        <w:tc>
          <w:tcPr>
            <w:tcW w:w="10880" w:type="dxa"/>
            <w:vAlign w:val="bottom"/>
            <w:gridSpan w:val="5"/>
          </w:tcPr>
          <w:p>
            <w:pPr>
              <w:spacing w:after="0" w:line="190" w:lineRule="exact"/>
              <w:rPr>
                <w:rFonts w:ascii="Arial" w:cs="Arial" w:eastAsia="Arial" w:hAnsi="Arial"/>
                <w:sz w:val="18"/>
                <w:szCs w:val="18"/>
                <w:color w:val="0000FF"/>
              </w:rPr>
            </w:pPr>
            <w:hyperlink w:anchor="page45">
              <w:r>
                <w:rPr>
                  <w:rFonts w:ascii="Arial" w:cs="Arial" w:eastAsia="Arial" w:hAnsi="Arial"/>
                  <w:sz w:val="18"/>
                  <w:szCs w:val="18"/>
                  <w:u w:val="single" w:color="auto"/>
                  <w:color w:val="0000FF"/>
                </w:rPr>
                <w:t>Consolidated Statements of Stockholders' Equity for the Years Ended December 31,</w:t>
              </w:r>
              <w:r>
                <w:rPr>
                  <w:rFonts w:ascii="Arial" w:cs="Arial" w:eastAsia="Arial" w:hAnsi="Arial"/>
                  <w:sz w:val="18"/>
                  <w:szCs w:val="18"/>
                  <w:color w:val="0000FF"/>
                </w:rPr>
                <w:t xml:space="preserve"> 2020, </w:t>
              </w:r>
              <w:r>
                <w:rPr>
                  <w:rFonts w:ascii="Arial" w:cs="Arial" w:eastAsia="Arial" w:hAnsi="Arial"/>
                  <w:sz w:val="18"/>
                  <w:szCs w:val="18"/>
                  <w:u w:val="single" w:color="auto"/>
                  <w:color w:val="0000FF"/>
                </w:rPr>
                <w:t>2019, and 2018</w:t>
              </w:r>
            </w:hyperlink>
          </w:p>
        </w:tc>
        <w:tc>
          <w:tcPr>
            <w:tcW w:w="300" w:type="dxa"/>
            <w:vAlign w:val="bottom"/>
          </w:tcPr>
          <w:p>
            <w:pPr>
              <w:jc w:val="right"/>
              <w:spacing w:after="0" w:line="190" w:lineRule="exact"/>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r>
      <w:tr>
        <w:trPr>
          <w:trHeight w:val="20"/>
        </w:trPr>
        <w:tc>
          <w:tcPr>
            <w:tcW w:w="6180" w:type="dxa"/>
            <w:vAlign w:val="bottom"/>
            <w:gridSpan w:val="3"/>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9"/>
        </w:trPr>
        <w:tc>
          <w:tcPr>
            <w:tcW w:w="10880" w:type="dxa"/>
            <w:vAlign w:val="bottom"/>
            <w:gridSpan w:val="5"/>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Consolidated Statements of Cash Flows for the Years Ended December 31, 2020, 2019, and 2018</w:t>
              </w:r>
            </w:hyperlink>
          </w:p>
        </w:tc>
        <w:tc>
          <w:tcPr>
            <w:tcW w:w="30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r>
      <w:tr>
        <w:trPr>
          <w:trHeight w:val="230"/>
        </w:trPr>
        <w:tc>
          <w:tcPr>
            <w:tcW w:w="10880" w:type="dxa"/>
            <w:vAlign w:val="bottom"/>
            <w:gridSpan w:val="5"/>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Notes to Consolidated Financial Statements</w:t>
              </w:r>
            </w:hyperlink>
          </w:p>
        </w:tc>
        <w:tc>
          <w:tcPr>
            <w:tcW w:w="3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Universal Electronics Inc. (a Delaware corporation) and subsidiaries (the "Company") as of December 31, 2020 and 2019, the related consolidated statements of operations, comprehensive income (loss), changes in stockholders’ equity, and cash flows for each of the three years in the period ended December 31, 2020, and the related notes and financial statement schedules included under Item 15 (collectively referred to as the "financial statements"). In our opinion, the financial statements present fairly, in all material respects, the financial positi</w:t>
      </w:r>
      <w:r>
        <w:rPr>
          <w:rFonts w:ascii="Arial" w:cs="Arial" w:eastAsia="Arial" w:hAnsi="Arial"/>
          <w:sz w:val="14"/>
          <w:szCs w:val="14"/>
          <w:color w:val="auto"/>
        </w:rPr>
        <w:t>on of</w:t>
      </w:r>
    </w:p>
    <w:p>
      <w:pPr>
        <w:spacing w:after="0" w:line="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Company as of </w:t>
      </w:r>
      <w:r>
        <w:rPr>
          <w:rFonts w:ascii="Arial" w:cs="Arial" w:eastAsia="Arial" w:hAnsi="Arial"/>
          <w:sz w:val="17"/>
          <w:szCs w:val="17"/>
          <w:color w:val="auto"/>
        </w:rPr>
        <w:t>December 31, 2020 and 2019, and the results of its operations and its cash flows for each of the three years in the period ended</w:t>
      </w:r>
      <w:r>
        <w:rPr>
          <w:rFonts w:ascii="Arial" w:cs="Arial" w:eastAsia="Arial" w:hAnsi="Arial"/>
          <w:sz w:val="16"/>
          <w:szCs w:val="16"/>
          <w:color w:val="auto"/>
        </w:rPr>
        <w:t xml:space="preserve"> </w:t>
      </w:r>
      <w:r>
        <w:rPr>
          <w:rFonts w:ascii="Arial" w:cs="Arial" w:eastAsia="Arial" w:hAnsi="Arial"/>
          <w:sz w:val="17"/>
          <w:szCs w:val="17"/>
          <w:color w:val="auto"/>
        </w:rPr>
        <w:t>December 31, 2020, in conformity with accounting principles generally accepted in the United States of America.</w:t>
      </w:r>
    </w:p>
    <w:p>
      <w:pPr>
        <w:jc w:val="both"/>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5, 2021 expressed an unqualified opinion.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Identifying and evaluating terms and conditions in contracts for the timing of revenue recognition</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further in Note 2 to the consolidated financial statements, product revenue is generated through manufacturing and delivering universal control, sensing and automation products, and AV accessories. The Company recognizes revenue over time for custom products with no alternative use when the Company has an enforceable right to payment for performance completed to date, including a reasonable margin, through a contractual commitment from the customer. Revenue is recognized at a point in time if the criteria for recognizing revenue over time are not met. For each new contract and/or product, management performs an analysis to determine whether the asset created is a custom asset with no alternative use and whether the terms and conditions of the contract indicate the Company has an enforceable right to payment for performance completed prior to the transfer of title of the underlying asset. We identified the determination of over time verses point in time revenue recognition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over time verses point in time revenue recognition is a critical audit matter is the significant judgment exercised by management in identifying and evaluating whether new contracts and/or products meet the criteria for over time or point in time revenue recognition. Significant judgments include the evaluation of legal terms and rights within each jurisdiction that the Company operates and evaluation of whether it is possible, contractually or economically, to repurpose or redirect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over time verses point in time revenue recognition included the following, among others:</w:t>
      </w:r>
    </w:p>
    <w:p>
      <w:pPr>
        <w:spacing w:after="0" w:line="252" w:lineRule="exact"/>
        <w:rPr>
          <w:sz w:val="20"/>
          <w:szCs w:val="20"/>
          <w:color w:val="auto"/>
        </w:rPr>
      </w:pPr>
    </w:p>
    <w:p>
      <w:pPr>
        <w:ind w:left="660" w:right="2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key controls over the Company’s new contract review process, specifically those related to the identification and evaluation of terms and conditions associated with an enforceable right to payment.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design and operating effectiveness of key controls associated with the Company’s classification of new products, specifically those associated with determination and classification of a product as having no alternative use.</w:t>
      </w:r>
    </w:p>
    <w:p>
      <w:pPr>
        <w:jc w:val="both"/>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Performed tests of details, on a sample basis from the Company’s active products listing, to determine whether products marked as custom with no alternative use are restricted contractually or economically to be repurposed or redirected. This includes evaluating management assumptions regarding the economic feasibility of repurposing a finished product and evidence to support that the final product has no alternative use, such as brand names and custom designs within the plastic molding process.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a sample of contracts, obtained the contract and management’s analysis over the enforceable right to payment and validated that the payment terms within the contract were properly evaluated and the contract was properly included or excluded from the over time revenue recognition.</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 sample of revenue transactions, we traced the products sold into the Company’s listing of active products and determined whether that product was appropriately classified as custom or non-custom by applying the same testing approach noted above. For transactions selected with custom products, we also obtained and read the contract and contract amendments to determine whether the payment terms within the contract specifically identified an enforceable right to payment upon cancellation. The two parts to this test serve to determine whether the transaction was appropriately recorded over time or at a point in time.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199"/>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74,302</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129,433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139,198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120,430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145,135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378,752</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87,285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90,732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19,710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19,830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19,826</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5,564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4,409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564,159</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80" w:type="dxa"/>
            <w:vAlign w:val="bottom"/>
            <w:shd w:val="clear" w:color="auto" w:fill="CCEEFF"/>
          </w:tcPr>
          <w:p>
            <w:pPr>
              <w:ind w:left="198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102,588</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68,000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43,668</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10,758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9,766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35,445</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266,456</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Contingent consideration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4,349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196,989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289,760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24,391,595 and 24,118,088 shares issued on</w:t>
            </w: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December 31, 2020 and 2019, respectively</w:t>
            </w: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288,338</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w w:val="94"/>
              </w:rPr>
              <w:t>Treasury stock, at cost, 10,618,002 and 10,174,199 shares on December 31, 2020 and 2019, respectively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(295,495)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(277,817)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286,418</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274,399</w:t>
            </w:r>
          </w:p>
        </w:tc>
        <w:tc>
          <w:tcPr>
            <w:tcW w:w="0" w:type="dxa"/>
            <w:vAlign w:val="bottom"/>
          </w:tcPr>
          <w:p>
            <w:pPr>
              <w:spacing w:after="0"/>
              <w:rPr>
                <w:sz w:val="1"/>
                <w:szCs w:val="1"/>
                <w:color w:val="auto"/>
              </w:rPr>
            </w:pPr>
          </w:p>
        </w:tc>
      </w:tr>
      <w:tr>
        <w:trPr>
          <w:trHeight w:val="206"/>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564,159</w:t>
            </w:r>
          </w:p>
        </w:tc>
        <w:tc>
          <w:tcPr>
            <w:tcW w:w="0" w:type="dxa"/>
            <w:vAlign w:val="bottom"/>
          </w:tcPr>
          <w:p>
            <w:pPr>
              <w:spacing w:after="0"/>
              <w:rPr>
                <w:sz w:val="1"/>
                <w:szCs w:val="1"/>
                <w:color w:val="auto"/>
              </w:rPr>
            </w:pPr>
          </w:p>
        </w:tc>
      </w:tr>
      <w:tr>
        <w:trPr>
          <w:trHeight w:val="24"/>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related party vendors.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680,241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538,437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119,654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Accrued social insurance adjustment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Guangzhou factory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14,166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14,109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related party vendors.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8"/>
              </w:rPr>
              <w:t>3,630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94"/>
              </w:rPr>
              <w:t>(2,500)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42,831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88"/>
              </w:rPr>
              <w:t>1,130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w:t>
            </w: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related party vendors.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00" w:type="dxa"/>
            <w:vAlign w:val="bottom"/>
          </w:tcPr>
          <w:p>
            <w:pPr>
              <w:spacing w:after="0"/>
              <w:rPr>
                <w:sz w:val="13"/>
                <w:szCs w:val="13"/>
                <w:color w:val="auto"/>
              </w:rPr>
            </w:pPr>
          </w:p>
        </w:tc>
        <w:tc>
          <w:tcPr>
            <w:tcW w:w="206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20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122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rPr>
              <w:t>Issued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Paid-in</w:t>
            </w:r>
          </w:p>
        </w:tc>
        <w:tc>
          <w:tcPr>
            <w:tcW w:w="1040" w:type="dxa"/>
            <w:vAlign w:val="bottom"/>
            <w:gridSpan w:val="3"/>
            <w:vMerge w:val="restart"/>
          </w:tcPr>
          <w:p>
            <w:pPr>
              <w:jc w:val="center"/>
              <w:ind w:right="6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88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line="20" w:lineRule="exact"/>
              <w:rPr>
                <w:sz w:val="1"/>
                <w:szCs w:val="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line="20" w:lineRule="exact"/>
              <w:rPr>
                <w:sz w:val="1"/>
                <w:szCs w:val="1"/>
                <w:color w:val="auto"/>
              </w:rPr>
            </w:pPr>
          </w:p>
        </w:tc>
      </w:tr>
      <w:tr>
        <w:trPr>
          <w:trHeight w:val="170"/>
        </w:trPr>
        <w:tc>
          <w:tcPr>
            <w:tcW w:w="3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23,760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238</w:t>
            </w: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(262,065)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265,195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270,864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257,633</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11,924</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35"/>
        </w:trPr>
        <w:tc>
          <w:tcPr>
            <w:tcW w:w="3100" w:type="dxa"/>
            <w:vAlign w:val="bottom"/>
          </w:tcPr>
          <w:p>
            <w:pPr>
              <w:ind w:left="20"/>
              <w:spacing w:after="0" w:line="135"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8,820</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940" w:type="dxa"/>
            <w:vAlign w:val="bottom"/>
          </w:tcPr>
          <w:p>
            <w:pPr>
              <w:jc w:val="right"/>
              <w:spacing w:after="0"/>
              <w:rPr>
                <w:sz w:val="20"/>
                <w:szCs w:val="20"/>
                <w:color w:val="auto"/>
              </w:rPr>
            </w:pPr>
            <w:r>
              <w:rPr>
                <w:rFonts w:ascii="Arial" w:cs="Arial" w:eastAsia="Arial" w:hAnsi="Arial"/>
                <w:sz w:val="14"/>
                <w:szCs w:val="14"/>
                <w:color w:val="auto"/>
              </w:rPr>
              <w:t>23,933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(275,889)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276,103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282,788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262,960</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8,845</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18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286,418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274,399</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38,572</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135"/>
        </w:trPr>
        <w:tc>
          <w:tcPr>
            <w:tcW w:w="3100" w:type="dxa"/>
            <w:vAlign w:val="bottom"/>
          </w:tcPr>
          <w:p>
            <w:pPr>
              <w:ind w:left="20"/>
              <w:spacing w:after="0" w:line="135"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(17,678)</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24,392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(10,618)</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(295,495)</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302,084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324,990</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313,301</w:t>
            </w:r>
          </w:p>
        </w:tc>
        <w:tc>
          <w:tcPr>
            <w:tcW w:w="0" w:type="dxa"/>
            <w:vAlign w:val="bottom"/>
          </w:tcPr>
          <w:p>
            <w:pPr>
              <w:spacing w:after="0"/>
              <w:rPr>
                <w:sz w:val="1"/>
                <w:szCs w:val="1"/>
                <w:color w:val="auto"/>
              </w:rPr>
            </w:pPr>
          </w:p>
        </w:tc>
      </w:tr>
      <w:tr>
        <w:trPr>
          <w:trHeight w:val="24"/>
        </w:trPr>
        <w:tc>
          <w:tcPr>
            <w:tcW w:w="3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related party vendors.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38,572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11,924</w:t>
            </w: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33,602</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Gain on sale of Guangzhou factory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(36,978)</w:t>
            </w:r>
          </w:p>
        </w:tc>
      </w:tr>
      <w:tr>
        <w:trPr>
          <w:trHeight w:val="230"/>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Shares issued for employee benefit plan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Employee and director 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r>
      <w:tr>
        <w:trPr>
          <w:trHeight w:val="230"/>
        </w:trPr>
        <w:tc>
          <w:tcPr>
            <w:tcW w:w="6940" w:type="dxa"/>
            <w:vAlign w:val="bottom"/>
          </w:tcPr>
          <w:p>
            <w:pPr>
              <w:ind w:left="680"/>
              <w:spacing w:after="0"/>
              <w:rPr>
                <w:sz w:val="20"/>
                <w:szCs w:val="20"/>
                <w:color w:val="auto"/>
              </w:rPr>
            </w:pPr>
            <w:r>
              <w:rPr>
                <w:rFonts w:ascii="Arial" w:cs="Arial" w:eastAsia="Arial" w:hAnsi="Arial"/>
                <w:sz w:val="18"/>
                <w:szCs w:val="18"/>
                <w:color w:val="auto"/>
              </w:rPr>
              <w:t>Performance-based common stock warrants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 of long-term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r>
      <w:tr>
        <w:trPr>
          <w:trHeight w:val="230"/>
        </w:trPr>
        <w:tc>
          <w:tcPr>
            <w:tcW w:w="6940" w:type="dxa"/>
            <w:vAlign w:val="bottom"/>
          </w:tcPr>
          <w:p>
            <w:pPr>
              <w:ind w:left="680"/>
              <w:spacing w:after="0"/>
              <w:rPr>
                <w:sz w:val="20"/>
                <w:szCs w:val="20"/>
                <w:color w:val="auto"/>
              </w:rPr>
            </w:pPr>
            <w:r>
              <w:rPr>
                <w:rFonts w:ascii="Arial" w:cs="Arial" w:eastAsia="Arial" w:hAnsi="Arial"/>
                <w:sz w:val="18"/>
                <w:szCs w:val="18"/>
                <w:color w:val="auto"/>
              </w:rPr>
              <w:t>Accrued social insurance adjustment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sale of Ohio call center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 and contract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29"/>
        </w:trPr>
        <w:tc>
          <w:tcPr>
            <w:tcW w:w="694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(11,215)</w:t>
            </w:r>
          </w:p>
        </w:tc>
      </w:tr>
      <w:tr>
        <w:trPr>
          <w:trHeight w:val="229"/>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6940" w:type="dxa"/>
            <w:vAlign w:val="bottom"/>
          </w:tcPr>
          <w:p>
            <w:pPr>
              <w:ind w:left="11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(7,386)</w:t>
            </w:r>
          </w:p>
        </w:tc>
      </w:tr>
      <w:tr>
        <w:trPr>
          <w:trHeight w:val="229"/>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Accrued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23"/>
        </w:trPr>
        <w:tc>
          <w:tcPr>
            <w:tcW w:w="694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Proceeds from sale of Guangzhou factory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51,291</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Refund of deposit received toward sale of Guangzhou factory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(5,053)</w:t>
            </w: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intangible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Payment on sale of Ohio call center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under line of 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Repayments on line of credit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(104,500)</w:t>
            </w: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Treasury stock purchased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(13,824)</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payments in connection with business combinations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23"/>
        </w:trPr>
        <w:tc>
          <w:tcPr>
            <w:tcW w:w="6940" w:type="dxa"/>
            <w:vAlign w:val="bottom"/>
          </w:tcPr>
          <w:p>
            <w:pPr>
              <w:ind w:left="68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(53,318)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(14,132)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67,339</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4,981</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related party vendors.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Universal Electronics Inc. ("UEI"), based in Scottsdale, Arizona, designs, develops, manufactures, ships and supports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In addition, over the past 35 years, we have developed a broad portfolio of patented technologies and a cloud-based connectivity and control software solution that we license to our customers, including many leading Fortune 500 companies.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Distribution methods for our control solutions vary depending on the sales channel. We license our connectivity and control solution technologies across a variety of channels, primarily to original equipment manufacturers ("OEMs"). We distribute remote control devices, integrated circuits, sensors, connected thermostats and AV accessories directly to video and security service providers and OEMs, both domestically and internationally. We also distribute home security sensors and connected thermostats to pro-security installers and hospitality system integrators in the United States and Europe through a network of national and regional distributors and dealers.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sell our wireless control devices and AV accessories under the One For All® and private label brand names to retailers through our international subsidiaries and direct to retailers in key markets, such as in the United States, United Kingdom, Germany, France, Spain, and Italy. We utilize third-party distributors for the retail channel in countries where we do not have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amounts in the accompanying consolidated financial statements have been reclassified to conform to the current year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reclassifications did not have a material effect on our previously reported consolidated balance sheets, net income or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stock-based compensation expense and performance-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common stock warrants. Actual results may differ from these assumptions and estimates, and they may be adjusted as more information becomes available. Any adjustment may be 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and licensing intellectual property that is embedded in these products or licensed to others for use in their products.</w:t>
      </w:r>
    </w:p>
    <w:p>
      <w:pPr>
        <w:spacing w:after="0" w:line="219"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 Product revenue is generated through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Our performance obligations are satisfied over time or at a point in time, depending on the nature of the product. Our contracts have an anticipated duration of less than a year and consideration may be variable based on indeterminate volumes.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license our intellectual property including our patented technologies and database of control codes. We record license revenue for per-unit based licenses when our customers manufacture or ship a product incorporating our intellectual property and we have a present right to payment. We record revenue over the license period for minimum guarantees. We record revenue upon delivery of intellectual property for fixed up-front fee licenses. Tiered royalties are recorded on a straight-line basis according to the forecasted per-unit fees taking into account the pricing tiers.</w:t>
      </w:r>
    </w:p>
    <w:p>
      <w:pPr>
        <w:spacing w:after="0" w:line="198"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represent the value of revenue recognized over time for which we have not yet invoiced the customer. Generally, we</w:t>
      </w:r>
      <w:r>
        <w:rPr>
          <w:rFonts w:ascii="Arial" w:cs="Arial" w:eastAsia="Arial" w:hAnsi="Arial"/>
          <w:sz w:val="18"/>
          <w:szCs w:val="18"/>
          <w:i w:val="1"/>
          <w:iCs w:val="1"/>
          <w:color w:val="auto"/>
        </w:rPr>
        <w:t xml:space="preserve"> </w:t>
      </w:r>
      <w:r>
        <w:rPr>
          <w:rFonts w:ascii="Arial" w:cs="Arial" w:eastAsia="Arial" w:hAnsi="Arial"/>
          <w:sz w:val="18"/>
          <w:szCs w:val="18"/>
          <w:color w:val="auto"/>
        </w:rPr>
        <w:t>invoice the customer within 90 days of revenue recognition.</w:t>
      </w:r>
    </w:p>
    <w:p>
      <w:pPr>
        <w:spacing w:after="0" w:line="197"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A contract liability is recorded when consideration is received from a customer prior to fully satisfying a performance obligation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 Our contract liabilities primarily consist of cash received in advance for non-recurring engineering and tooling services. These contract liabilities will be recognized as revenues when control of the related product or service is transferred to the customer. See Note 12 for further information concerning contract liabilities.</w:t>
      </w:r>
    </w:p>
    <w:p>
      <w:pPr>
        <w:spacing w:after="0" w:line="214"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i w:val="1"/>
          <w:iCs w:val="1"/>
          <w:color w:val="auto"/>
        </w:rPr>
        <w:t xml:space="preserve">Other performance obligations - </w:t>
      </w:r>
      <w:r>
        <w:rPr>
          <w:rFonts w:ascii="Arial" w:cs="Arial" w:eastAsia="Arial" w:hAnsi="Arial"/>
          <w:sz w:val="17"/>
          <w:szCs w:val="17"/>
          <w:color w:val="auto"/>
        </w:rPr>
        <w:t>Payment terms are typically on open credit terms consistent with industry practice and do not have significant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We accrue for discounts and rebates based on historical experience and our expectations regarding future sales to our customers. Accruals for discounts and rebates are recorded as a reduction to sales in the same period as the related revenue. Such discounts were $15.9 million at December 31, 2020 and 2019. Changes in such accruals may be required if future rebates and incentives differ from our estimates.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are recorded at the invoiced amount and do not bear interest. Sales allowances are recognized as reductions of trade receivables to arrive at trade receivables, net if the sales allowances are distributed in customer account credits. See Note 4 for further information concerning our sales allowances.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 for income taxes utilizing the asset and liability approach of accounting for income taxes. Under this approach, deferred taxes represent the future tax consequences expected to occur when the reported amounts of assets and liabilities are recovered or paid. Deferred taxes are presented net as non-current. The provision for income taxes generally represents income taxes paid or payable for the current year plus the change in deferred taxes during the year. Deferred taxes result from the differences between the financial and tax bases of our assets and liabilities and are adjusted for changes in tax rates and tax laws when changes are enacted. Valuation allowances are recorded to reduce deferred tax assets when a judgment is made that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calculation of tax liabilities involves dealing with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 by evaluating both positive and negative evidence that may exist. Any adjustment to the net deferred tax asset valuation allowance would be recorded in the income statement for the period that the adjustment is determined to be required.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Cuts and Jobs Act (the "Tax Act") subjects a U.S. shareholder to tax on Global Intangible Low-Taxed Income ("GILTI") earned by certain foreign subsidiaries. We have elected to account for GILTI in the year the tax is incurred as a period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further information concerning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expense totaled $0.9 million, $0.9 million, and $1.3 million for the years ended December 31, 2020,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include shipping and handling fees billed to customers in net sales. Shipping and handling costs associated with in-bound freight are recorded in cost of sales. Other shipping and handling costs are included in selling, general and administrative expenses. Shipping and handling fees and costs totaled $9.9 million, $13.2 million and $12.2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four years. Forfeitures of stock-based awards are accounted for as they occur. Upon the exercise of stock options or the vesting of restricted stock awards, newly issued shares of our common stock are issued.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trading prices of our common shares on the date they were granted.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The assumptions utilized in the Black-Scholes model include the price of our common stock, the risk-free interest rate, expected volatility, expected life in years and dividend yield. The price of our common stock is equal to the average of the high and low trade prices of our common stock on the grant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 See Note 16 for further information regarding performance-based common stock warrants.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options, restricted stock and common stock warrants, outstanding during the period. Dilutive potential common shares for all periods presented are computed utilizing the treasury stock method; however, dilutive potential common shares are excluded where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instruments consist primarily of cash and cash equivalents, accounts receivable, accounts payable, accrued liabilities, debt and derivatives. The carrying value of our financial instruments, excluding derivatives, approximates fair value as a result of their short maturities. Our derivatives are carried at fair value. See Notes 3, 4, 9, 11, 12 and 19 for further information concerning our financial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three months or less. Domestically, we generally maintain balances in excess of federally insured limits.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an allowance for credit losses for estimated losses on our trade receivables, resulting from the inability of our customers to make payments for products sold or services rendered. The allowance for credit losses is based on a variety of factors, including credit reviews, historical experience, length of time receivables are past due, current economic trends and changes in customer payment behavior.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See Note 4 for further information concerning our allowance for credit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Estimated useful lives are as follows:</w:t>
            </w:r>
          </w:p>
        </w:tc>
        <w:tc>
          <w:tcPr>
            <w:tcW w:w="47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25-33 years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Tooling and equipment</w:t>
            </w:r>
          </w:p>
        </w:tc>
        <w:tc>
          <w:tcPr>
            <w:tcW w:w="4780" w:type="dxa"/>
            <w:vAlign w:val="bottom"/>
          </w:tcPr>
          <w:p>
            <w:pPr>
              <w:ind w:left="540"/>
              <w:spacing w:after="0"/>
              <w:rPr>
                <w:sz w:val="20"/>
                <w:szCs w:val="20"/>
                <w:color w:val="auto"/>
              </w:rPr>
            </w:pPr>
            <w:r>
              <w:rPr>
                <w:rFonts w:ascii="Arial" w:cs="Arial" w:eastAsia="Arial" w:hAnsi="Arial"/>
                <w:sz w:val="18"/>
                <w:szCs w:val="18"/>
                <w:color w:val="auto"/>
              </w:rPr>
              <w:t>2-7 Years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3-5 Years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Software</w:t>
            </w:r>
          </w:p>
        </w:tc>
        <w:tc>
          <w:tcPr>
            <w:tcW w:w="4780" w:type="dxa"/>
            <w:vAlign w:val="bottom"/>
          </w:tcPr>
          <w:p>
            <w:pPr>
              <w:ind w:left="540"/>
              <w:spacing w:after="0"/>
              <w:rPr>
                <w:sz w:val="20"/>
                <w:szCs w:val="20"/>
                <w:color w:val="auto"/>
              </w:rPr>
            </w:pPr>
            <w:r>
              <w:rPr>
                <w:rFonts w:ascii="Arial" w:cs="Arial" w:eastAsia="Arial" w:hAnsi="Arial"/>
                <w:sz w:val="18"/>
                <w:szCs w:val="18"/>
                <w:color w:val="auto"/>
              </w:rPr>
              <w:t>3-7 Years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5-8 Years</w:t>
            </w:r>
          </w:p>
        </w:tc>
      </w:tr>
      <w:tr>
        <w:trPr>
          <w:trHeight w:val="175"/>
        </w:trPr>
        <w:tc>
          <w:tcPr>
            <w:tcW w:w="6440" w:type="dxa"/>
            <w:vAlign w:val="bottom"/>
          </w:tcPr>
          <w:p>
            <w:pPr>
              <w:ind w:left="20"/>
              <w:spacing w:after="0" w:line="176" w:lineRule="exact"/>
              <w:rPr>
                <w:sz w:val="20"/>
                <w:szCs w:val="20"/>
                <w:color w:val="auto"/>
              </w:rPr>
            </w:pPr>
            <w:r>
              <w:rPr>
                <w:rFonts w:ascii="Arial" w:cs="Arial" w:eastAsia="Arial" w:hAnsi="Arial"/>
                <w:sz w:val="18"/>
                <w:szCs w:val="18"/>
                <w:color w:val="auto"/>
              </w:rPr>
              <w:t>Leasehold and building improvements</w:t>
            </w:r>
          </w:p>
        </w:tc>
        <w:tc>
          <w:tcPr>
            <w:tcW w:w="4780" w:type="dxa"/>
            <w:vAlign w:val="bottom"/>
          </w:tcPr>
          <w:p>
            <w:pPr>
              <w:ind w:left="540"/>
              <w:spacing w:after="0" w:line="176" w:lineRule="exact"/>
              <w:rPr>
                <w:sz w:val="20"/>
                <w:szCs w:val="20"/>
                <w:color w:val="auto"/>
              </w:rPr>
            </w:pPr>
            <w:r>
              <w:rPr>
                <w:rFonts w:ascii="Arial" w:cs="Arial" w:eastAsia="Arial" w:hAnsi="Arial"/>
                <w:sz w:val="18"/>
                <w:szCs w:val="18"/>
                <w:color w:val="auto"/>
              </w:rPr>
              <w:t>Lesser of lease term or useful life</w:t>
            </w:r>
          </w:p>
        </w:tc>
      </w:tr>
      <w:tr>
        <w:trPr>
          <w:trHeight w:val="230"/>
        </w:trPr>
        <w:tc>
          <w:tcPr>
            <w:tcW w:w="6440" w:type="dxa"/>
            <w:vAlign w:val="bottom"/>
          </w:tcPr>
          <w:p>
            <w:pPr>
              <w:spacing w:after="0"/>
              <w:rPr>
                <w:sz w:val="20"/>
                <w:szCs w:val="20"/>
                <w:color w:val="auto"/>
              </w:rPr>
            </w:pPr>
          </w:p>
        </w:tc>
        <w:tc>
          <w:tcPr>
            <w:tcW w:w="4780" w:type="dxa"/>
            <w:vAlign w:val="bottom"/>
          </w:tcPr>
          <w:p>
            <w:pPr>
              <w:ind w:left="540"/>
              <w:spacing w:after="0"/>
              <w:rPr>
                <w:sz w:val="20"/>
                <w:szCs w:val="20"/>
                <w:color w:val="auto"/>
              </w:rPr>
            </w:pPr>
            <w:r>
              <w:rPr>
                <w:rFonts w:ascii="Arial" w:cs="Arial" w:eastAsia="Arial" w:hAnsi="Arial"/>
                <w:sz w:val="18"/>
                <w:szCs w:val="18"/>
                <w:color w:val="auto"/>
              </w:rPr>
              <w:t>(approximately 2 to 10 years)</w:t>
            </w:r>
          </w:p>
        </w:tc>
      </w:tr>
      <w:tr>
        <w:trPr>
          <w:trHeight w:val="458"/>
        </w:trPr>
        <w:tc>
          <w:tcPr>
            <w:tcW w:w="6440" w:type="dxa"/>
            <w:vAlign w:val="bottom"/>
          </w:tcPr>
          <w:p>
            <w:pPr>
              <w:spacing w:after="0"/>
              <w:rPr>
                <w:sz w:val="20"/>
                <w:szCs w:val="20"/>
                <w:color w:val="auto"/>
              </w:rPr>
            </w:pPr>
            <w:r>
              <w:rPr>
                <w:rFonts w:ascii="Arial" w:cs="Arial" w:eastAsia="Arial" w:hAnsi="Arial"/>
                <w:sz w:val="18"/>
                <w:szCs w:val="18"/>
                <w:color w:val="auto"/>
                <w:w w:val="99"/>
              </w:rPr>
              <w:t>See Note 6 for further information concerning our property, plant, and equipment.</w:t>
            </w:r>
          </w:p>
        </w:tc>
        <w:tc>
          <w:tcPr>
            <w:tcW w:w="47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one to five years with up to two extensions at the then current market rate. Lease expense for lease payments is recognized on a straight-line basis over the lease term.</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Leases with an initial term of twelve months or less, or on a month-to-month basis,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information concerning our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Intangible assets consist of distribution rights, patents, trademarks and trade names, developed and core technologies, capitalized software development costs and customer relationships. Capitalized amounts related to patents represent external legal costs for the application, maintenance and extension of the useful life of patents. Intangible assets are amortized using the straight-line method over their estimated period of benefit, ranging from two to 15 years.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203" w:lineRule="exact"/>
        <w:rPr>
          <w:sz w:val="20"/>
          <w:szCs w:val="20"/>
          <w:color w:val="auto"/>
        </w:rPr>
      </w:pPr>
    </w:p>
    <w:p>
      <w:pPr>
        <w:ind w:left="660" w:right="20" w:hanging="409"/>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1" w:lineRule="exact"/>
        <w:rPr>
          <w:rFonts w:ascii="Arial" w:cs="Arial" w:eastAsia="Arial" w:hAnsi="Arial"/>
          <w:sz w:val="18"/>
          <w:szCs w:val="18"/>
          <w:color w:val="auto"/>
        </w:rPr>
      </w:pPr>
    </w:p>
    <w:p>
      <w:pPr>
        <w:ind w:left="660" w:hanging="409"/>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ind w:left="660" w:hanging="409"/>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 of earnings estimates or in the timing or likelihood of achieving earnings-based milestones. Contingent consideration is recorded in other accrued liabilities and long-term contingent consideration in our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further information concerning contingent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exposures are primarily concentrated in the Argentinian Peso, Brazilian Real, British Pound, Chinese Yuan Renminbi, Euro, Indian Rupee, Japanese Yen, and Mexican Peso.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measure fair value using the framework established by the FASB in ASC Topic 820,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25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77" w:lineRule="exact"/>
        <w:rPr>
          <w:sz w:val="20"/>
          <w:szCs w:val="20"/>
          <w:color w:val="auto"/>
        </w:rPr>
      </w:pPr>
    </w:p>
    <w:p>
      <w:pPr>
        <w:jc w:val="both"/>
        <w:ind w:left="1020" w:right="20" w:hanging="998"/>
        <w:spacing w:after="0" w:line="224" w:lineRule="auto"/>
        <w:tabs>
          <w:tab w:leader="none" w:pos="1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5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2016-13, "Measurement of Credit Losses on Financial Instruments", which updates existing guidance for measuring and recording credit losses on financial assets measured at amortized cost by replacing the incurred loss impairment model with an expected loss impairment model. Accordingly, financial assets are presented at amortized costs net of an allowance for expected credit losses over the lifetime of the assets. We adopted this new guidance on January 1, 2020 using the modified retrospective method. Our adoption did not result in a cumulative adjustment in our consolidated statement of financial position nor materially impact our consolidated statement of financial position, results of operations and cash flows. See Note 3 for further discussion on our allowance for credit losses.</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2017, the FASB issued ASU 2017-04, "Simplifying the Test for Goodwill Impairment", which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Our adoption on January 1, 2020 did not have a material impact on our consolidated statement of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2019, the FASB issued ASU 2019-08, "Improvements - Share-based Consideration Payable to a Customer", which clarifies the accounting for share-based payments issued as sales incentives to customers. The guidance requires that stock-based compensation expense is recorded as a reduction in the transaction price on the basis of the grant-date fair value. The grant-date fair value is calculated using the provisions defined under Accounting Standards Codification "Stock Compensation". The transition provisions require that equity-classified awards be measured at the adoption date fair value if the measurement date has not been established prior to the adoption date. This guidance impacts the measurement date of our performance-based common stock warrants.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We adopted this guidance using the modified retrospective method. Our adoption did not result in a cumulative adjustment in our consolidated statement of financial position. See Note 16 for further discussion on the performance-based common stock warrants.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Updates Not Yet Effective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FASB issued ASU 2019-12, "Simplifying the Accounting for Income Taxes." This guidance,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ASU 2019-12 is effective for interim and annual periods beginning after December 15, 2020, with early adoption permitted. We do not expect adoption of ASU 2019-12 to have a material impact on our consolidated statement of financial position, results of operations and cash flows.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21,691</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Europe</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Note 4 — Revenue and Accounts Receivable, Net</w:t>
            </w: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6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577,085</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14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119,647</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195,116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103,156</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680,241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55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6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315,214</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Asia (excluding the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117,142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104,324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124,657</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85,228</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88,246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83,677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91,446</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30,954</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w:t>
            </w:r>
          </w:p>
        </w:tc>
      </w:tr>
      <w:tr>
        <w:trPr>
          <w:trHeight w:val="248"/>
        </w:trPr>
        <w:tc>
          <w:tcPr>
            <w:tcW w:w="6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680,241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 totaled more than 10% of our net sales: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1"/>
              </w:rPr>
              <w:t>$ (thousands)</w:t>
            </w:r>
          </w:p>
        </w:tc>
        <w:tc>
          <w:tcPr>
            <w:tcW w:w="960" w:type="dxa"/>
            <w:vAlign w:val="bottom"/>
          </w:tcPr>
          <w:p>
            <w:pPr>
              <w:jc w:val="center"/>
              <w:ind w:right="182"/>
              <w:spacing w:after="0" w:line="130" w:lineRule="exact"/>
              <w:rPr>
                <w:sz w:val="20"/>
                <w:szCs w:val="20"/>
                <w:color w:val="auto"/>
              </w:rPr>
            </w:pPr>
            <w:r>
              <w:rPr>
                <w:rFonts w:ascii="Arial" w:cs="Arial" w:eastAsia="Arial" w:hAnsi="Arial"/>
                <w:sz w:val="14"/>
                <w:szCs w:val="14"/>
                <w:b w:val="1"/>
                <w:bCs w:val="1"/>
                <w:color w:val="auto"/>
                <w:w w:val="96"/>
              </w:rPr>
              <w:t>% of Net</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960" w:type="dxa"/>
            <w:vAlign w:val="bottom"/>
            <w:gridSpan w:val="2"/>
          </w:tcPr>
          <w:p>
            <w:pPr>
              <w:jc w:val="right"/>
              <w:ind w:right="130"/>
              <w:spacing w:after="0" w:line="130"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 (thousands)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255"/>
              <w:spacing w:after="0" w:line="130"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b w:val="1"/>
                <w:bCs w:val="1"/>
                <w:color w:val="auto"/>
                <w:w w:val="81"/>
              </w:rPr>
              <w:t>Sales</w:t>
            </w:r>
          </w:p>
        </w:tc>
        <w:tc>
          <w:tcPr>
            <w:tcW w:w="560" w:type="dxa"/>
            <w:vAlign w:val="bottom"/>
            <w:gridSpan w:val="2"/>
            <w:vMerge w:val="continue"/>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24"/>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123,574</w:t>
            </w:r>
          </w:p>
        </w:tc>
        <w:tc>
          <w:tcPr>
            <w:tcW w:w="3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119,561</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119,809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459"/>
        </w:trPr>
        <w:tc>
          <w:tcPr>
            <w:tcW w:w="262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5"/>
          </w:tcPr>
          <w:p>
            <w:pPr>
              <w:spacing w:after="0"/>
              <w:rPr>
                <w:sz w:val="20"/>
                <w:szCs w:val="20"/>
                <w:color w:val="auto"/>
              </w:rPr>
            </w:pPr>
            <w:r>
              <w:rPr>
                <w:rFonts w:ascii="Arial" w:cs="Arial" w:eastAsia="Arial" w:hAnsi="Arial"/>
                <w:sz w:val="18"/>
                <w:szCs w:val="18"/>
                <w:color w:val="auto"/>
              </w:rPr>
              <w:t>Accounts receivable, net were as follows: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122,828</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130,888</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262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128,773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23"/>
        </w:trPr>
        <w:tc>
          <w:tcPr>
            <w:tcW w:w="26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129,433</w:t>
            </w: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139,198</w:t>
            </w:r>
          </w:p>
        </w:tc>
        <w:tc>
          <w:tcPr>
            <w:tcW w:w="0" w:type="dxa"/>
            <w:vAlign w:val="bottom"/>
          </w:tcPr>
          <w:p>
            <w:pPr>
              <w:spacing w:after="0"/>
              <w:rPr>
                <w:sz w:val="1"/>
                <w:szCs w:val="1"/>
                <w:color w:val="auto"/>
              </w:rPr>
            </w:pPr>
          </w:p>
        </w:tc>
      </w:tr>
      <w:tr>
        <w:trPr>
          <w:trHeight w:val="21"/>
        </w:trPr>
        <w:tc>
          <w:tcPr>
            <w:tcW w:w="262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Credit Losses</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5"/>
          </w:tcPr>
          <w:p>
            <w:pPr>
              <w:spacing w:after="0"/>
              <w:rPr>
                <w:sz w:val="20"/>
                <w:szCs w:val="20"/>
                <w:color w:val="auto"/>
              </w:rPr>
            </w:pPr>
            <w:r>
              <w:rPr>
                <w:rFonts w:ascii="Arial" w:cs="Arial" w:eastAsia="Arial" w:hAnsi="Arial"/>
                <w:sz w:val="18"/>
                <w:szCs w:val="18"/>
                <w:color w:val="auto"/>
                <w:w w:val="91"/>
              </w:rPr>
              <w:t>Changes in the allowance for credit losses were as follows: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w w:val="99"/>
              </w:rPr>
              <w:t>Additions to costs and expenses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receipts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Write-offs/Foreign exchange effects</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Arial" w:cs="Arial" w:eastAsia="Arial" w:hAnsi="Arial"/>
                <w:sz w:val="18"/>
                <w:szCs w:val="18"/>
                <w:color w:val="auto"/>
              </w:rPr>
              <w:t>56</w:t>
            </w: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14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3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89"/>
              </w:rPr>
              <w:t>(thousands)</w:t>
            </w:r>
          </w:p>
        </w:tc>
        <w:tc>
          <w:tcPr>
            <w:tcW w:w="1340" w:type="dxa"/>
            <w:vAlign w:val="bottom"/>
          </w:tcPr>
          <w:p>
            <w:pPr>
              <w:jc w:val="center"/>
              <w:ind w:right="107"/>
              <w:spacing w:after="0" w:line="130" w:lineRule="exact"/>
              <w:rPr>
                <w:sz w:val="20"/>
                <w:szCs w:val="20"/>
                <w:color w:val="auto"/>
              </w:rPr>
            </w:pPr>
            <w:r>
              <w:rPr>
                <w:rFonts w:ascii="Arial" w:cs="Arial" w:eastAsia="Arial" w:hAnsi="Arial"/>
                <w:sz w:val="14"/>
                <w:szCs w:val="14"/>
                <w:b w:val="1"/>
                <w:bCs w:val="1"/>
                <w:color w:val="auto"/>
                <w:w w:val="90"/>
              </w:rPr>
              <w:t>% of Accounts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5"/>
              </w:rPr>
              <w:t>$ (thousands)</w:t>
            </w:r>
          </w:p>
        </w:tc>
        <w:tc>
          <w:tcPr>
            <w:tcW w:w="1700" w:type="dxa"/>
            <w:vAlign w:val="bottom"/>
            <w:gridSpan w:val="2"/>
          </w:tcPr>
          <w:p>
            <w:pPr>
              <w:jc w:val="center"/>
              <w:ind w:right="442"/>
              <w:spacing w:after="0" w:line="130" w:lineRule="exact"/>
              <w:rPr>
                <w:sz w:val="20"/>
                <w:szCs w:val="20"/>
                <w:color w:val="auto"/>
              </w:rPr>
            </w:pPr>
            <w:r>
              <w:rPr>
                <w:rFonts w:ascii="Arial" w:cs="Arial" w:eastAsia="Arial" w:hAnsi="Arial"/>
                <w:sz w:val="14"/>
                <w:szCs w:val="14"/>
                <w:b w:val="1"/>
                <w:bCs w:val="1"/>
                <w:color w:val="auto"/>
                <w:w w:val="90"/>
              </w:rPr>
              <w:t>% of Accounts</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Receivable, Net</w:t>
            </w:r>
          </w:p>
        </w:tc>
        <w:tc>
          <w:tcPr>
            <w:tcW w:w="20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442"/>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463"/>
        </w:trPr>
        <w:tc>
          <w:tcPr>
            <w:tcW w:w="4100" w:type="dxa"/>
            <w:vAlign w:val="bottom"/>
          </w:tcPr>
          <w:p>
            <w:pPr>
              <w:ind w:left="20"/>
              <w:spacing w:after="0"/>
              <w:rPr>
                <w:sz w:val="20"/>
                <w:szCs w:val="20"/>
                <w:color w:val="auto"/>
              </w:rPr>
            </w:pPr>
            <w:r>
              <w:rPr>
                <w:rFonts w:ascii="Arial" w:cs="Arial" w:eastAsia="Arial" w:hAnsi="Arial"/>
                <w:sz w:val="18"/>
                <w:szCs w:val="18"/>
                <w:color w:val="auto"/>
              </w:rPr>
              <w:t>Dish Network Corporation</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jc w:val="right"/>
              <w:ind w:right="36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2"/>
                <w:szCs w:val="12"/>
                <w:color w:val="auto"/>
              </w:rPr>
              <w:t xml:space="preserve"> (1)</w:t>
            </w:r>
          </w:p>
        </w:tc>
        <w:tc>
          <w:tcPr>
            <w:tcW w:w="1680" w:type="dxa"/>
            <w:vAlign w:val="bottom"/>
            <w:gridSpan w:val="2"/>
          </w:tcPr>
          <w:p>
            <w:pPr>
              <w:ind w:left="940"/>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2"/>
                <w:szCs w:val="12"/>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14,677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10.5 %</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24"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Trade receivables associated with this customer did not total more than 10% of our accounts receivable, net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and Significant Suppliers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16,954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24,599</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62,658</w:t>
            </w: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145,135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our supplier, Qorvo International Pte Ltd., totaled $43.5 million or 14.2% of our total inventory purchases for the year ended December 31, 2020. No supplier totaled 10% or more of our total inventory purchases for the years ended December 31, 2019 and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supplier totaled 10% or more of our accounts payable balance at December 31, 2020. Accounts payable from our supplier, Zhejiang Zhen You Electronics Co. Ltd., totaled $11.4 million or 11.1% of our accounts payable balance at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2018,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Total inventory purchases made from this supplier while it was a related party were $1.1 million during the twelve months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9,935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Leasehold and building improvements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37,527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Software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25,910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32,267</w:t>
            </w: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234,236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222,388</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(135,254)</w:t>
            </w: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87,134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90,732</w:t>
            </w: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$23.2 million, $24.7 million and $26.4 million for the years ended December 31, 2020, 2019, and 2018, respectively.</w:t>
      </w:r>
    </w:p>
    <w:p>
      <w:pPr>
        <w:spacing w:after="0" w:line="2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year ended December 31, 2018, we incurred $2.9 million in impairment on tooling and equipment as a result of the transition of manufacturing operations between our PRC-based manufacturing facilities following the closure of our Guangzhou factory, which was sold in 2018. We incurred an additional $0.1 million and $2.0 million of impairment on factory equipment during the years ended December 31, 2019 and 2018, respectively, as a result of the transition of certain manufacturing operations out of the PRC in response to tariffs enacted in the U.S. in 2018 on certain products manufactured in the PRC and imported into the U.S. These impairment charges, aggregating to $0.1 million and $4.9 million, are recorded within cost of sales for the year ended December 31, 2019 and 2018, respectively. Impairment charges were immaterial for the year ended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8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and building improvements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Tooling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construction in progress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2021. We will begin to depreciate the cost of these assets under construction once they are placed into service.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67,625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long-lived tangible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 Goodwill and Intangible Assets, Net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78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Changes in the carrying amount of goodwill were as follows: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effects</w:t>
            </w:r>
          </w:p>
        </w:tc>
        <w:tc>
          <w:tcPr>
            <w:tcW w:w="4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effects</w:t>
            </w:r>
          </w:p>
        </w:tc>
        <w:tc>
          <w:tcPr>
            <w:tcW w:w="4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annual goodwill impairment reviews on December 31, 2020, 2019, and 2018.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8"/>
                <w:szCs w:val="18"/>
                <w:b w:val="1"/>
                <w:bCs w:val="1"/>
                <w:color w:val="auto"/>
                <w:vertAlign w:val="superscript"/>
              </w:rPr>
              <w:t>(1)</w:t>
            </w:r>
          </w:p>
        </w:tc>
        <w:tc>
          <w:tcPr>
            <w:tcW w:w="3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Capitalized software development costs (2</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2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(25,956)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(10-15 years)</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years)</w:t>
            </w: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Distribution rights (10 years)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(10 years)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Trademarks and trade names</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 years)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328"/>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$42.7 million and $7.4 million on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95"/>
        </w:trPr>
        <w:tc>
          <w:tcPr>
            <w:tcW w:w="8600" w:type="dxa"/>
            <w:vAlign w:val="bottom"/>
            <w:gridSpan w:val="5"/>
          </w:tcPr>
          <w:p>
            <w:pPr>
              <w:spacing w:after="0"/>
              <w:rPr>
                <w:sz w:val="20"/>
                <w:szCs w:val="20"/>
                <w:color w:val="auto"/>
              </w:rPr>
            </w:pPr>
            <w:r>
              <w:rPr>
                <w:rFonts w:ascii="Arial" w:cs="Arial" w:eastAsia="Arial" w:hAnsi="Arial"/>
                <w:sz w:val="18"/>
                <w:szCs w:val="18"/>
                <w:color w:val="auto"/>
                <w:w w:val="94"/>
              </w:rPr>
              <w:t>Estimated future annual amortization expense related to our intangible assets at December 31, 2020, is as follows: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6.6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December 31, 2020, our operating leases had remaining lease terms of up to 40 years, including any reasonably probable extensions.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under the Company's operating leases during the years ended December 31, 2018, prior to our adoption of the new lease guidance on January 1, 2019, was $4.9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2019</w:t>
            </w:r>
          </w:p>
        </w:tc>
      </w:tr>
      <w:tr>
        <w:trPr>
          <w:trHeight w:val="215"/>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15,639</w:t>
            </w:r>
          </w:p>
        </w:tc>
      </w:tr>
      <w:tr>
        <w:trPr>
          <w:trHeight w:val="223"/>
        </w:trPr>
        <w:tc>
          <w:tcPr>
            <w:tcW w:w="7840" w:type="dxa"/>
            <w:vAlign w:val="bottom"/>
          </w:tcPr>
          <w:p>
            <w:pPr>
              <w:ind w:left="76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20,542</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an impairment of a ROU asset of $0.8 million during the fourth quarter of the year ended December 31, 2019. This impairment was associated with the sale of our call center in Euclid, Ohio, which was completed in February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6,617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41"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640" w:type="dxa"/>
            <w:vAlign w:val="bottom"/>
          </w:tcPr>
          <w:p>
            <w:pPr>
              <w:jc w:val="right"/>
              <w:spacing w:after="0"/>
              <w:rPr>
                <w:sz w:val="20"/>
                <w:szCs w:val="20"/>
                <w:color w:val="auto"/>
              </w:rPr>
            </w:pPr>
            <w:r>
              <w:rPr>
                <w:rFonts w:ascii="Arial" w:cs="Arial" w:eastAsia="Arial" w:hAnsi="Arial"/>
                <w:sz w:val="18"/>
                <w:szCs w:val="18"/>
                <w:color w:val="auto"/>
              </w:rPr>
              <w:t>3.84 %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4.50 %</w:t>
            </w:r>
          </w:p>
        </w:tc>
      </w:tr>
    </w:tbl>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December 31, 2020. The reconciliation excludes short-term leases that are not recorded on the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5"/>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6,128</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2,172</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2020, we had four operating leases that had not yet commenced with terms ranging from approximately two to four years. The total initial lease liability associated with these leases is $0.4 million, which is not reflected within the maturity schedule above. On January 29, 2021, we entered into an agreement with the landlord of our Euclid, Ohio lease and the buyer of our call center, thereby releasing us from all obligations under the lease. The associated December 31, 2020 lease liability of $0.7 million was reversed in January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Rental costs associated with operating leases incurred during a construction period were expensed for the years ended December 31, 2020, 2019 and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operate one factory within the PRC on which the land is leased from the government as of December 31, 2020. This land lease was prepaid to the PRC government at the time our subsidiary occupied the land. We have obtained a land-use right certificate for the land pertaining to this factory.</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factory is located in the city of Yangzhou in the Jiangsu province. The remaining net book value of this operating lease ROU was $2.4 million at December 31, 2020, and is being amortized on a straight-line basis over the remaining term of approximately 38 years. The buildings located on this land had a net book value of $16.9 million at December 31, 2020 and are being depreciated over a remaining weighted average period of 19 years.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Line of Credit</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November 1, 2019, we extended the term of our Second Amended and Restated Credit Agreement ("Second Amended Credit Agreement") with U.S. Bank National Association ("U.S. Bank") to November 1, 2021. The Second Amended Credit Agreement provided for a $130.0 million revolving line of credit ("Credit Line") through June 30, 2019 and currently provides for a $125.0 million Credit Line through its expiration date.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December 31, 2020. On January 7, 2021, we executed an amendment to extend the term of our Second Amended Credit Agreement to November 1, 2022.</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December 31, 2020 and 2019 were 1.39% and 3.03%, respectively. There are no commitment fees or unused line fees under the Second Amended Credit Agreement. The amendment executed on January 7, 2021 defines the Secured Overnight Financing Rate ("SOFR") as a replacement benchmark for LIBOR upon its phase out.</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2020, we were in compliance with the covenants and conditions of the Second Amended Credit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we had $20.0 million outstanding under the Credit Line. Our total interest expense on borrowings was $1.6 million, $4.3 million and $5.0 million during the years ended December 31, 2020, 2019 and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2020, 2019 and 2018, pre-tax income (loss) was attributed to the following jurisdictions: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2"/>
              </w:rPr>
              <w:t>(15,711)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2"/>
              </w:rPr>
              <w:t>(28,929)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2"/>
              </w:rPr>
              <w:t>(28,482)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90"/>
              </w:rPr>
              <w:t>59,616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39,331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54,648</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0"/>
              </w:rPr>
              <w:t>43,905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7"/>
              </w:rPr>
              <w:t>10,402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7"/>
              </w:rPr>
              <w:t>26,166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2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1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1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Deferred tax (benefit) expense:</w:t>
            </w: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1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1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deferred tax assets were comprised of the following:</w:t>
            </w:r>
          </w:p>
        </w:tc>
        <w:tc>
          <w:tcPr>
            <w:tcW w:w="1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Capitalized inventory costs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Income tax credits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reserves</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obligations</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80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39,119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credit losses</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19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before valuation allowance</w:t>
            </w:r>
          </w:p>
        </w:tc>
        <w:tc>
          <w:tcPr>
            <w:tcW w:w="1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19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(24,797)</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63</w:t>
            </w: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at statutory U.S. rate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Increase (decrease) in tax provision resulting from:</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research and development credits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Foreign permanent benefit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(7,077)</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tax rate differential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Foreign undistributed earnings, net of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5,329</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Non-deductible items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Non-territorial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to return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State and local taxes,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Tax rate change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Withholding tax</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2020, we had federal and state Research and Experimentation ("R&amp;E") income tax credit carryforwards of $3.7 million and $11.3 million, respectively. The federal R&amp;E income tax credits begin expiring in 2038. The state R&amp;E income tax credits do not have an expiration 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we had state and foreign net operating loss carryforwards of $37.3 million and $0.5 million, respectively. The state and foreign net operating loss carryforwards begin to expire in 2026 and 2023, respectively.</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2020,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our deferred tax assets, we established a valuation allowance against certain deferred tax assets. Our historic valuation allowance primarily relates to state R&amp;E income tax credits generated during the prior years and current year. We had cumulative operating losses for the three years ended in 2020 for our U.S. federal and state operations and accordingly, have provided a full valuation allowance on our U.S. federal and state deferred tax assets of $13.3 million and $14.4 million, respectively, as we have determined that it is more likely than not that the tax benefits will not be realized in the future. Additionally, we recorded a valuation allowance of $0.3 million at December 31, 2020 related to certain deferred tax assets in our Argentina office due to sustained losses in that jurisdiction. If and when recognized, the tax benefits relating to any reversal of the valuation allowance will be recorded as a reduction of income tax expense. The valuation allowance increased by $3.1 million and $7.5 million during the years ended December 31, 2020 and 2019,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and 2019, we had unrecognized tax benefits of approximately $3.1 million and $4.3 million, respectively, including interest and penalties. We have elected to classify interest and penalties as components of tax expense. Interest and penalties were immaterial for the year ended December 31, 2020. Interest and penalties were $0.2 million and $0.5 million for the years ended December 31, 2019 and 2018, respectively. Interest and penalties are included in the unrecognized tax benefits.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Lapse in statute of limitations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Approximately $3.0 million, $4.3 million and $4.3 million of the total amount of unrecognized tax benefits at December 31, 2020, 2019 and 2018, respectively, if not for the state R&amp;E income tax credit valuation allowance, would affect the annual effective tax rate, if recognized. We are unaware of any positions for which it is reasonably possible that the total amounts of unrecognized tax benefits will significantly increase within the next twelve months. We do not anticipate a decrease in unrecognized tax benefits within the next twelve months based on federal, state, and foreign statute expirations in various jurisdictions. We have classified uncertain tax positions as non-current income tax liabilities unless expected to be paid within one year.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As of December 31, 2020, the open statutes of limitations for our significant tax jurisdictions are as follows: federal for 2017 through 2019, state for 2016 through 2019, and foreign for 2014 through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Cuts and Jobs Act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Tax Act was enacted in the U.S. on December 22, 2017. The Tax Act reduced the U.S. federal corporate income tax rate to 21% from 35%, required companies to pay a one-time transition tax on earnings of certain foreign subsidiaries that were previously tax deferred and created new taxes on certain foreign-sourced earnings. For the year ended December 31, 2018, we completed our analysis and accounting for the Tax Act, recording tax expense for the one-time transition tax liability related to undistributed earnings of certain foreign subsidiaries that were not previously taxed, adjusting deferred tax assets and liabilities, and recognizing the effects of electing to account for GILTI as a period cost.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Reinvestment Assertion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foreign subsidiaries, including potential foreign withholding taxes on distributions. Historically, the undistributed earnings of our foreign subsidiaries were considered to be indefinitely reinvested and no provision for U.S. federal and state income taxes or foreign withholding taxes had been provided on U.S. earnings. This assertion was changed in 2018. For the years ended December 31, 2020, 2019 and 2018, we recorded a deferred tax liability of $2.1 million, $1.7 million and $1.2 million, respectively, relating to state tax and foreign tax withholding liabilities on future distributions.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Security Act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("CARES") Act was signed into law. The CARES Act provides economic stimulus and relief to address the impact of the COVID-19 pandemic. For the year ended December 31, 2020, our income tax expense was not significantly impacted by the CARES Act. We will continue to closely monitor the impact of the COVID-19 pandemic, as well as any effects from future legislation.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Accrued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by the amount associated with the Guangzhou entity, which was approximately $9.5 million.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r>
      <w:tr>
        <w:trPr>
          <w:trHeight w:val="230"/>
        </w:trPr>
        <w:tc>
          <w:tcPr>
            <w:tcW w:w="7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16,588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60" w:hanging="328"/>
        <w:spacing w:after="0" w:line="238" w:lineRule="auto"/>
        <w:tabs>
          <w:tab w:leader="none" w:pos="64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2020 and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 costs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taxes and value added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Short-term contingent consideration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5,428</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other accrued liabilities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35,445</w:t>
            </w: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Includes $0.3 million and $0.5 million of contract liabilities at December 31,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Guangzhou Factory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26, 2016, we entered into an agreement to sell our Guangzhou manufacturing facility for RMB 320 million. In accordance with the terms of the agreement, the buyer deposited 10% of the purchase price into an escrow account upon the execution of the agreement. In April 2018, we and the buyer mutually agreed to terminate the sale. The mutually agreed termination took effect immediately with no incremental penalty or costs to either party. In connection with this termination, the deposit was returned to the buyer.</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2018, we entered into a new agreement to sell our Guangzhou manufacturing facility to a second buyer for RMB 339 million (approximately $51.4 million based on exchange rates in effect at the time of closing). On April 26, 2018, the second buyer paid to us a deposit of RMB 34 million (approximately $5.1 million based on exchange rates in effect at the time of closing), which under the terms of the agreement was nonrefundable. Upon receipt by the Governmental Agency of the second buyer’s application of approval of transfer, the second buyer was to pay to us RMB 237 million (approximately $35.8 million based on exchange rates in effect at the time of closing). Additionally, within two days after the second payment was made to us, the second buyer was to deposit the remaining consideration of RMB 68 million (approximately $10.3 million based on exchange rates in effect at the time of closing) into escrow, which was to be released to us upon the closing of the sale. Per the terms of the agreement, the sale was to be completed no later than June 30, 2018. On June 26, 2018, all conditions to closing were satisfied and the sale was completed, resulting in a pre-tax gain of $37.0 million ($32.1 million, net of income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Restructuring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2018, we implemented a plan to relocate our corporate office from Santa Ana, California to Scottsdale, Arizona and to relocate our Asian engineering leadership, supply chain and customer support functions from Hong Kong to our other facilities in the PRC. In connection with these restructuring activities, we incurred severance costs of $0.4 million and $0.9 million during the years ended December 31, 2019 and 2018, respectively, which are included within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Partes Review requests (see discussion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The discovery phase of this investigation has been completed and trial is set to commence on April 19,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and October 2019, Roku filed Inter Partes Review ("IPR") requests with the PTAB on the nine patents at issue in the 2018 Lawsuit (see discussion above). To date, the PTAB has denied Roku's request with respect to three of the nine patents and granted Roku's request with respect to six of the nine patents. As for those IPRs for which the PTAB granted Roku's request for review, we will vigorously defend our patents. In May and June 2020, Roku filed four IPR requests against three patents asserted in the ITC investigation. We have responded to these requests and are awaiting the PTAB decision in early- to mid-2021. On February 11, 2021, Roku filed an additional IPR with respect to one of the patents asserted against it in the April 2020 District Court actions (see decision below for a description of the April 2020 District Court actions).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District Court Actions against each of Roku, TCL, Hisense, and Funai related to the ITC Matter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stayed pending the results of the ITC investigation mentioned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this complaint, we,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We,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Ecolink and RCS are asking the CIT to declare that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us, Ecolink and RCS; to permanently enjoin the U.S. government from applying Lists 3 and 4A duties against us, Ecolink and RCS; and award us, Ecolink and RCS our costs and reasonable attorney fees.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Government has requested an automatic stay of all pending cases challenging the Lists 3 and 4A tariffs except for one or more "test cases." It proposed the first-filed case—the case filed by HMTX—as the test case. The government also asked the court to appoint a "steering committee" consisting of several lead counsel for the plaintiffs to direct the litigation. The government proposed a bifurcated briefing schedule, under which the parties would first brief the government's upcoming motion to dismiss before briefing the merits of plaintiffs' claims. We will agree to a stay in our case. HMTX has filed a response agreeing to the stay and to being the test case but opposed the Government's proposed briefing schedule.</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10, 2021, the CIT's three-judge panel issued an order establishing a master case for filings that relate to some or all of the Section 301 cases. It also establishes a deadline of March 12, 2021 for the government to file a "master answer" to all the complaints. We are still awaiting the CIT's decision on other case management procedures and processes.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2020 based on its latest actuarial report. The India Plan has an independent external manager that advises us of the appropriate funding contribution requirements to which we comply. At December 31, 2020, approximately 57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2020 and 2019 for the India Plan was not material. During the years ended December 31, 2020, 2019, and 2018, the net periodic benefit costs were also not material.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On October 28, 2020, our Board of Directors approved a new repurchase plan with an effective date of November 10, 2020 (the "November 2020 Program"). Pursuant to the November 2020 Program, we may, from time to time until February 18, 2021, repurchase up to 500,000 shares. At December 31, 2020, we had 500,000 shares of common stock authorized for repurchase remaining under the November 2020 Program. On February 11, 2021, our Board approved a new share repurchase program with an effective date of February 23, 2021 (the "February 2021 Program"). Pursuant to the February 2021 Program, we may, from time to time until May 6, 2021, repurchase up to 300,000 shares of our common stock.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17,678</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13,824</w:t>
            </w: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6,491</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employee and director stock-based compensation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1,870</w:t>
            </w:r>
          </w:p>
        </w:tc>
      </w:tr>
      <w:tr>
        <w:trPr>
          <w:trHeight w:val="364"/>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412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2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17.70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14.26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2.51 %</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43.95 %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2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809"/>
        </w:trPr>
        <w:tc>
          <w:tcPr>
            <w:tcW w:w="4120" w:type="dxa"/>
            <w:vAlign w:val="bottom"/>
          </w:tcPr>
          <w:p>
            <w:pPr>
              <w:spacing w:after="0"/>
              <w:rPr>
                <w:sz w:val="24"/>
                <w:szCs w:val="24"/>
                <w:color w:val="auto"/>
              </w:rPr>
            </w:pPr>
          </w:p>
        </w:tc>
        <w:tc>
          <w:tcPr>
            <w:tcW w:w="2280" w:type="dxa"/>
            <w:vAlign w:val="bottom"/>
          </w:tcPr>
          <w:p>
            <w:pPr>
              <w:jc w:val="right"/>
              <w:ind w:right="590"/>
              <w:spacing w:after="0"/>
              <w:rPr>
                <w:sz w:val="20"/>
                <w:szCs w:val="20"/>
                <w:color w:val="auto"/>
              </w:rPr>
            </w:pPr>
            <w:r>
              <w:rPr>
                <w:rFonts w:ascii="Arial" w:cs="Arial" w:eastAsia="Arial" w:hAnsi="Arial"/>
                <w:sz w:val="18"/>
                <w:szCs w:val="18"/>
                <w:color w:val="auto"/>
              </w:rPr>
              <w:t>70</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3"/>
                <w:szCs w:val="13"/>
                <w:color w:val="auto"/>
                <w:w w:val="89"/>
              </w:rPr>
              <w:t>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3"/>
                <w:szCs w:val="13"/>
                <w:color w:val="auto"/>
                <w:w w:val="89"/>
              </w:rPr>
              <w:t>2019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3"/>
                <w:szCs w:val="13"/>
                <w:color w:val="auto"/>
                <w:w w:val="82"/>
              </w:rPr>
              <w:t>2018</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1"/>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12" w:lineRule="exact"/>
              <w:rPr>
                <w:sz w:val="20"/>
                <w:szCs w:val="20"/>
                <w:color w:val="auto"/>
              </w:rPr>
            </w:pPr>
            <w:r>
              <w:rPr>
                <w:rFonts w:ascii="Arial" w:cs="Arial" w:eastAsia="Arial" w:hAnsi="Arial"/>
                <w:sz w:val="11"/>
                <w:szCs w:val="11"/>
                <w:color w:val="auto"/>
                <w:w w:val="87"/>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87"/>
              </w:rPr>
              <w:t>Weighted-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Arial" w:cs="Arial" w:eastAsia="Arial" w:hAnsi="Arial"/>
                <w:sz w:val="11"/>
                <w:szCs w:val="11"/>
                <w:color w:val="auto"/>
                <w:w w:val="91"/>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2"/>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0"/>
              </w:rPr>
              <w:t>Aggregate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w w:val="87"/>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Arial" w:cs="Arial" w:eastAsia="Arial" w:hAnsi="Arial"/>
                <w:sz w:val="11"/>
                <w:szCs w:val="11"/>
                <w:color w:val="auto"/>
                <w:w w:val="87"/>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w w:val="86"/>
              </w:rPr>
              <w:t>Aggregate</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Arial" w:cs="Arial" w:eastAsia="Arial" w:hAnsi="Arial"/>
                <w:sz w:val="11"/>
                <w:szCs w:val="11"/>
                <w:color w:val="auto"/>
                <w:w w:val="91"/>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Arial" w:cs="Arial" w:eastAsia="Arial" w:hAnsi="Arial"/>
                <w:sz w:val="11"/>
                <w:szCs w:val="11"/>
                <w:color w:val="auto"/>
                <w:w w:val="87"/>
              </w:rPr>
              <w:t>Average</w:t>
            </w:r>
          </w:p>
        </w:tc>
        <w:tc>
          <w:tcPr>
            <w:tcW w:w="80" w:type="dxa"/>
            <w:vAlign w:val="bottom"/>
          </w:tcPr>
          <w:p>
            <w:pPr>
              <w:spacing w:after="0"/>
              <w:rPr>
                <w:sz w:val="9"/>
                <w:szCs w:val="9"/>
                <w:color w:val="auto"/>
              </w:rPr>
            </w:pPr>
          </w:p>
        </w:tc>
        <w:tc>
          <w:tcPr>
            <w:tcW w:w="580" w:type="dxa"/>
            <w:vAlign w:val="bottom"/>
            <w:vMerge w:val="restart"/>
          </w:tcPr>
          <w:p>
            <w:pPr>
              <w:jc w:val="center"/>
              <w:ind w:right="26"/>
              <w:spacing w:after="0"/>
              <w:rPr>
                <w:sz w:val="20"/>
                <w:szCs w:val="20"/>
                <w:color w:val="auto"/>
              </w:rPr>
            </w:pPr>
            <w:r>
              <w:rPr>
                <w:rFonts w:ascii="Arial" w:cs="Arial" w:eastAsia="Arial" w:hAnsi="Arial"/>
                <w:sz w:val="11"/>
                <w:szCs w:val="11"/>
                <w:color w:val="auto"/>
                <w:w w:val="90"/>
              </w:rPr>
              <w:t>Aggregate</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93"/>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7"/>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Arial" w:cs="Arial" w:eastAsia="Arial" w:hAnsi="Arial"/>
                <w:sz w:val="11"/>
                <w:szCs w:val="11"/>
                <w:color w:val="auto"/>
                <w:w w:val="91"/>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Arial" w:cs="Arial" w:eastAsia="Arial" w:hAnsi="Arial"/>
                <w:sz w:val="11"/>
                <w:szCs w:val="11"/>
                <w:color w:val="auto"/>
                <w:w w:val="91"/>
              </w:rPr>
              <w:t>Remaining</w:t>
            </w: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8"/>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1"/>
                <w:szCs w:val="11"/>
                <w:color w:val="auto"/>
                <w:w w:val="94"/>
              </w:rPr>
              <w:t>Intrinsic</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8"/>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1"/>
                <w:szCs w:val="11"/>
                <w:color w:val="auto"/>
                <w:w w:val="94"/>
              </w:rPr>
              <w:t>Intrinsic</w:t>
            </w: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Arial" w:cs="Arial" w:eastAsia="Arial" w:hAnsi="Arial"/>
                <w:sz w:val="11"/>
                <w:szCs w:val="11"/>
                <w:color w:val="auto"/>
                <w:w w:val="82"/>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8"/>
              </w:rPr>
              <w:t>Contractual</w:t>
            </w:r>
          </w:p>
        </w:tc>
        <w:tc>
          <w:tcPr>
            <w:tcW w:w="80" w:type="dxa"/>
            <w:vAlign w:val="bottom"/>
          </w:tcPr>
          <w:p>
            <w:pPr>
              <w:spacing w:after="0"/>
              <w:rPr>
                <w:sz w:val="9"/>
                <w:szCs w:val="9"/>
                <w:color w:val="auto"/>
              </w:rPr>
            </w:pPr>
          </w:p>
        </w:tc>
        <w:tc>
          <w:tcPr>
            <w:tcW w:w="580" w:type="dxa"/>
            <w:vAlign w:val="bottom"/>
          </w:tcPr>
          <w:p>
            <w:pPr>
              <w:jc w:val="center"/>
              <w:ind w:right="46"/>
              <w:spacing w:after="0" w:line="108" w:lineRule="exact"/>
              <w:rPr>
                <w:sz w:val="20"/>
                <w:szCs w:val="20"/>
                <w:color w:val="auto"/>
              </w:rPr>
            </w:pPr>
            <w:r>
              <w:rPr>
                <w:rFonts w:ascii="Arial" w:cs="Arial" w:eastAsia="Arial" w:hAnsi="Arial"/>
                <w:sz w:val="11"/>
                <w:szCs w:val="11"/>
                <w:color w:val="auto"/>
                <w:w w:val="94"/>
              </w:rPr>
              <w:t>Intrinsic</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Arial" w:cs="Arial" w:eastAsia="Arial" w:hAnsi="Arial"/>
                <w:sz w:val="11"/>
                <w:szCs w:val="11"/>
                <w:color w:val="auto"/>
                <w:w w:val="89"/>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5"/>
              </w:rPr>
              <w:t>Term</w:t>
            </w: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Arial" w:cs="Arial" w:eastAsia="Arial" w:hAnsi="Arial"/>
                <w:sz w:val="11"/>
                <w:szCs w:val="11"/>
                <w:color w:val="auto"/>
                <w:w w:val="92"/>
              </w:rPr>
              <w:t>Value</w:t>
            </w:r>
          </w:p>
        </w:tc>
        <w:tc>
          <w:tcPr>
            <w:tcW w:w="620" w:type="dxa"/>
            <w:vAlign w:val="bottom"/>
          </w:tcPr>
          <w:p>
            <w:pPr>
              <w:jc w:val="center"/>
              <w:spacing w:after="0" w:line="108" w:lineRule="exact"/>
              <w:rPr>
                <w:sz w:val="20"/>
                <w:szCs w:val="20"/>
                <w:color w:val="auto"/>
              </w:rPr>
            </w:pPr>
            <w:r>
              <w:rPr>
                <w:rFonts w:ascii="Arial" w:cs="Arial" w:eastAsia="Arial" w:hAnsi="Arial"/>
                <w:sz w:val="11"/>
                <w:szCs w:val="11"/>
                <w:color w:val="auto"/>
                <w:w w:val="89"/>
              </w:rPr>
              <w:t>Options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1"/>
                <w:szCs w:val="11"/>
                <w:color w:val="auto"/>
                <w:w w:val="85"/>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5"/>
              </w:rPr>
              <w:t>Term</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1"/>
                <w:szCs w:val="11"/>
                <w:color w:val="auto"/>
                <w:w w:val="85"/>
              </w:rPr>
              <w:t>Value</w:t>
            </w:r>
          </w:p>
        </w:tc>
        <w:tc>
          <w:tcPr>
            <w:tcW w:w="660" w:type="dxa"/>
            <w:vAlign w:val="bottom"/>
          </w:tcPr>
          <w:p>
            <w:pPr>
              <w:jc w:val="center"/>
              <w:spacing w:after="0" w:line="108"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Arial" w:cs="Arial" w:eastAsia="Arial" w:hAnsi="Arial"/>
                <w:sz w:val="11"/>
                <w:szCs w:val="11"/>
                <w:color w:val="auto"/>
                <w:w w:val="89"/>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5"/>
              </w:rPr>
              <w:t>Term</w:t>
            </w:r>
          </w:p>
        </w:tc>
        <w:tc>
          <w:tcPr>
            <w:tcW w:w="80" w:type="dxa"/>
            <w:vAlign w:val="bottom"/>
          </w:tcPr>
          <w:p>
            <w:pPr>
              <w:spacing w:after="0"/>
              <w:rPr>
                <w:sz w:val="9"/>
                <w:szCs w:val="9"/>
                <w:color w:val="auto"/>
              </w:rPr>
            </w:pPr>
          </w:p>
        </w:tc>
        <w:tc>
          <w:tcPr>
            <w:tcW w:w="580" w:type="dxa"/>
            <w:vAlign w:val="bottom"/>
          </w:tcPr>
          <w:p>
            <w:pPr>
              <w:jc w:val="center"/>
              <w:ind w:right="26"/>
              <w:spacing w:after="0" w:line="108" w:lineRule="exact"/>
              <w:rPr>
                <w:sz w:val="20"/>
                <w:szCs w:val="20"/>
                <w:color w:val="auto"/>
              </w:rPr>
            </w:pPr>
            <w:r>
              <w:rPr>
                <w:rFonts w:ascii="Arial" w:cs="Arial" w:eastAsia="Arial" w:hAnsi="Arial"/>
                <w:sz w:val="11"/>
                <w:szCs w:val="11"/>
                <w:color w:val="auto"/>
                <w:w w:val="92"/>
              </w:rPr>
              <w:t>Value</w:t>
            </w:r>
          </w:p>
        </w:tc>
        <w:tc>
          <w:tcPr>
            <w:tcW w:w="0" w:type="dxa"/>
            <w:vAlign w:val="bottom"/>
          </w:tcPr>
          <w:p>
            <w:pPr>
              <w:spacing w:after="0"/>
              <w:rPr>
                <w:sz w:val="1"/>
                <w:szCs w:val="1"/>
                <w:color w:val="auto"/>
              </w:rPr>
            </w:pPr>
          </w:p>
        </w:tc>
      </w:tr>
      <w:tr>
        <w:trPr>
          <w:trHeight w:val="136"/>
        </w:trPr>
        <w:tc>
          <w:tcPr>
            <w:tcW w:w="20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(in years)</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(in 000's)</w:t>
            </w:r>
          </w:p>
        </w:tc>
        <w:tc>
          <w:tcPr>
            <w:tcW w:w="62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(in years)</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(in 000's)</w:t>
            </w:r>
          </w:p>
        </w:tc>
        <w:tc>
          <w:tcPr>
            <w:tcW w:w="66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(in years)</w:t>
            </w:r>
          </w:p>
        </w:tc>
        <w:tc>
          <w:tcPr>
            <w:tcW w:w="80" w:type="dxa"/>
            <w:vAlign w:val="bottom"/>
          </w:tcPr>
          <w:p>
            <w:pPr>
              <w:spacing w:after="0"/>
              <w:rPr>
                <w:sz w:val="11"/>
                <w:szCs w:val="11"/>
                <w:color w:val="auto"/>
              </w:rPr>
            </w:pPr>
          </w:p>
        </w:tc>
        <w:tc>
          <w:tcPr>
            <w:tcW w:w="580" w:type="dxa"/>
            <w:vAlign w:val="bottom"/>
          </w:tcPr>
          <w:p>
            <w:pPr>
              <w:jc w:val="center"/>
              <w:ind w:right="26"/>
              <w:spacing w:after="0"/>
              <w:rPr>
                <w:sz w:val="20"/>
                <w:szCs w:val="20"/>
                <w:color w:val="auto"/>
              </w:rPr>
            </w:pPr>
            <w:r>
              <w:rPr>
                <w:rFonts w:ascii="Arial" w:cs="Arial" w:eastAsia="Arial" w:hAnsi="Arial"/>
                <w:sz w:val="11"/>
                <w:szCs w:val="11"/>
                <w:color w:val="auto"/>
                <w:w w:val="93"/>
              </w:rPr>
              <w:t>(in 000's)</w:t>
            </w: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Outstanding at beginning of the year</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41.73</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44.27</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520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42.56</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Arial" w:cs="Arial" w:eastAsia="Arial" w:hAnsi="Arial"/>
                <w:sz w:val="11"/>
                <w:szCs w:val="11"/>
                <w:color w:val="auto"/>
              </w:rPr>
              <w:t>Granted</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30.08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40"/>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35.28</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1,334</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20.34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569</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w w:val="91"/>
              </w:rPr>
              <w:t>(35)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24.67</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744</w:t>
            </w: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Arial" w:cs="Arial" w:eastAsia="Arial" w:hAnsi="Arial"/>
                <w:sz w:val="11"/>
                <w:szCs w:val="11"/>
                <w:color w:val="auto"/>
              </w:rPr>
              <w:t>Forfeited/canceled/expired</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500"/>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14"/>
                <w:szCs w:val="14"/>
                <w:color w:val="auto"/>
                <w:vertAlign w:val="superscript"/>
              </w:rPr>
              <w:t>(1)</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774</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43.01</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3.71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9,228</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41.73</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3.97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9,798</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1"/>
                <w:szCs w:val="11"/>
                <w:color w:val="auto"/>
              </w:rPr>
              <w:t>597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44.27</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4.08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758</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95" w:lineRule="exact"/>
              <w:rPr>
                <w:sz w:val="20"/>
                <w:szCs w:val="20"/>
                <w:color w:val="auto"/>
              </w:rPr>
            </w:pPr>
            <w:r>
              <w:rPr>
                <w:rFonts w:ascii="Arial" w:cs="Arial" w:eastAsia="Arial" w:hAnsi="Arial"/>
                <w:sz w:val="11"/>
                <w:szCs w:val="11"/>
                <w:color w:val="auto"/>
                <w:w w:val="88"/>
              </w:rPr>
              <w:t>Vested and expected to vest at the end of the</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00" w:type="dxa"/>
            <w:vAlign w:val="bottom"/>
            <w:vMerge w:val="continue"/>
          </w:tcPr>
          <w:p>
            <w:pPr>
              <w:spacing w:after="0"/>
              <w:rPr>
                <w:sz w:val="4"/>
                <w:szCs w:val="4"/>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774</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43.01</w:t>
            </w:r>
          </w:p>
        </w:tc>
        <w:tc>
          <w:tcPr>
            <w:tcW w:w="880" w:type="dxa"/>
            <w:vAlign w:val="bottom"/>
            <w:gridSpan w:val="3"/>
            <w:vMerge w:val="restart"/>
          </w:tcPr>
          <w:p>
            <w:pPr>
              <w:jc w:val="center"/>
              <w:ind w:left="84"/>
              <w:spacing w:after="0"/>
              <w:rPr>
                <w:sz w:val="20"/>
                <w:szCs w:val="20"/>
                <w:color w:val="auto"/>
              </w:rPr>
            </w:pPr>
            <w:r>
              <w:rPr>
                <w:rFonts w:ascii="Arial" w:cs="Arial" w:eastAsia="Arial" w:hAnsi="Arial"/>
                <w:sz w:val="11"/>
                <w:szCs w:val="11"/>
                <w:color w:val="auto"/>
                <w:w w:val="83"/>
              </w:rPr>
              <w:t>3.71</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9,228</w:t>
            </w:r>
          </w:p>
        </w:tc>
        <w:tc>
          <w:tcPr>
            <w:tcW w:w="120" w:type="dxa"/>
            <w:vAlign w:val="bottom"/>
          </w:tcPr>
          <w:p>
            <w:pPr>
              <w:spacing w:after="0"/>
              <w:rPr>
                <w:sz w:val="4"/>
                <w:szCs w:val="4"/>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745</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41.73</w:t>
            </w:r>
          </w:p>
        </w:tc>
        <w:tc>
          <w:tcPr>
            <w:tcW w:w="880" w:type="dxa"/>
            <w:vAlign w:val="bottom"/>
            <w:gridSpan w:val="3"/>
            <w:vMerge w:val="restart"/>
          </w:tcPr>
          <w:p>
            <w:pPr>
              <w:jc w:val="center"/>
              <w:ind w:left="84"/>
              <w:spacing w:after="0"/>
              <w:rPr>
                <w:sz w:val="20"/>
                <w:szCs w:val="20"/>
                <w:color w:val="auto"/>
              </w:rPr>
            </w:pPr>
            <w:r>
              <w:rPr>
                <w:rFonts w:ascii="Arial" w:cs="Arial" w:eastAsia="Arial" w:hAnsi="Arial"/>
                <w:sz w:val="11"/>
                <w:szCs w:val="11"/>
                <w:color w:val="auto"/>
                <w:w w:val="83"/>
              </w:rPr>
              <w:t>3.97</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9,798</w:t>
            </w:r>
          </w:p>
        </w:tc>
        <w:tc>
          <w:tcPr>
            <w:tcW w:w="120" w:type="dxa"/>
            <w:vAlign w:val="bottom"/>
          </w:tcPr>
          <w:p>
            <w:pPr>
              <w:spacing w:after="0"/>
              <w:rPr>
                <w:sz w:val="4"/>
                <w:szCs w:val="4"/>
                <w:color w:val="auto"/>
              </w:rPr>
            </w:pPr>
          </w:p>
        </w:tc>
        <w:tc>
          <w:tcPr>
            <w:tcW w:w="660" w:type="dxa"/>
            <w:vAlign w:val="bottom"/>
            <w:vMerge w:val="restart"/>
          </w:tcPr>
          <w:p>
            <w:pPr>
              <w:ind w:left="440"/>
              <w:spacing w:after="0"/>
              <w:rPr>
                <w:sz w:val="20"/>
                <w:szCs w:val="20"/>
                <w:color w:val="auto"/>
              </w:rPr>
            </w:pPr>
            <w:r>
              <w:rPr>
                <w:rFonts w:ascii="Arial" w:cs="Arial" w:eastAsia="Arial" w:hAnsi="Arial"/>
                <w:sz w:val="11"/>
                <w:szCs w:val="11"/>
                <w:color w:val="auto"/>
              </w:rPr>
              <w:t>597</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44.27</w:t>
            </w:r>
          </w:p>
        </w:tc>
        <w:tc>
          <w:tcPr>
            <w:tcW w:w="880" w:type="dxa"/>
            <w:vAlign w:val="bottom"/>
            <w:gridSpan w:val="3"/>
            <w:vMerge w:val="restart"/>
          </w:tcPr>
          <w:p>
            <w:pPr>
              <w:jc w:val="center"/>
              <w:ind w:left="84"/>
              <w:spacing w:after="0"/>
              <w:rPr>
                <w:sz w:val="20"/>
                <w:szCs w:val="20"/>
                <w:color w:val="auto"/>
              </w:rPr>
            </w:pPr>
            <w:r>
              <w:rPr>
                <w:rFonts w:ascii="Arial" w:cs="Arial" w:eastAsia="Arial" w:hAnsi="Arial"/>
                <w:sz w:val="11"/>
                <w:szCs w:val="11"/>
                <w:color w:val="auto"/>
                <w:w w:val="83"/>
              </w:rPr>
              <w:t>4.08</w:t>
            </w:r>
          </w:p>
        </w:tc>
        <w:tc>
          <w:tcPr>
            <w:tcW w:w="100" w:type="dxa"/>
            <w:vAlign w:val="bottom"/>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758</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rPr>
                <w:sz w:val="20"/>
                <w:szCs w:val="20"/>
                <w:color w:val="auto"/>
              </w:rPr>
            </w:pPr>
            <w:r>
              <w:rPr>
                <w:rFonts w:ascii="Arial" w:cs="Arial" w:eastAsia="Arial" w:hAnsi="Arial"/>
                <w:sz w:val="11"/>
                <w:szCs w:val="11"/>
                <w:color w:val="auto"/>
              </w:rPr>
              <w:t xml:space="preserve">year </w:t>
            </w:r>
            <w:r>
              <w:rPr>
                <w:rFonts w:ascii="Arial" w:cs="Arial" w:eastAsia="Arial" w:hAnsi="Arial"/>
                <w:sz w:val="14"/>
                <w:szCs w:val="14"/>
                <w:color w:val="auto"/>
                <w:vertAlign w:val="superscript"/>
              </w:rPr>
              <w:t>(1)</w:t>
            </w:r>
          </w:p>
        </w:tc>
        <w:tc>
          <w:tcPr>
            <w:tcW w:w="6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14"/>
                <w:szCs w:val="14"/>
                <w:color w:val="auto"/>
                <w:vertAlign w:val="superscript"/>
              </w:rPr>
              <w:t>(1)</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43.90</w:t>
            </w:r>
          </w:p>
        </w:tc>
        <w:tc>
          <w:tcPr>
            <w:tcW w:w="880" w:type="dxa"/>
            <w:vAlign w:val="bottom"/>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2.98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6,887</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44.95</w:t>
            </w:r>
          </w:p>
        </w:tc>
        <w:tc>
          <w:tcPr>
            <w:tcW w:w="880" w:type="dxa"/>
            <w:vAlign w:val="bottom"/>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3.01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430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42.30</w:t>
            </w:r>
          </w:p>
        </w:tc>
        <w:tc>
          <w:tcPr>
            <w:tcW w:w="880" w:type="dxa"/>
            <w:vAlign w:val="bottom"/>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3.43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69" w:lineRule="auto"/>
        <w:tabs>
          <w:tab w:leader="none" w:pos="64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2020, 2019, and 2018 and the exercise price, multiplied by the number of in-the-money options) that would have been received by the option holders had they all exercised their options on December 31, 2020, 2019, and 2018. This amount will change based on the fair market value of our stock.</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value of shares withheld in lieu of receiving cash from option exercises in the year ended December 31, 2020 was $2.8 million. Cash received from option exercises for the years ended December 31, 2019 and 2018 was $0.4 million and $0.9 million, respectively. The actual tax benefit realized from option exercises was $0.3 million, $0.01 million and $0.2 million for the years ended December 31, 2020, 2019, and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2020 and the related weighted average exercise price and life information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Options Outstanding</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ind w:left="480"/>
              <w:spacing w:after="0" w:line="135" w:lineRule="exact"/>
              <w:rPr>
                <w:sz w:val="20"/>
                <w:szCs w:val="20"/>
                <w:color w:val="auto"/>
              </w:rPr>
            </w:pPr>
            <w:r>
              <w:rPr>
                <w:rFonts w:ascii="Arial" w:cs="Arial" w:eastAsia="Arial" w:hAnsi="Arial"/>
                <w:sz w:val="14"/>
                <w:szCs w:val="14"/>
                <w:b w:val="1"/>
                <w:bCs w:val="1"/>
                <w:color w:val="auto"/>
              </w:rPr>
              <w:t>Remaining</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1"/>
                <w:szCs w:val="11"/>
                <w:color w:val="auto"/>
              </w:rPr>
            </w:pP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 (in</w:t>
            </w:r>
          </w:p>
        </w:tc>
        <w:tc>
          <w:tcPr>
            <w:tcW w:w="1340" w:type="dxa"/>
            <w:vAlign w:val="bottom"/>
            <w:gridSpan w:val="3"/>
            <w:vMerge w:val="continue"/>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2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000's)</w:t>
            </w: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(in 000's)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4"/>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$19.25 to $27.07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$35.28 to $46.17</w:t>
            </w: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$51.38 to $65.54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we expect to recognize $2.2 million of total unrecognized pre-tax stock-based compensation expense related to non-vested stock options over a remaining weighted-average life of 1.8 years.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11, 2021, certain executive employees were granted 80,315 stock options in connection with the 2020 annual review cycle. The options were granted as part of long-term incentive compensation to assist us in meeting our performance and retention objectives and are subject to a three-year vesting period (33.33% on February 11, 2021 and 8.33% each quarter thereafter). The total grant date fair value of these awards was $1.9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2018</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155"/>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000's)</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Arial" w:cs="Arial" w:eastAsia="Arial" w:hAnsi="Arial"/>
                <w:sz w:val="18"/>
                <w:szCs w:val="18"/>
                <w:color w:val="auto"/>
              </w:rPr>
              <w:t>Non-vested at beginning of the year</w:t>
            </w: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49.23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Non-vested at end of the year</w:t>
            </w: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expect to recognize $8.4 million of total unrecognized pre-tax stock-based compensation expense related to non-vested restricted stock awards over a weighted-average life of 1.7 years.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2021, certain executives and employees were granted 111,775 restricted stock awards in connection with the 2020 annual review cycle. These awards were granted as part of long-term incentive compensation to assist us in meeting our performance and retention objectives and are subject to a three-year vesting period (32,395 of these awards will vest 33.33% on February 11, 2022 and 8.33% each quarter thereafter and 79,380 of these awards will vest at a rate of 33.33% per year beginning on February 25, 2022). The total grant date fair value of these awards was $6.7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2003, 2006, 2010, 2014 and 2018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 or four-year time frame. Stock options have a maximum ten-year term. Restricted stock awards vest in various proportions over a one- to three-year time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Initial Shares</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Remaining Shares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35"/>
        </w:trPr>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Approval Date</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Available for Grant</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Available for Grant</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88"/>
        </w:trPr>
        <w:tc>
          <w:tcPr>
            <w:tcW w:w="40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Under the Plan</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Under the Plan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Under the Plan</w:t>
            </w:r>
          </w:p>
        </w:tc>
        <w:tc>
          <w:tcPr>
            <w:tcW w:w="0" w:type="dxa"/>
            <w:vAlign w:val="bottom"/>
          </w:tcPr>
          <w:p>
            <w:pPr>
              <w:spacing w:after="0"/>
              <w:rPr>
                <w:sz w:val="1"/>
                <w:szCs w:val="1"/>
                <w:color w:val="auto"/>
              </w:rPr>
            </w:pPr>
          </w:p>
        </w:tc>
      </w:tr>
      <w:tr>
        <w:trPr>
          <w:trHeight w:val="224"/>
        </w:trPr>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2003</w:t>
            </w:r>
          </w:p>
        </w:tc>
        <w:tc>
          <w:tcPr>
            <w:tcW w:w="3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Stock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6/18/2003</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2006</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6/13/2006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25,275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2010</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Incentive Plan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123,131</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2014</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6/12/2014</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357,860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2018</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and Incentive Compensation Plan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6/4/2018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223,199</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627,545</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223,199</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1,148,202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Performance-Based Common Stock Warrants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potential number of warrants to vest in each period based upon achieving these purchase levels.</w:t>
      </w:r>
    </w:p>
    <w:p>
      <w:pPr>
        <w:sectPr>
          <w:pgSz w:w="11900" w:h="16838" w:orient="portrait"/>
          <w:cols w:equalWidth="0" w:num="1">
            <w:col w:w="11240"/>
          </w:cols>
          <w:pgMar w:left="320" w:top="118" w:right="339" w:bottom="1440" w:gutter="0" w:footer="0" w:header="0"/>
        </w:sect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Aggregate Level of Purchases by Comcast and Affiliates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$260 million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$300 million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$340 million</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Maximum Potential Warrants Earned by Comcast</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4"/>
          <w:szCs w:val="14"/>
          <w:b w:val="1"/>
          <w:bCs w:val="1"/>
          <w:color w:val="auto"/>
        </w:rPr>
        <w:t>Potential Warrants To Vest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2016 -</w:t>
            </w:r>
          </w:p>
        </w:tc>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2018 -</w:t>
            </w:r>
          </w:p>
        </w:tc>
        <w:tc>
          <w:tcPr>
            <w:tcW w:w="1640" w:type="dxa"/>
            <w:vAlign w:val="bottom"/>
            <w:tcBorders>
              <w:top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January 1, 2020 -</w:t>
            </w:r>
          </w:p>
        </w:tc>
      </w:tr>
      <w:tr>
        <w:trPr>
          <w:trHeight w:val="188"/>
        </w:trPr>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3"/>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-633730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-334010</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118" w:right="339" w:bottom="144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had exceeded $340 million during either the first or second two-year period, the amount of any such excess would count towards aggregate purchases in the following two-year period. This threshold was not met in either the first or second two-year period. For the two-year period ended December 31, 2017, Comcast earned and vested in 175,000 out of the maximum potential 250,000 warrants. For the two-year period ended December 31, 2019, Comcast earned and vested in 100,000 out of the maximum potential 250,000 warrants. At December 31, 2020,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the warrants contain performance criteria under which Comcast must achieve specified aggregate purchase levels for the warrants to vest, as detailed above, the measurement date for the warrants for the first two-year successive periods was the date on which the warrants vested.</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December 31, 2020, none of the warrants had vested for the two-year period beginning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4120" w:type="dxa"/>
            <w:vAlign w:val="bottom"/>
          </w:tcPr>
          <w:p>
            <w:pPr>
              <w:jc w:val="right"/>
              <w:spacing w:after="0"/>
              <w:rPr>
                <w:sz w:val="20"/>
                <w:szCs w:val="20"/>
                <w:color w:val="auto"/>
              </w:rPr>
            </w:pPr>
            <w:r>
              <w:rPr>
                <w:rFonts w:ascii="Arial" w:cs="Arial" w:eastAsia="Arial" w:hAnsi="Arial"/>
                <w:sz w:val="18"/>
                <w:szCs w:val="18"/>
                <w:color w:val="auto"/>
              </w:rPr>
              <w:t>$52.21</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120" w:type="dxa"/>
            <w:vAlign w:val="bottom"/>
          </w:tcPr>
          <w:p>
            <w:pPr>
              <w:jc w:val="right"/>
              <w:spacing w:after="0"/>
              <w:rPr>
                <w:sz w:val="20"/>
                <w:szCs w:val="20"/>
                <w:color w:val="auto"/>
              </w:rPr>
            </w:pPr>
            <w:r>
              <w:rPr>
                <w:rFonts w:ascii="Arial" w:cs="Arial" w:eastAsia="Arial" w:hAnsi="Arial"/>
                <w:sz w:val="18"/>
                <w:szCs w:val="18"/>
                <w:color w:val="auto"/>
              </w:rPr>
              <w:t>48.86 %</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 to the adoption of the new guidance on January 1, 2020, we adjusted the estimated weighted average fair value of the warrants each period. The assumptions we utilized in the Black-Scholes option pricing model and the resulting weighted average fair value of the warrants were the following:</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$58.01</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48.90 %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43.16 %</w:t>
            </w: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the number of warrants that will vest based on projected future purchases that will be made by Comcast and its affiliates. These estimates may increase or decrease based on actual future purchases. The aggregate unrecognized estimated fair value of unvested warrants at December 31, 2020 was $0.6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Income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(4,987)</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27"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19 for further information concerning our foreign currency exchange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38,572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11,924</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38,572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11,924</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88"/>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r>
      <w:tr>
        <w:trPr>
          <w:trHeight w:val="224"/>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390</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118</w:t>
            </w:r>
          </w:p>
        </w:tc>
      </w:tr>
      <w:tr>
        <w:trPr>
          <w:trHeight w:val="22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175</w:t>
            </w:r>
          </w:p>
        </w:tc>
      </w:tr>
      <w:tr>
        <w:trPr>
          <w:trHeight w:val="621"/>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Note 19 — Derivatives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9"/>
        </w:trPr>
        <w:tc>
          <w:tcPr>
            <w:tcW w:w="5320" w:type="dxa"/>
            <w:vAlign w:val="bottom"/>
            <w:gridSpan w:val="8"/>
          </w:tcPr>
          <w:p>
            <w:pPr>
              <w:spacing w:after="0"/>
              <w:rPr>
                <w:sz w:val="20"/>
                <w:szCs w:val="20"/>
                <w:color w:val="auto"/>
              </w:rPr>
            </w:pPr>
            <w:r>
              <w:rPr>
                <w:rFonts w:ascii="Arial" w:cs="Arial" w:eastAsia="Arial" w:hAnsi="Arial"/>
                <w:sz w:val="18"/>
                <w:szCs w:val="18"/>
                <w:color w:val="auto"/>
              </w:rPr>
              <w:t>The following table sets forth the total net fair value of derivatives: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5"/>
              </w:rPr>
              <w:t>December 31, 2019</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19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10"/>
          </w:tcPr>
          <w:p>
            <w:pPr>
              <w:jc w:val="center"/>
              <w:ind w:left="36"/>
              <w:spacing w:after="0"/>
              <w:rPr>
                <w:sz w:val="20"/>
                <w:szCs w:val="20"/>
                <w:color w:val="auto"/>
              </w:rPr>
            </w:pPr>
            <w:r>
              <w:rPr>
                <w:rFonts w:ascii="Arial" w:cs="Arial" w:eastAsia="Arial" w:hAnsi="Arial"/>
                <w:sz w:val="14"/>
                <w:szCs w:val="14"/>
                <w:b w:val="1"/>
                <w:bCs w:val="1"/>
                <w:color w:val="auto"/>
                <w:w w:val="93"/>
              </w:rPr>
              <w:t>Fair Value Measurement Using</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0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Level 1</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gridSpan w:val="4"/>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Balance</w:t>
            </w:r>
          </w:p>
        </w:tc>
      </w:tr>
      <w:tr>
        <w:trPr>
          <w:trHeight w:val="229"/>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(172)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loss of $0.3 million, a net pre-tax loss of $0.1 million, and a net pre-tax gain of $0.5 million for the years ended December 31, 2020, 2019, and 2018, respectively. See Note 17 for further information concerning our foreign currency exchange contracts.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Gain/(Loss) Recorded</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at Balance Sheet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00" w:type="dxa"/>
            <w:vAlign w:val="bottom"/>
            <w:vMerge w:val="restart"/>
          </w:tcPr>
          <w:p>
            <w:pPr>
              <w:spacing w:after="0"/>
              <w:rPr>
                <w:sz w:val="11"/>
                <w:szCs w:val="11"/>
                <w:color w:val="auto"/>
              </w:rPr>
            </w:pPr>
          </w:p>
        </w:tc>
        <w:tc>
          <w:tcPr>
            <w:tcW w:w="19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Currency</w:t>
            </w:r>
          </w:p>
        </w:tc>
        <w:tc>
          <w:tcPr>
            <w:tcW w:w="120" w:type="dxa"/>
            <w:vAlign w:val="bottom"/>
            <w:vMerge w:val="restart"/>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Date</w:t>
            </w:r>
          </w:p>
        </w:tc>
        <w:tc>
          <w:tcPr>
            <w:tcW w:w="16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line="189"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19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USD/Chinese Yuan</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6.5370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30"/>
        </w:trPr>
        <w:tc>
          <w:tcPr>
            <w:tcW w:w="2140" w:type="dxa"/>
            <w:vAlign w:val="bottom"/>
            <w:gridSpan w:val="2"/>
            <w:vMerge w:val="continue"/>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3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5.1714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29"/>
        </w:trPr>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USD/Mexican Peso</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20.1915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175"/>
        </w:trPr>
        <w:tc>
          <w:tcPr>
            <w:tcW w:w="21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2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USD/Chinese Yuan</w:t>
            </w: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6.9867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w w:val="89"/>
              </w:rPr>
              <w:t>January 23, 2020</w:t>
            </w:r>
          </w:p>
        </w:tc>
        <w:tc>
          <w:tcPr>
            <w:tcW w:w="0" w:type="dxa"/>
            <w:vAlign w:val="bottom"/>
          </w:tcPr>
          <w:p>
            <w:pPr>
              <w:spacing w:after="0"/>
              <w:rPr>
                <w:sz w:val="1"/>
                <w:szCs w:val="1"/>
                <w:color w:val="auto"/>
              </w:rPr>
            </w:pPr>
          </w:p>
        </w:tc>
      </w:tr>
      <w:tr>
        <w:trPr>
          <w:trHeight w:val="230"/>
        </w:trPr>
        <w:tc>
          <w:tcPr>
            <w:tcW w:w="2140" w:type="dxa"/>
            <w:vAlign w:val="bottom"/>
            <w:gridSpan w:val="2"/>
            <w:vMerge w:val="continue"/>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3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4.0560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30"/>
        </w:trPr>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4.0870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60" w:right="220" w:hanging="328"/>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$1.2 million, $0.9 million and $1.1 million of expense for company contributions for the years ended December 31, 2020, 2019, and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Financial Data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151,778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156,264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51,084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12,158</w:t>
            </w:r>
          </w:p>
        </w:tc>
      </w:tr>
      <w:tr>
        <w:trPr>
          <w:trHeight w:val="270"/>
        </w:trPr>
        <w:tc>
          <w:tcPr>
            <w:tcW w:w="5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809"/>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174,694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49,857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7,027</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bl>
    <w:p>
      <w:pPr>
        <w:spacing w:after="0" w:line="202" w:lineRule="exact"/>
        <w:rPr>
          <w:sz w:val="20"/>
          <w:szCs w:val="20"/>
          <w:color w:val="auto"/>
        </w:rPr>
      </w:pPr>
    </w:p>
    <w:p>
      <w:pPr>
        <w:ind w:left="660" w:right="820" w:hanging="328"/>
        <w:spacing w:after="0" w:line="317" w:lineRule="auto"/>
        <w:tabs>
          <w:tab w:leader="none" w:pos="648"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2020.</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2020 that have materially affected, or are reasonably likely to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Universal Electronics Inc. (a Delaware corporation) and subsidiaries (the "Company") as of December 31, 2020,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2020, and our report dated March 5, 2021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2021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Code of Conduct. </w:t>
      </w:r>
      <w:r>
        <w:rPr>
          <w:rFonts w:ascii="Arial" w:cs="Arial" w:eastAsia="Arial" w:hAnsi="Arial"/>
          <w:sz w:val="16"/>
          <w:szCs w:val="16"/>
          <w:color w:val="auto"/>
        </w:rPr>
        <w:t>We have adopted a code of conduct that applies to all of our employees, including without limitation our principal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6"/>
          <w:szCs w:val="16"/>
          <w:u w:val="single" w:color="auto"/>
          <w:color w:val="auto"/>
        </w:rPr>
        <w:t>www.uei.com</w:t>
      </w:r>
      <w:r>
        <w:rPr>
          <w:rFonts w:ascii="Arial" w:cs="Arial" w:eastAsia="Arial" w:hAnsi="Arial"/>
          <w:sz w:val="16"/>
          <w:szCs w:val="16"/>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2021 Annual Meeting of Stockholders to be filed pursuant to Regulation 14A promulgated by the Securities and Exchange Commission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Information required by Items 402 and 407(e)(4) and (e)(5) of Regulation S-K will be contained in and is hereby incorporated by reference to our definitive Proxy Statement for our 2021 Annual Meeting of Stockholders to be filed pursuant to Regulation 14A promulgated by the SEC under the Exchange Act.</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Item 403 of Regulation S-K will be contained in and is hereby incorporated by reference to our definitive Proxy Statement for our 2021 Annual Meeting of Stockholders to be filed pursuant to Regulation 14A promulgated by the SEC under the Exchange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issued upon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35"/>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warrants and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88"/>
        </w:trPr>
        <w:tc>
          <w:tcPr>
            <w:tcW w:w="598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and rights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223,199</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223,199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15" for a description of each of our stock incentive plans.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required by Items 404 and 407(a) of Regulation S-K will be contained in and is hereby incorporated by reference to our definitive Proxy Statement for our 2021 Annual Meeting of Stockholders to be filed pursuant to Regulation 14A promulgated by the SEC under the Exchange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will be contained in and is hereby incorporated by reference to our definitive Proxy Statement for our 2021 Annual Meeting of Stockholders to be filed pursuant to Regulation 14A promulgated by the SEC under the Exchange Act.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2"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248"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25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93"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15147 N. Scottsdale Road, Suite H300, Scottsdale, Arizona 85254.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vMerge w:val="restart"/>
          </w:tcPr>
          <w:p>
            <w:pPr>
              <w:spacing w:after="0"/>
              <w:rPr>
                <w:sz w:val="14"/>
                <w:szCs w:val="14"/>
                <w:color w:val="auto"/>
              </w:rPr>
            </w:pPr>
          </w:p>
        </w:tc>
        <w:tc>
          <w:tcPr>
            <w:tcW w:w="608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608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1"/>
                <w:szCs w:val="21"/>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6"/>
              </w:rPr>
              <w:t>Restated Certificate of Incorporation of Universal Electronics Inc., as amended (incorporated by reference to Exhibit 3.1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rPr>
              <w:t>Form S-1 Registration filed on or about December 24, 1992 (File No. 33-56358)) (paper file)</w:t>
            </w:r>
          </w:p>
        </w:tc>
        <w:tc>
          <w:tcPr>
            <w:tcW w:w="0" w:type="dxa"/>
            <w:vAlign w:val="bottom"/>
          </w:tcPr>
          <w:p>
            <w:pPr>
              <w:spacing w:after="0"/>
              <w:rPr>
                <w:sz w:val="1"/>
                <w:szCs w:val="1"/>
                <w:color w:val="auto"/>
              </w:rPr>
            </w:pPr>
          </w:p>
        </w:tc>
      </w:tr>
      <w:tr>
        <w:trPr>
          <w:trHeight w:val="229"/>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19"/>
                <w:szCs w:val="19"/>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4"/>
              </w:rPr>
              <w:t>Certificate of Amendment to Restated Certificate of Incorporation of Universal Electronics Inc. (incorporated by reference to Exhibit 3.3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9"/>
              </w:rPr>
              <w:t>Company's Annual Report on Form 10-K for the year ended December 31, 1995 filed on April 1, 1996 (File No. 0-21044)) (paper file)</w:t>
            </w:r>
          </w:p>
        </w:tc>
        <w:tc>
          <w:tcPr>
            <w:tcW w:w="0" w:type="dxa"/>
            <w:vAlign w:val="bottom"/>
          </w:tcPr>
          <w:p>
            <w:pPr>
              <w:spacing w:after="0"/>
              <w:rPr>
                <w:sz w:val="1"/>
                <w:szCs w:val="1"/>
                <w:color w:val="auto"/>
              </w:rPr>
            </w:pPr>
          </w:p>
        </w:tc>
      </w:tr>
      <w:tr>
        <w:trPr>
          <w:trHeight w:val="242"/>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3.3</w:t>
            </w:r>
          </w:p>
        </w:tc>
        <w:tc>
          <w:tcPr>
            <w:tcW w:w="180" w:type="dxa"/>
            <w:vAlign w:val="bottom"/>
          </w:tcPr>
          <w:p>
            <w:pPr>
              <w:spacing w:after="0"/>
              <w:rPr>
                <w:sz w:val="21"/>
                <w:szCs w:val="21"/>
                <w:color w:val="auto"/>
              </w:rPr>
            </w:pPr>
          </w:p>
        </w:tc>
        <w:tc>
          <w:tcPr>
            <w:tcW w:w="10560" w:type="dxa"/>
            <w:vAlign w:val="bottom"/>
            <w:gridSpan w:val="20"/>
          </w:tcPr>
          <w:p>
            <w:pPr>
              <w:ind w:left="20"/>
              <w:spacing w:after="0"/>
              <w:rPr>
                <w:rFonts w:ascii="Arial" w:cs="Arial" w:eastAsia="Arial" w:hAnsi="Arial"/>
                <w:sz w:val="18"/>
                <w:szCs w:val="18"/>
                <w:color w:val="0000FF"/>
                <w:w w:val="94"/>
              </w:rPr>
            </w:pPr>
            <w:hyperlink r:id="rId98">
              <w:r>
                <w:rPr>
                  <w:rFonts w:ascii="Arial" w:cs="Arial" w:eastAsia="Arial" w:hAnsi="Arial"/>
                  <w:sz w:val="18"/>
                  <w:szCs w:val="18"/>
                  <w:color w:val="0000FF"/>
                  <w:w w:val="94"/>
                </w:rPr>
                <w:t>Certificate of Amendment to Restated Certificate of Incorporation of Universal Electronics Inc. (incorporated by reference to Exhibit 3.3 to the</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60" w:type="dxa"/>
            <w:vAlign w:val="bottom"/>
            <w:tcBorders>
              <w:top w:val="single" w:sz="8" w:color="0000FF"/>
            </w:tcBorders>
            <w:gridSpan w:val="10"/>
          </w:tcPr>
          <w:p>
            <w:pPr>
              <w:ind w:left="2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Company's Annual Report on Form 10-K for the year ended December 31, 2017 filed on March 13, 2018 (File No. 0-21044))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18"/>
                <w:szCs w:val="18"/>
                <w:color w:val="auto"/>
              </w:rPr>
            </w:pPr>
          </w:p>
        </w:tc>
        <w:tc>
          <w:tcPr>
            <w:tcW w:w="10560" w:type="dxa"/>
            <w:vAlign w:val="bottom"/>
            <w:gridSpan w:val="20"/>
          </w:tcPr>
          <w:p>
            <w:pPr>
              <w:ind w:left="20"/>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Amended and Restated By-laws of Universal Electronics Inc. (incorporated by reference to Exhibit 3.4 to the Company's Annual Report on</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80" w:type="dxa"/>
            <w:vAlign w:val="bottom"/>
            <w:tcBorders>
              <w:top w:val="single" w:sz="8" w:color="0000FF"/>
            </w:tcBorders>
            <w:gridSpan w:val="11"/>
          </w:tcPr>
          <w:p>
            <w:pPr>
              <w:ind w:left="20"/>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Form 10-K for the year ended December 31, 2017 filed on March 13, 2018 (File No.0-21044))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1"/>
                <w:szCs w:val="21"/>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6"/>
              </w:rPr>
              <w:t>Article Eighth of our Restated Certificate of Incorporation, as amended, contains certain provisions restricting business combinations with</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560" w:type="dxa"/>
            <w:vAlign w:val="bottom"/>
            <w:gridSpan w:val="20"/>
          </w:tcPr>
          <w:p>
            <w:pPr>
              <w:ind w:left="20"/>
              <w:spacing w:after="0" w:line="176" w:lineRule="exact"/>
              <w:rPr>
                <w:sz w:val="20"/>
                <w:szCs w:val="20"/>
                <w:color w:val="auto"/>
              </w:rPr>
            </w:pPr>
            <w:r>
              <w:rPr>
                <w:rFonts w:ascii="Arial" w:cs="Arial" w:eastAsia="Arial" w:hAnsi="Arial"/>
                <w:sz w:val="18"/>
                <w:szCs w:val="18"/>
                <w:color w:val="auto"/>
                <w:w w:val="91"/>
              </w:rPr>
              <w:t>interested stockholders under certain circumstances and imposing higher voting requirements for the approval of certain transactions unless the</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560" w:type="dxa"/>
            <w:vAlign w:val="bottom"/>
            <w:gridSpan w:val="20"/>
          </w:tcPr>
          <w:p>
            <w:pPr>
              <w:ind w:left="20"/>
              <w:spacing w:after="0" w:line="176" w:lineRule="exact"/>
              <w:rPr>
                <w:sz w:val="20"/>
                <w:szCs w:val="20"/>
                <w:color w:val="auto"/>
              </w:rPr>
            </w:pPr>
            <w:r>
              <w:rPr>
                <w:rFonts w:ascii="Arial" w:cs="Arial" w:eastAsia="Arial" w:hAnsi="Arial"/>
                <w:sz w:val="18"/>
                <w:szCs w:val="18"/>
                <w:color w:val="auto"/>
                <w:w w:val="92"/>
              </w:rPr>
              <w:t>transaction has been approved by two-thirds of the disinterested directors or fair price provisions have been met. (incorporated by reference to</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560" w:type="dxa"/>
            <w:vAlign w:val="bottom"/>
            <w:gridSpan w:val="20"/>
          </w:tcPr>
          <w:p>
            <w:pPr>
              <w:ind w:left="20"/>
              <w:spacing w:after="0" w:line="176" w:lineRule="exact"/>
              <w:rPr>
                <w:sz w:val="20"/>
                <w:szCs w:val="20"/>
                <w:color w:val="auto"/>
              </w:rPr>
            </w:pPr>
            <w:r>
              <w:rPr>
                <w:rFonts w:ascii="Arial" w:cs="Arial" w:eastAsia="Arial" w:hAnsi="Arial"/>
                <w:sz w:val="18"/>
                <w:szCs w:val="18"/>
                <w:color w:val="auto"/>
                <w:w w:val="95"/>
              </w:rPr>
              <w:t>Exhibit 3.3 to the Company's Annual Report on Form 10-K for the year ended December 31, 1995 filed on April 1, 1996 (File No. 0-21044))</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rPr>
              <w:t>(paper file)</w:t>
            </w:r>
          </w:p>
        </w:tc>
        <w:tc>
          <w:tcPr>
            <w:tcW w:w="0" w:type="dxa"/>
            <w:vAlign w:val="bottom"/>
          </w:tcPr>
          <w:p>
            <w:pPr>
              <w:spacing w:after="0"/>
              <w:rPr>
                <w:sz w:val="1"/>
                <w:szCs w:val="1"/>
                <w:color w:val="auto"/>
              </w:rPr>
            </w:pPr>
          </w:p>
        </w:tc>
      </w:tr>
      <w:tr>
        <w:trPr>
          <w:trHeight w:val="242"/>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4.2</w:t>
            </w:r>
          </w:p>
        </w:tc>
        <w:tc>
          <w:tcPr>
            <w:tcW w:w="180" w:type="dxa"/>
            <w:vAlign w:val="bottom"/>
          </w:tcPr>
          <w:p>
            <w:pPr>
              <w:spacing w:after="0"/>
              <w:rPr>
                <w:sz w:val="21"/>
                <w:szCs w:val="21"/>
                <w:color w:val="auto"/>
              </w:rPr>
            </w:pPr>
          </w:p>
        </w:tc>
        <w:tc>
          <w:tcPr>
            <w:tcW w:w="10560" w:type="dxa"/>
            <w:vAlign w:val="bottom"/>
            <w:gridSpan w:val="20"/>
          </w:tcPr>
          <w:p>
            <w:pPr>
              <w:ind w:left="20"/>
              <w:spacing w:after="0"/>
              <w:rPr>
                <w:rFonts w:ascii="Arial" w:cs="Arial" w:eastAsia="Arial" w:hAnsi="Arial"/>
                <w:sz w:val="18"/>
                <w:szCs w:val="18"/>
                <w:color w:val="0000FF"/>
                <w:w w:val="98"/>
              </w:rPr>
            </w:pPr>
            <w:hyperlink r:id="rId100">
              <w:r>
                <w:rPr>
                  <w:rFonts w:ascii="Arial" w:cs="Arial" w:eastAsia="Arial" w:hAnsi="Arial"/>
                  <w:sz w:val="18"/>
                  <w:szCs w:val="18"/>
                  <w:color w:val="0000FF"/>
                  <w:w w:val="98"/>
                </w:rPr>
                <w:t>Common Stock Purchase Warrant dated March 9, 2016 between Universal Electronics Inc. and Comcast Corporation (incorporated by</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40" w:type="dxa"/>
            <w:vAlign w:val="bottom"/>
            <w:tcBorders>
              <w:top w:val="single" w:sz="8" w:color="0000FF"/>
            </w:tcBorders>
            <w:gridSpan w:val="19"/>
          </w:tcPr>
          <w:p>
            <w:pPr>
              <w:ind w:left="20"/>
              <w:spacing w:after="0"/>
              <w:rPr>
                <w:rFonts w:ascii="Arial" w:cs="Arial" w:eastAsia="Arial" w:hAnsi="Arial"/>
                <w:sz w:val="18"/>
                <w:szCs w:val="18"/>
                <w:u w:val="single" w:color="auto"/>
                <w:color w:val="0000FF"/>
                <w:w w:val="97"/>
              </w:rPr>
            </w:pPr>
            <w:hyperlink r:id="rId100">
              <w:r>
                <w:rPr>
                  <w:rFonts w:ascii="Arial" w:cs="Arial" w:eastAsia="Arial" w:hAnsi="Arial"/>
                  <w:sz w:val="18"/>
                  <w:szCs w:val="18"/>
                  <w:u w:val="single" w:color="auto"/>
                  <w:color w:val="0000FF"/>
                  <w:w w:val="97"/>
                </w:rPr>
                <w:t>references to Exhibit 4.1 to the Company's Current Report on Form 8-K dated March 9, 2016 filed on March 9, 2016 (File No. 0-21044))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4.3</w:t>
            </w:r>
          </w:p>
        </w:tc>
        <w:tc>
          <w:tcPr>
            <w:tcW w:w="180" w:type="dxa"/>
            <w:vAlign w:val="bottom"/>
          </w:tcPr>
          <w:p>
            <w:pPr>
              <w:spacing w:after="0"/>
              <w:rPr>
                <w:sz w:val="18"/>
                <w:szCs w:val="18"/>
                <w:color w:val="auto"/>
              </w:rPr>
            </w:pPr>
          </w:p>
        </w:tc>
        <w:tc>
          <w:tcPr>
            <w:tcW w:w="10560" w:type="dxa"/>
            <w:vAlign w:val="bottom"/>
            <w:gridSpan w:val="20"/>
          </w:tcPr>
          <w:p>
            <w:pPr>
              <w:ind w:left="20"/>
              <w:spacing w:after="0"/>
              <w:rPr>
                <w:rFonts w:ascii="Arial" w:cs="Arial" w:eastAsia="Arial" w:hAnsi="Arial"/>
                <w:sz w:val="18"/>
                <w:szCs w:val="18"/>
                <w:color w:val="0000FF"/>
              </w:rPr>
            </w:pPr>
            <w:hyperlink r:id="rId101">
              <w:r>
                <w:rPr>
                  <w:rFonts w:ascii="Arial" w:cs="Arial" w:eastAsia="Arial" w:hAnsi="Arial"/>
                  <w:sz w:val="18"/>
                  <w:szCs w:val="18"/>
                  <w:color w:val="0000FF"/>
                </w:rPr>
                <w:t>Description of Securities (incorporated by reference to Exhibit 4.3 to the Company's Annual Report on Form 10-K for the year ended</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6"/>
          </w:tcPr>
          <w:p>
            <w:pPr>
              <w:ind w:left="20"/>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December 31, 2019, filed on March 16, 2020 (File No. 0-21044))</w:t>
              </w:r>
            </w:hyperlink>
          </w:p>
        </w:tc>
        <w:tc>
          <w:tcPr>
            <w:tcW w:w="58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*10.1</w:t>
            </w:r>
          </w:p>
        </w:tc>
        <w:tc>
          <w:tcPr>
            <w:tcW w:w="180" w:type="dxa"/>
            <w:vAlign w:val="bottom"/>
          </w:tcPr>
          <w:p>
            <w:pPr>
              <w:spacing w:after="0"/>
              <w:rPr>
                <w:sz w:val="22"/>
                <w:szCs w:val="22"/>
                <w:color w:val="auto"/>
              </w:rPr>
            </w:pPr>
          </w:p>
        </w:tc>
        <w:tc>
          <w:tcPr>
            <w:tcW w:w="10560" w:type="dxa"/>
            <w:vAlign w:val="bottom"/>
            <w:gridSpan w:val="20"/>
          </w:tcPr>
          <w:p>
            <w:pPr>
              <w:ind w:left="20"/>
              <w:spacing w:after="0"/>
              <w:rPr>
                <w:rFonts w:ascii="Arial" w:cs="Arial" w:eastAsia="Arial" w:hAnsi="Arial"/>
                <w:sz w:val="18"/>
                <w:szCs w:val="18"/>
                <w:color w:val="0000FF"/>
                <w:w w:val="97"/>
              </w:rPr>
            </w:pPr>
            <w:hyperlink r:id="rId102">
              <w:r>
                <w:rPr>
                  <w:rFonts w:ascii="Arial" w:cs="Arial" w:eastAsia="Arial" w:hAnsi="Arial"/>
                  <w:sz w:val="18"/>
                  <w:szCs w:val="18"/>
                  <w:color w:val="0000FF"/>
                  <w:w w:val="97"/>
                </w:rPr>
                <w:t>Form of Salary Continuation Agreement by and between Universal Electronics Inc. and certain employees (incorporated by reference to</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60" w:type="dxa"/>
            <w:vAlign w:val="bottom"/>
            <w:tcBorders>
              <w:top w:val="single" w:sz="8" w:color="0000FF"/>
              <w:bottom w:val="single" w:sz="8" w:color="0000FF"/>
            </w:tcBorders>
            <w:gridSpan w:val="15"/>
          </w:tcPr>
          <w:p>
            <w:pPr>
              <w:ind w:left="20"/>
              <w:spacing w:after="0" w:line="156"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Exhibit 10.25 to the Company's Annual Report on Form 10-K for the year ended December 31, 1997, filed on March 30, 1998 (File No. 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0000FF"/>
            </w:tcBorders>
          </w:tcPr>
          <w:p>
            <w:pPr>
              <w:ind w:left="20"/>
              <w:spacing w:after="0" w:line="156" w:lineRule="exact"/>
              <w:rPr>
                <w:rFonts w:ascii="Arial" w:cs="Arial" w:eastAsia="Arial" w:hAnsi="Arial"/>
                <w:sz w:val="18"/>
                <w:szCs w:val="18"/>
                <w:color w:val="0000FF"/>
                <w:w w:val="86"/>
              </w:rPr>
            </w:pPr>
            <w:hyperlink r:id="rId102">
              <w:r>
                <w:rPr>
                  <w:rFonts w:ascii="Arial" w:cs="Arial" w:eastAsia="Arial" w:hAnsi="Arial"/>
                  <w:sz w:val="18"/>
                  <w:szCs w:val="18"/>
                  <w:color w:val="0000FF"/>
                  <w:w w:val="86"/>
                </w:rPr>
                <w:t>21044)</w:t>
              </w:r>
              <w:r>
                <w:rPr>
                  <w:rFonts w:ascii="Arial" w:cs="Arial" w:eastAsia="Arial" w:hAnsi="Arial"/>
                  <w:sz w:val="18"/>
                  <w:szCs w:val="18"/>
                  <w:u w:val="single" w:color="auto"/>
                  <w:color w:val="0000FF"/>
                  <w:w w:val="86"/>
                </w:rPr>
                <w:t>)</w:t>
              </w:r>
            </w:hyperlink>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*10.2</w:t>
            </w:r>
          </w:p>
        </w:tc>
        <w:tc>
          <w:tcPr>
            <w:tcW w:w="180" w:type="dxa"/>
            <w:vAlign w:val="bottom"/>
          </w:tcPr>
          <w:p>
            <w:pPr>
              <w:spacing w:after="0"/>
              <w:rPr>
                <w:sz w:val="21"/>
                <w:szCs w:val="21"/>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5"/>
              </w:rPr>
              <w:t>Form of Amendment to Salary Continuation Agreement by and between Universal Electronics Inc. and certain employees (incorporated by</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560" w:type="dxa"/>
            <w:vAlign w:val="bottom"/>
            <w:gridSpan w:val="20"/>
          </w:tcPr>
          <w:p>
            <w:pPr>
              <w:ind w:left="20"/>
              <w:spacing w:after="0" w:line="176" w:lineRule="exact"/>
              <w:rPr>
                <w:sz w:val="20"/>
                <w:szCs w:val="20"/>
                <w:color w:val="auto"/>
              </w:rPr>
            </w:pPr>
            <w:r>
              <w:rPr>
                <w:rFonts w:ascii="Arial" w:cs="Arial" w:eastAsia="Arial" w:hAnsi="Arial"/>
                <w:sz w:val="18"/>
                <w:szCs w:val="18"/>
                <w:color w:val="auto"/>
                <w:w w:val="95"/>
              </w:rPr>
              <w:t>reference to Exhibit 10.26 to the Company's Annual Report on Form 10-K for the year ended December 31, 1997, filed on March 30, 1998</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rPr>
              <w:t>(File No. 0-21044)) (paper file)</w:t>
            </w:r>
          </w:p>
        </w:tc>
        <w:tc>
          <w:tcPr>
            <w:tcW w:w="0" w:type="dxa"/>
            <w:vAlign w:val="bottom"/>
          </w:tcPr>
          <w:p>
            <w:pPr>
              <w:spacing w:after="0"/>
              <w:rPr>
                <w:sz w:val="1"/>
                <w:szCs w:val="1"/>
                <w:color w:val="auto"/>
              </w:rPr>
            </w:pPr>
          </w:p>
        </w:tc>
      </w:tr>
      <w:tr>
        <w:trPr>
          <w:trHeight w:val="229"/>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*10.3</w:t>
            </w:r>
          </w:p>
        </w:tc>
        <w:tc>
          <w:tcPr>
            <w:tcW w:w="180" w:type="dxa"/>
            <w:vAlign w:val="bottom"/>
          </w:tcPr>
          <w:p>
            <w:pPr>
              <w:spacing w:after="0"/>
              <w:rPr>
                <w:sz w:val="19"/>
                <w:szCs w:val="19"/>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7"/>
              </w:rPr>
              <w:t>Form of Salary Continuation Agreement by and between Universal Electronics Inc. and certain employees (incorporated by reference to</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560" w:type="dxa"/>
            <w:vAlign w:val="bottom"/>
            <w:gridSpan w:val="20"/>
          </w:tcPr>
          <w:p>
            <w:pPr>
              <w:ind w:left="20"/>
              <w:spacing w:after="0" w:line="176" w:lineRule="exact"/>
              <w:rPr>
                <w:sz w:val="20"/>
                <w:szCs w:val="20"/>
                <w:color w:val="auto"/>
              </w:rPr>
            </w:pPr>
            <w:r>
              <w:rPr>
                <w:rFonts w:ascii="Arial" w:cs="Arial" w:eastAsia="Arial" w:hAnsi="Arial"/>
                <w:sz w:val="18"/>
                <w:szCs w:val="18"/>
                <w:color w:val="auto"/>
                <w:w w:val="96"/>
              </w:rPr>
              <w:t>Exhibit 10.39 to the Company's Annual Report on Form 10-K for the year ended December 31, 1999 filed on March 30, 2000 (File No. 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rPr>
              <w:t>21044)) (paper file)</w:t>
            </w:r>
          </w:p>
        </w:tc>
        <w:tc>
          <w:tcPr>
            <w:tcW w:w="0" w:type="dxa"/>
            <w:vAlign w:val="bottom"/>
          </w:tcPr>
          <w:p>
            <w:pPr>
              <w:spacing w:after="0"/>
              <w:rPr>
                <w:sz w:val="1"/>
                <w:szCs w:val="1"/>
                <w:color w:val="auto"/>
              </w:rPr>
            </w:pPr>
          </w:p>
        </w:tc>
      </w:tr>
      <w:tr>
        <w:trPr>
          <w:trHeight w:val="229"/>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*10.4</w:t>
            </w:r>
          </w:p>
        </w:tc>
        <w:tc>
          <w:tcPr>
            <w:tcW w:w="180" w:type="dxa"/>
            <w:vAlign w:val="bottom"/>
          </w:tcPr>
          <w:p>
            <w:pPr>
              <w:spacing w:after="0"/>
              <w:rPr>
                <w:sz w:val="19"/>
                <w:szCs w:val="19"/>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3"/>
              </w:rPr>
              <w:t>Form of Stock Option Agreement by and between Universal Electronics Inc. and certain employees used in connection with options granted to</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560" w:type="dxa"/>
            <w:vAlign w:val="bottom"/>
            <w:gridSpan w:val="20"/>
          </w:tcPr>
          <w:p>
            <w:pPr>
              <w:ind w:left="20"/>
              <w:spacing w:after="0" w:line="176" w:lineRule="exact"/>
              <w:rPr>
                <w:sz w:val="20"/>
                <w:szCs w:val="20"/>
                <w:color w:val="auto"/>
              </w:rPr>
            </w:pPr>
            <w:r>
              <w:rPr>
                <w:rFonts w:ascii="Arial" w:cs="Arial" w:eastAsia="Arial" w:hAnsi="Arial"/>
                <w:sz w:val="18"/>
                <w:szCs w:val="18"/>
                <w:color w:val="auto"/>
                <w:w w:val="95"/>
              </w:rPr>
              <w:t>the employees pursuant to the Universal Electronics Inc. 1999A Nonqualified Stock Plan (incorporated by reference to Exhibit 10.43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7"/>
              </w:rPr>
              <w:t>Company's Annual Report on Form 10-K for the year ended December 31, 1999 filed on March 30, 2000 (File No. 0-21044)) (paper file)</w:t>
            </w:r>
          </w:p>
        </w:tc>
        <w:tc>
          <w:tcPr>
            <w:tcW w:w="0" w:type="dxa"/>
            <w:vAlign w:val="bottom"/>
          </w:tcPr>
          <w:p>
            <w:pPr>
              <w:spacing w:after="0"/>
              <w:rPr>
                <w:sz w:val="1"/>
                <w:szCs w:val="1"/>
                <w:color w:val="auto"/>
              </w:rPr>
            </w:pPr>
          </w:p>
        </w:tc>
      </w:tr>
      <w:tr>
        <w:trPr>
          <w:trHeight w:val="242"/>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*10.5</w:t>
            </w:r>
          </w:p>
        </w:tc>
        <w:tc>
          <w:tcPr>
            <w:tcW w:w="180" w:type="dxa"/>
            <w:vAlign w:val="bottom"/>
          </w:tcPr>
          <w:p>
            <w:pPr>
              <w:spacing w:after="0"/>
              <w:rPr>
                <w:sz w:val="21"/>
                <w:szCs w:val="21"/>
                <w:color w:val="auto"/>
              </w:rPr>
            </w:pPr>
          </w:p>
        </w:tc>
        <w:tc>
          <w:tcPr>
            <w:tcW w:w="10560" w:type="dxa"/>
            <w:vAlign w:val="bottom"/>
            <w:gridSpan w:val="20"/>
          </w:tcPr>
          <w:p>
            <w:pPr>
              <w:ind w:left="20"/>
              <w:spacing w:after="0"/>
              <w:rPr>
                <w:rFonts w:ascii="Arial" w:cs="Arial" w:eastAsia="Arial" w:hAnsi="Arial"/>
                <w:sz w:val="18"/>
                <w:szCs w:val="18"/>
                <w:color w:val="0000FF"/>
                <w:w w:val="96"/>
              </w:rPr>
            </w:pPr>
            <w:hyperlink r:id="rId103">
              <w:r>
                <w:rPr>
                  <w:rFonts w:ascii="Arial" w:cs="Arial" w:eastAsia="Arial" w:hAnsi="Arial"/>
                  <w:sz w:val="18"/>
                  <w:szCs w:val="18"/>
                  <w:color w:val="0000FF"/>
                  <w:w w:val="96"/>
                </w:rPr>
                <w:t>Form of Universal Electronics Inc. 2003 Stock Incentive Plan (incorporated by reference to Appendix B to the Company's Definitive Proxy</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80" w:type="dxa"/>
            <w:vAlign w:val="bottom"/>
            <w:tcBorders>
              <w:top w:val="single" w:sz="8" w:color="0000FF"/>
            </w:tcBorders>
            <w:gridSpan w:val="16"/>
          </w:tcPr>
          <w:p>
            <w:pPr>
              <w:ind w:left="2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Materials for the 2003 Annual Meeting of Stockholders of Universal Electronics Inc. filed on April 28, 2003 (File No. 0-21044))</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*10.6</w:t>
            </w:r>
          </w:p>
        </w:tc>
        <w:tc>
          <w:tcPr>
            <w:tcW w:w="180" w:type="dxa"/>
            <w:vAlign w:val="bottom"/>
          </w:tcPr>
          <w:p>
            <w:pPr>
              <w:spacing w:after="0"/>
              <w:rPr>
                <w:sz w:val="18"/>
                <w:szCs w:val="18"/>
                <w:color w:val="auto"/>
              </w:rPr>
            </w:pPr>
          </w:p>
        </w:tc>
        <w:tc>
          <w:tcPr>
            <w:tcW w:w="10560" w:type="dxa"/>
            <w:vAlign w:val="bottom"/>
            <w:gridSpan w:val="20"/>
          </w:tcPr>
          <w:p>
            <w:pPr>
              <w:ind w:left="20"/>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Form of Executive Officer Employment Agreement dated April 23, 2003 by and between Universal Electronics Inc. and Paul D. Arling</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14"/>
          </w:tcPr>
          <w:p>
            <w:pPr>
              <w:ind w:left="20"/>
              <w:spacing w:after="0" w:line="156"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(incorporated by reference to Exhibit 10.42 to the Company's Annual Report on Form 10-K for the year ended December 31, 2003 filed on</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40" w:type="dxa"/>
            <w:vAlign w:val="bottom"/>
            <w:tcBorders>
              <w:bottom w:val="single" w:sz="8" w:color="0000FF"/>
            </w:tcBorders>
            <w:gridSpan w:val="4"/>
          </w:tcPr>
          <w:p>
            <w:pPr>
              <w:ind w:left="20"/>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March 14, 2004 (File No. 0-21044))</w:t>
              </w:r>
            </w:hyperlink>
          </w:p>
        </w:tc>
        <w:tc>
          <w:tcPr>
            <w:tcW w:w="7860" w:type="dxa"/>
            <w:vAlign w:val="bottom"/>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*10.7</w:t>
            </w:r>
          </w:p>
        </w:tc>
        <w:tc>
          <w:tcPr>
            <w:tcW w:w="180" w:type="dxa"/>
            <w:vAlign w:val="bottom"/>
          </w:tcPr>
          <w:p>
            <w:pPr>
              <w:spacing w:after="0"/>
              <w:rPr>
                <w:sz w:val="21"/>
                <w:szCs w:val="21"/>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w w:val="95"/>
              </w:rPr>
              <w:t>Form of First Amendment to Executive Officer Employment Agreement dated October 21, 2005 by and between Universal Electronics Inc.</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560" w:type="dxa"/>
            <w:vAlign w:val="bottom"/>
            <w:gridSpan w:val="20"/>
          </w:tcPr>
          <w:p>
            <w:pPr>
              <w:ind w:left="20"/>
              <w:spacing w:after="0" w:line="176" w:lineRule="exact"/>
              <w:rPr>
                <w:sz w:val="20"/>
                <w:szCs w:val="20"/>
                <w:color w:val="auto"/>
              </w:rPr>
            </w:pPr>
            <w:r>
              <w:rPr>
                <w:rFonts w:ascii="Arial" w:cs="Arial" w:eastAsia="Arial" w:hAnsi="Arial"/>
                <w:sz w:val="18"/>
                <w:szCs w:val="18"/>
                <w:color w:val="auto"/>
                <w:w w:val="94"/>
              </w:rPr>
              <w:t>and Paul D. Arling (incorporated by reference to Exhibit 10.24 to the Company's Annual Report on Form 10-K for the year ended December</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60" w:type="dxa"/>
            <w:vAlign w:val="bottom"/>
            <w:gridSpan w:val="20"/>
          </w:tcPr>
          <w:p>
            <w:pPr>
              <w:ind w:left="20"/>
              <w:spacing w:after="0"/>
              <w:rPr>
                <w:sz w:val="20"/>
                <w:szCs w:val="20"/>
                <w:color w:val="auto"/>
              </w:rPr>
            </w:pPr>
            <w:r>
              <w:rPr>
                <w:rFonts w:ascii="Arial" w:cs="Arial" w:eastAsia="Arial" w:hAnsi="Arial"/>
                <w:sz w:val="18"/>
                <w:szCs w:val="18"/>
                <w:color w:val="auto"/>
              </w:rPr>
              <w:t>31, 2005 filed on March 16, 2006 (File No. 0-21044)) (paper file)</w:t>
            </w:r>
          </w:p>
        </w:tc>
        <w:tc>
          <w:tcPr>
            <w:tcW w:w="0" w:type="dxa"/>
            <w:vAlign w:val="bottom"/>
          </w:tcPr>
          <w:p>
            <w:pPr>
              <w:spacing w:after="0"/>
              <w:rPr>
                <w:sz w:val="1"/>
                <w:szCs w:val="1"/>
                <w:color w:val="auto"/>
              </w:rPr>
            </w:pPr>
          </w:p>
        </w:tc>
      </w:tr>
      <w:tr>
        <w:trPr>
          <w:trHeight w:val="242"/>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*10.8</w:t>
            </w:r>
          </w:p>
        </w:tc>
        <w:tc>
          <w:tcPr>
            <w:tcW w:w="180" w:type="dxa"/>
            <w:vAlign w:val="bottom"/>
          </w:tcPr>
          <w:p>
            <w:pPr>
              <w:spacing w:after="0"/>
              <w:rPr>
                <w:sz w:val="21"/>
                <w:szCs w:val="21"/>
                <w:color w:val="auto"/>
              </w:rPr>
            </w:pPr>
          </w:p>
        </w:tc>
        <w:tc>
          <w:tcPr>
            <w:tcW w:w="10560" w:type="dxa"/>
            <w:vAlign w:val="bottom"/>
            <w:gridSpan w:val="20"/>
          </w:tcPr>
          <w:p>
            <w:pPr>
              <w:ind w:left="20"/>
              <w:spacing w:after="0"/>
              <w:rPr>
                <w:rFonts w:ascii="Arial" w:cs="Arial" w:eastAsia="Arial" w:hAnsi="Arial"/>
                <w:sz w:val="18"/>
                <w:szCs w:val="18"/>
                <w:color w:val="0000FF"/>
                <w:w w:val="96"/>
              </w:rPr>
            </w:pPr>
            <w:hyperlink r:id="rId105">
              <w:r>
                <w:rPr>
                  <w:rFonts w:ascii="Arial" w:cs="Arial" w:eastAsia="Arial" w:hAnsi="Arial"/>
                  <w:sz w:val="18"/>
                  <w:szCs w:val="18"/>
                  <w:color w:val="0000FF"/>
                  <w:w w:val="96"/>
                </w:rPr>
                <w:t>Form of Universal Electronics Inc. 2006 Stock Incentive Plan (incorporated by reference to Appendix C to the Company's Definitive Proxy</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80" w:type="dxa"/>
            <w:vAlign w:val="bottom"/>
            <w:tcBorders>
              <w:top w:val="single" w:sz="8" w:color="0000FF"/>
            </w:tcBorders>
            <w:gridSpan w:val="16"/>
          </w:tcPr>
          <w:p>
            <w:pPr>
              <w:ind w:left="2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Materials for the 2006 Annual Meeting of Stockholders of Universal Electronics Inc. filed on April 26, 2006 (File No. 0-21044))</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10.9</w:t>
            </w:r>
          </w:p>
        </w:tc>
        <w:tc>
          <w:tcPr>
            <w:tcW w:w="180" w:type="dxa"/>
            <w:vAlign w:val="bottom"/>
          </w:tcPr>
          <w:p>
            <w:pPr>
              <w:spacing w:after="0"/>
              <w:rPr>
                <w:sz w:val="18"/>
                <w:szCs w:val="18"/>
                <w:color w:val="auto"/>
              </w:rPr>
            </w:pPr>
          </w:p>
        </w:tc>
        <w:tc>
          <w:tcPr>
            <w:tcW w:w="10560" w:type="dxa"/>
            <w:vAlign w:val="bottom"/>
            <w:gridSpan w:val="20"/>
          </w:tcPr>
          <w:p>
            <w:pPr>
              <w:ind w:left="20"/>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Form of Lease dated January 31, 2007 between FirstCal Industrial 2 Acquisition, LLC and Universal Electronics Inc. (incorporated by</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20" w:type="dxa"/>
            <w:vAlign w:val="bottom"/>
            <w:tcBorders>
              <w:top w:val="single" w:sz="8" w:color="0000FF"/>
            </w:tcBorders>
            <w:gridSpan w:val="13"/>
          </w:tcPr>
          <w:p>
            <w:pPr>
              <w:ind w:left="20"/>
              <w:spacing w:after="0" w:line="156" w:lineRule="exact"/>
              <w:rPr>
                <w:rFonts w:ascii="Arial" w:cs="Arial" w:eastAsia="Arial" w:hAnsi="Arial"/>
                <w:sz w:val="18"/>
                <w:szCs w:val="18"/>
                <w:color w:val="0000FF"/>
                <w:w w:val="95"/>
              </w:rPr>
            </w:pPr>
            <w:hyperlink r:id="rId106">
              <w:r>
                <w:rPr>
                  <w:rFonts w:ascii="Arial" w:cs="Arial" w:eastAsia="Arial" w:hAnsi="Arial"/>
                  <w:sz w:val="18"/>
                  <w:szCs w:val="18"/>
                  <w:color w:val="0000FF"/>
                  <w:w w:val="95"/>
                </w:rPr>
                <w:t>reference to Exhibit 10.26 to the Company's Annual Report on Form 10-K for the year ended December 31, 2006 filed on March 16, 2007</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40" w:type="dxa"/>
            <w:vAlign w:val="bottom"/>
            <w:tcBorders>
              <w:top w:val="single" w:sz="8" w:color="0000FF"/>
            </w:tcBorders>
            <w:gridSpan w:val="9"/>
          </w:tcPr>
          <w:p>
            <w:pPr>
              <w:ind w:left="20"/>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(File No. 0-21044))</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78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*10.10</w:t>
            </w:r>
          </w:p>
        </w:tc>
        <w:tc>
          <w:tcPr>
            <w:tcW w:w="180" w:type="dxa"/>
            <w:vAlign w:val="bottom"/>
          </w:tcPr>
          <w:p>
            <w:pPr>
              <w:spacing w:after="0"/>
              <w:rPr>
                <w:sz w:val="22"/>
                <w:szCs w:val="22"/>
                <w:color w:val="auto"/>
              </w:rPr>
            </w:pPr>
          </w:p>
        </w:tc>
        <w:tc>
          <w:tcPr>
            <w:tcW w:w="10560" w:type="dxa"/>
            <w:vAlign w:val="bottom"/>
            <w:gridSpan w:val="20"/>
          </w:tcPr>
          <w:p>
            <w:pPr>
              <w:ind w:left="20"/>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Form of Indemnification Agreements, dated as of January 2, 2007 between the Company and each director and certain officers of the Company</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0" w:type="dxa"/>
            <w:vAlign w:val="bottom"/>
            <w:tcBorders>
              <w:top w:val="single" w:sz="8" w:color="0000FF"/>
            </w:tcBorders>
            <w:gridSpan w:val="12"/>
          </w:tcPr>
          <w:p>
            <w:pPr>
              <w:ind w:left="20"/>
              <w:spacing w:after="0" w:line="156"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(incorporated by reference to Exhibit 10.28 to the Company's Annual Report on Form 10-K for the year ended December 31, 2006 filed on</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3"/>
          </w:tcPr>
          <w:p>
            <w:pPr>
              <w:ind w:left="20"/>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March 16, 2007 (File No. 0-21044))</w:t>
              </w:r>
            </w:hyperlink>
          </w:p>
        </w:tc>
        <w:tc>
          <w:tcPr>
            <w:tcW w:w="788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60" w:type="dxa"/>
            <w:vAlign w:val="bottom"/>
            <w:gridSpan w:val="7"/>
          </w:tcPr>
          <w:p>
            <w:pPr>
              <w:ind w:left="4660"/>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622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6220" w:type="dxa"/>
            <w:vAlign w:val="bottom"/>
            <w:gridSpan w:val="2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Form of Restricted Stock Unit Agreement (incorporated herein by reference to Exhibit 4.5 to the Company's Form S-8 Registration Statement</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80" w:type="dxa"/>
            <w:vAlign w:val="bottom"/>
            <w:tcBorders>
              <w:top w:val="single" w:sz="8" w:color="0000FF"/>
            </w:tcBorders>
            <w:gridSpan w:val="23"/>
          </w:tcPr>
          <w:p>
            <w:pPr>
              <w:ind w:left="20"/>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filed on March 27, 2008 (File No. 333-149926))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10.12</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9"/>
              </w:rPr>
            </w:pPr>
            <w:hyperlink r:id="rId111">
              <w:r>
                <w:rPr>
                  <w:rFonts w:ascii="Arial" w:cs="Arial" w:eastAsia="Arial" w:hAnsi="Arial"/>
                  <w:sz w:val="18"/>
                  <w:szCs w:val="18"/>
                  <w:color w:val="0000FF"/>
                  <w:w w:val="99"/>
                </w:rPr>
                <w:t>Pledge Agreement dated November 1, 2010 between UEI Hong Kong Private Limited and Enson Assets Limited to U.S. Bank National</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0" w:type="dxa"/>
            <w:vAlign w:val="bottom"/>
            <w:tcBorders>
              <w:top w:val="single" w:sz="8" w:color="0000FF"/>
            </w:tcBorders>
            <w:gridSpan w:val="29"/>
          </w:tcPr>
          <w:p>
            <w:pPr>
              <w:ind w:left="20"/>
              <w:spacing w:after="0" w:line="156"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Association (incorporated by reference to Exhibit 10.30 to the Company's Annual Report on Form 10-K for the year ended December 31,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80" w:type="dxa"/>
            <w:vAlign w:val="bottom"/>
            <w:tcBorders>
              <w:top w:val="single" w:sz="8" w:color="0000FF"/>
            </w:tcBorders>
            <w:gridSpan w:val="28"/>
          </w:tcPr>
          <w:p>
            <w:pPr>
              <w:ind w:left="20"/>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filed on March 16, 2011 (File No. 0-21044))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10.13</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5"/>
              </w:rPr>
            </w:pPr>
            <w:hyperlink r:id="rId112">
              <w:r>
                <w:rPr>
                  <w:rFonts w:ascii="Arial" w:cs="Arial" w:eastAsia="Arial" w:hAnsi="Arial"/>
                  <w:sz w:val="18"/>
                  <w:szCs w:val="18"/>
                  <w:color w:val="0000FF"/>
                  <w:w w:val="95"/>
                </w:rPr>
                <w:t>Security Agreement dated November 1, 2010 from Universal Electronics Inc. to U.S. Bank National Association (incorporated by reference to</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80" w:type="dxa"/>
            <w:vAlign w:val="bottom"/>
            <w:tcBorders>
              <w:top w:val="single" w:sz="8" w:color="0000FF"/>
              <w:bottom w:val="single" w:sz="8" w:color="0000FF"/>
            </w:tcBorders>
            <w:gridSpan w:val="18"/>
          </w:tcPr>
          <w:p>
            <w:pPr>
              <w:ind w:left="20"/>
              <w:spacing w:after="0" w:line="156"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Exhibit 10.31 to the Company's Annual Report on Form 10-K for the year ended December 31, 2010 filed on March 16, 2011 (File No. 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0000FF"/>
            </w:tcBorders>
          </w:tcPr>
          <w:p>
            <w:pPr>
              <w:ind w:left="20"/>
              <w:spacing w:after="0" w:line="156" w:lineRule="exact"/>
              <w:rPr>
                <w:rFonts w:ascii="Arial" w:cs="Arial" w:eastAsia="Arial" w:hAnsi="Arial"/>
                <w:sz w:val="18"/>
                <w:szCs w:val="18"/>
                <w:color w:val="0000FF"/>
                <w:w w:val="86"/>
              </w:rPr>
            </w:pPr>
            <w:hyperlink r:id="rId112">
              <w:r>
                <w:rPr>
                  <w:rFonts w:ascii="Arial" w:cs="Arial" w:eastAsia="Arial" w:hAnsi="Arial"/>
                  <w:sz w:val="18"/>
                  <w:szCs w:val="18"/>
                  <w:color w:val="0000FF"/>
                  <w:w w:val="86"/>
                </w:rPr>
                <w:t>21044)</w:t>
              </w:r>
              <w:r>
                <w:rPr>
                  <w:rFonts w:ascii="Arial" w:cs="Arial" w:eastAsia="Arial" w:hAnsi="Arial"/>
                  <w:sz w:val="18"/>
                  <w:szCs w:val="18"/>
                  <w:u w:val="single" w:color="auto"/>
                  <w:color w:val="0000FF"/>
                  <w:w w:val="86"/>
                </w:rPr>
                <w:t>)</w:t>
              </w:r>
            </w:hyperlink>
          </w:p>
        </w:tc>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*10.14</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4"/>
              </w:rPr>
            </w:pPr>
            <w:hyperlink r:id="rId113">
              <w:r>
                <w:rPr>
                  <w:rFonts w:ascii="Arial" w:cs="Arial" w:eastAsia="Arial" w:hAnsi="Arial"/>
                  <w:sz w:val="18"/>
                  <w:szCs w:val="18"/>
                  <w:color w:val="0000FF"/>
                  <w:w w:val="94"/>
                </w:rPr>
                <w:t>Universal Electronics Inc. 2010 Stock Incentive Plan (incorporated by reference to Appendix C to the Company's Proxy Statement for its 2010</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0" w:type="dxa"/>
            <w:vAlign w:val="bottom"/>
            <w:tcBorders>
              <w:top w:val="single" w:sz="8" w:color="0000FF"/>
            </w:tcBorders>
            <w:gridSpan w:val="19"/>
          </w:tcPr>
          <w:p>
            <w:pPr>
              <w:ind w:left="20"/>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Annual Meeting of Stockholders filed on April 30, 2010 (File No. 0-21044))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*10.15</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7"/>
              </w:rPr>
            </w:pPr>
            <w:hyperlink r:id="rId114">
              <w:r>
                <w:rPr>
                  <w:rFonts w:ascii="Arial" w:cs="Arial" w:eastAsia="Arial" w:hAnsi="Arial"/>
                  <w:sz w:val="18"/>
                  <w:szCs w:val="18"/>
                  <w:color w:val="0000FF"/>
                  <w:w w:val="97"/>
                </w:rPr>
                <w:t>Form of Option Agreement used in connection with the Universal Electronics Inc. 2010 Stock Incentive Plan (incorporated by reference to</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60" w:type="dxa"/>
            <w:vAlign w:val="bottom"/>
            <w:tcBorders>
              <w:top w:val="single" w:sz="8" w:color="0000FF"/>
            </w:tcBorders>
            <w:gridSpan w:val="32"/>
          </w:tcPr>
          <w:p>
            <w:pPr>
              <w:ind w:left="20"/>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Exhibit 4.6 to the Company's Registration Statement on Form S-8 filed on July 5, 2011 (File No. 333-175345))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*10.16</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Form of Restricted Stock Unit Agreement used in connection with the Universal Electronics Inc. 2010 Stock Incentive Plan (incorporated by</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20" w:type="dxa"/>
            <w:vAlign w:val="bottom"/>
            <w:tcBorders>
              <w:top w:val="single" w:sz="8" w:color="0000FF"/>
            </w:tcBorders>
            <w:gridSpan w:val="15"/>
          </w:tcPr>
          <w:p>
            <w:pPr>
              <w:ind w:left="20"/>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reference to Exhibit 4.7 to the Company's Registration Statement on Form S-8 filed on July 5, 2011 (File No. 333-175345))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*10.17</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4"/>
              </w:rPr>
            </w:pPr>
            <w:hyperlink r:id="rId116">
              <w:r>
                <w:rPr>
                  <w:rFonts w:ascii="Arial" w:cs="Arial" w:eastAsia="Arial" w:hAnsi="Arial"/>
                  <w:sz w:val="18"/>
                  <w:szCs w:val="18"/>
                  <w:color w:val="0000FF"/>
                  <w:w w:val="94"/>
                </w:rPr>
                <w:t>Form of Second Amendment to Executive Officer Employment Agreement dated February 29, 2008 by and between Universal Electronics Inc.</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16"/>
          </w:tcPr>
          <w:p>
            <w:pPr>
              <w:ind w:left="20"/>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and Paul D. Arling (incorporated by reference to Exhibit 10.31 to the Company's Annual Report on Form 10-K for the year ended December</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00" w:type="dxa"/>
            <w:vAlign w:val="bottom"/>
            <w:gridSpan w:val="24"/>
          </w:tcPr>
          <w:p>
            <w:pPr>
              <w:ind w:left="20"/>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31, 2012 filed on March 14, 2013 (File No. 0-21044))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10.18</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8"/>
              </w:rPr>
            </w:pPr>
            <w:hyperlink r:id="rId117">
              <w:r>
                <w:rPr>
                  <w:rFonts w:ascii="Arial" w:cs="Arial" w:eastAsia="Arial" w:hAnsi="Arial"/>
                  <w:sz w:val="18"/>
                  <w:szCs w:val="18"/>
                  <w:color w:val="0000FF"/>
                  <w:w w:val="98"/>
                </w:rPr>
                <w:t>Acknowledgment and Agreement of Pledgor dated October 26, 2011 from UEI Hong Kong Private Limited (incorporated by reference to</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21"/>
          </w:tcPr>
          <w:p>
            <w:pPr>
              <w:ind w:left="20"/>
              <w:spacing w:after="0" w:line="156" w:lineRule="exact"/>
              <w:rPr>
                <w:rFonts w:ascii="Arial" w:cs="Arial" w:eastAsia="Arial" w:hAnsi="Arial"/>
                <w:sz w:val="18"/>
                <w:szCs w:val="18"/>
                <w:color w:val="0000FF"/>
                <w:w w:val="95"/>
              </w:rPr>
            </w:pPr>
            <w:hyperlink r:id="rId117">
              <w:r>
                <w:rPr>
                  <w:rFonts w:ascii="Arial" w:cs="Arial" w:eastAsia="Arial" w:hAnsi="Arial"/>
                  <w:sz w:val="18"/>
                  <w:szCs w:val="18"/>
                  <w:color w:val="0000FF"/>
                  <w:w w:val="95"/>
                </w:rPr>
                <w:t>Exhibit 10.36 to the Company's Annual Report on Form 10-K for the year ended December 31, 2011 filed on March 14, 2012 (File No. 0-</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0000FF"/>
            </w:tcBorders>
          </w:tcPr>
          <w:p>
            <w:pPr>
              <w:ind w:left="20"/>
              <w:spacing w:after="0" w:line="156" w:lineRule="exact"/>
              <w:rPr>
                <w:rFonts w:ascii="Arial" w:cs="Arial" w:eastAsia="Arial" w:hAnsi="Arial"/>
                <w:sz w:val="18"/>
                <w:szCs w:val="18"/>
                <w:color w:val="0000FF"/>
                <w:w w:val="86"/>
              </w:rPr>
            </w:pPr>
            <w:hyperlink r:id="rId117">
              <w:r>
                <w:rPr>
                  <w:rFonts w:ascii="Arial" w:cs="Arial" w:eastAsia="Arial" w:hAnsi="Arial"/>
                  <w:sz w:val="18"/>
                  <w:szCs w:val="18"/>
                  <w:color w:val="0000FF"/>
                  <w:w w:val="86"/>
                </w:rPr>
                <w:t>21044)</w:t>
              </w:r>
              <w:r>
                <w:rPr>
                  <w:rFonts w:ascii="Arial" w:cs="Arial" w:eastAsia="Arial" w:hAnsi="Arial"/>
                  <w:sz w:val="18"/>
                  <w:szCs w:val="18"/>
                  <w:u w:val="single" w:color="auto"/>
                  <w:color w:val="0000FF"/>
                  <w:w w:val="86"/>
                </w:rPr>
                <w:t>)</w:t>
              </w:r>
            </w:hyperlink>
          </w:p>
        </w:tc>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10.19</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Standard Office Lease between Universal Electronics Inc. and The Realty Associates Fund VIII, L.P., dated May 11, 2012 (incorporated by</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20" w:type="dxa"/>
            <w:vAlign w:val="bottom"/>
            <w:tcBorders>
              <w:top w:val="single" w:sz="8" w:color="0000FF"/>
            </w:tcBorders>
            <w:gridSpan w:val="25"/>
          </w:tcPr>
          <w:p>
            <w:pPr>
              <w:ind w:left="20"/>
              <w:spacing w:after="0"/>
              <w:rPr>
                <w:rFonts w:ascii="Arial" w:cs="Arial" w:eastAsia="Arial" w:hAnsi="Arial"/>
                <w:sz w:val="18"/>
                <w:szCs w:val="18"/>
                <w:u w:val="single" w:color="auto"/>
                <w:color w:val="0000FF"/>
                <w:w w:val="97"/>
              </w:rPr>
            </w:pPr>
            <w:hyperlink r:id="rId118">
              <w:r>
                <w:rPr>
                  <w:rFonts w:ascii="Arial" w:cs="Arial" w:eastAsia="Arial" w:hAnsi="Arial"/>
                  <w:sz w:val="18"/>
                  <w:szCs w:val="18"/>
                  <w:u w:val="single" w:color="auto"/>
                  <w:color w:val="0000FF"/>
                  <w:w w:val="97"/>
                </w:rPr>
                <w:t>references to Exhibit 10.1 to the Company's Current Report on Form 8-K dated May 11, 2012 filed on May 18, 2012 (File No. 0-21044))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*10.20</w:t>
            </w:r>
          </w:p>
        </w:tc>
        <w:tc>
          <w:tcPr>
            <w:tcW w:w="180" w:type="dxa"/>
            <w:vAlign w:val="bottom"/>
          </w:tcPr>
          <w:p>
            <w:pPr>
              <w:spacing w:after="0"/>
              <w:rPr>
                <w:sz w:val="18"/>
                <w:szCs w:val="18"/>
                <w:color w:val="auto"/>
              </w:rPr>
            </w:pPr>
          </w:p>
        </w:tc>
        <w:tc>
          <w:tcPr>
            <w:tcW w:w="10700" w:type="dxa"/>
            <w:vAlign w:val="bottom"/>
            <w:gridSpan w:val="34"/>
          </w:tcPr>
          <w:p>
            <w:pPr>
              <w:ind w:left="20"/>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Summary of Universal Electronics Inc. 2013 Director Compensation (incorporated by reference to Exhibit 10.34 to the Company's Annual</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11"/>
          </w:tcPr>
          <w:p>
            <w:pPr>
              <w:ind w:left="20"/>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Report on 10-K for the year ended December 31, 2013 filed on March 12, 2014 (File No. 0-21044))</w:t>
              </w:r>
            </w:hyperlink>
          </w:p>
        </w:tc>
        <w:tc>
          <w:tcPr>
            <w:tcW w:w="34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*10.21</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8"/>
              </w:rPr>
            </w:pPr>
            <w:hyperlink r:id="rId120">
              <w:r>
                <w:rPr>
                  <w:rFonts w:ascii="Arial" w:cs="Arial" w:eastAsia="Arial" w:hAnsi="Arial"/>
                  <w:sz w:val="18"/>
                  <w:szCs w:val="18"/>
                  <w:color w:val="0000FF"/>
                  <w:w w:val="98"/>
                </w:rPr>
                <w:t>Universal Electronics Inc. 2003 Stock Incentive Plan, Universal Electronics Inc. Compensation Plan for Outside Members of the Board of</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40" w:type="dxa"/>
            <w:vAlign w:val="bottom"/>
            <w:tcBorders>
              <w:top w:val="single" w:sz="8" w:color="0000FF"/>
            </w:tcBorders>
            <w:gridSpan w:val="26"/>
          </w:tcPr>
          <w:p>
            <w:pPr>
              <w:ind w:left="20"/>
              <w:spacing w:after="0" w:line="15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Directors (2001), and Universal Electronics Inc. 2004 Directors' Compensation Plan (incorporated by reference to the Company's Registration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7"/>
          </w:tcPr>
          <w:p>
            <w:pPr>
              <w:ind w:left="20"/>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Statement on Form S-8 filed on March 12, 2014 (File No. 333-194511))</w:t>
              </w:r>
            </w:hyperlink>
          </w:p>
        </w:tc>
        <w:tc>
          <w:tcPr>
            <w:tcW w:w="51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*10.22</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7"/>
              </w:rPr>
            </w:pPr>
            <w:hyperlink r:id="rId121">
              <w:r>
                <w:rPr>
                  <w:rFonts w:ascii="Arial" w:cs="Arial" w:eastAsia="Arial" w:hAnsi="Arial"/>
                  <w:sz w:val="18"/>
                  <w:szCs w:val="18"/>
                  <w:color w:val="0000FF"/>
                  <w:w w:val="97"/>
                </w:rPr>
                <w:t>Universal Electronics Inc. 2014 Stock Incentive Plan (incorporated by reference to Exhibit 4.5 to the Company's Registration Statement on</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40" w:type="dxa"/>
            <w:vAlign w:val="bottom"/>
            <w:tcBorders>
              <w:top w:val="single" w:sz="8" w:color="0000FF"/>
            </w:tcBorders>
            <w:gridSpan w:val="31"/>
          </w:tcPr>
          <w:p>
            <w:pPr>
              <w:ind w:left="20"/>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Form S-8 filed on August 12, 2014 (File No. 333-198083))</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*10.23</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7"/>
              </w:rPr>
            </w:pPr>
            <w:hyperlink r:id="rId122">
              <w:r>
                <w:rPr>
                  <w:rFonts w:ascii="Arial" w:cs="Arial" w:eastAsia="Arial" w:hAnsi="Arial"/>
                  <w:sz w:val="18"/>
                  <w:szCs w:val="18"/>
                  <w:color w:val="0000FF"/>
                  <w:w w:val="97"/>
                </w:rPr>
                <w:t>Form of Option Agreement used in connection with the Universal Electronics Inc. 2014 Stock Incentive Plan (incorporated by reference to</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4"/>
          </w:tcPr>
          <w:p>
            <w:pPr>
              <w:ind w:left="20"/>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Exhibit 4.6 to the Company's Registration Statement on Form S-8 filed on August 12, 2014 (File No. 333-198083))</w:t>
              </w:r>
            </w:hyperlink>
          </w:p>
        </w:tc>
        <w:tc>
          <w:tcPr>
            <w:tcW w:w="23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*10.24</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Form of Restricted Stock Unit Agreement used in connection with the Universal Electronics Inc. 2014 Stock Incentive Plan (incorporated by</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20" w:type="dxa"/>
            <w:vAlign w:val="bottom"/>
            <w:tcBorders>
              <w:top w:val="single" w:sz="8" w:color="0000FF"/>
            </w:tcBorders>
            <w:gridSpan w:val="15"/>
          </w:tcPr>
          <w:p>
            <w:pPr>
              <w:ind w:left="20"/>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reference to Exhibit 4.7 to the Company's Registration Statement on Form S-8 filed on August 12, 2014 (File No. 333-198083))</w:t>
              </w:r>
            </w:hyperlink>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60" w:type="dxa"/>
            <w:vAlign w:val="bottom"/>
            <w:gridSpan w:val="3"/>
          </w:tcPr>
          <w:p>
            <w:pPr>
              <w:spacing w:after="0"/>
              <w:rPr>
                <w:sz w:val="19"/>
                <w:szCs w:val="19"/>
                <w:color w:val="auto"/>
              </w:rPr>
            </w:pPr>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10.25</w:t>
            </w:r>
          </w:p>
        </w:tc>
        <w:tc>
          <w:tcPr>
            <w:tcW w:w="180" w:type="dxa"/>
            <w:vAlign w:val="bottom"/>
          </w:tcPr>
          <w:p>
            <w:pPr>
              <w:spacing w:after="0"/>
              <w:rPr>
                <w:sz w:val="18"/>
                <w:szCs w:val="18"/>
                <w:color w:val="auto"/>
              </w:rPr>
            </w:pPr>
          </w:p>
        </w:tc>
        <w:tc>
          <w:tcPr>
            <w:tcW w:w="10700" w:type="dxa"/>
            <w:vAlign w:val="bottom"/>
            <w:gridSpan w:val="34"/>
          </w:tcPr>
          <w:p>
            <w:pPr>
              <w:ind w:left="20"/>
              <w:spacing w:after="0"/>
              <w:rPr>
                <w:rFonts w:ascii="Arial" w:cs="Arial" w:eastAsia="Arial" w:hAnsi="Arial"/>
                <w:sz w:val="18"/>
                <w:szCs w:val="18"/>
                <w:color w:val="0000FF"/>
                <w:w w:val="94"/>
              </w:rPr>
            </w:pPr>
            <w:hyperlink r:id="rId124">
              <w:r>
                <w:rPr>
                  <w:rFonts w:ascii="Arial" w:cs="Arial" w:eastAsia="Arial" w:hAnsi="Arial"/>
                  <w:sz w:val="18"/>
                  <w:szCs w:val="18"/>
                  <w:color w:val="0000FF"/>
                  <w:w w:val="94"/>
                </w:rPr>
                <w:t>Registration Rights Agreement dated March 9, 2016 between Universal Electronics Inc. and Comcast Corporation (incorporated by references</w:t>
              </w:r>
            </w:hyperlink>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60" w:type="dxa"/>
            <w:vAlign w:val="bottom"/>
            <w:tcBorders>
              <w:top w:val="single" w:sz="8" w:color="0000FF"/>
            </w:tcBorders>
            <w:gridSpan w:val="17"/>
          </w:tcPr>
          <w:p>
            <w:pPr>
              <w:ind w:left="20"/>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to Exhibit 10.1 to the Company's Current Report on Form 8-K dated March 9, 2016 filed on March 9, 2016 (File No. 0-21044))</w:t>
              </w:r>
            </w:hyperlink>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60" w:type="dxa"/>
            <w:vAlign w:val="bottom"/>
            <w:gridSpan w:val="3"/>
          </w:tcPr>
          <w:p>
            <w:pPr>
              <w:spacing w:after="0"/>
              <w:rPr>
                <w:sz w:val="19"/>
                <w:szCs w:val="19"/>
                <w:color w:val="auto"/>
              </w:rPr>
            </w:pPr>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10.26</w:t>
            </w:r>
          </w:p>
        </w:tc>
        <w:tc>
          <w:tcPr>
            <w:tcW w:w="180" w:type="dxa"/>
            <w:vAlign w:val="bottom"/>
          </w:tcPr>
          <w:p>
            <w:pPr>
              <w:spacing w:after="0"/>
              <w:rPr>
                <w:sz w:val="18"/>
                <w:szCs w:val="18"/>
                <w:color w:val="auto"/>
              </w:rPr>
            </w:pPr>
          </w:p>
        </w:tc>
        <w:tc>
          <w:tcPr>
            <w:tcW w:w="10700" w:type="dxa"/>
            <w:vAlign w:val="bottom"/>
            <w:gridSpan w:val="34"/>
          </w:tcPr>
          <w:p>
            <w:pPr>
              <w:ind w:left="20"/>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Second Amended and Restated Credit Agreement dated October 27, 2017 between Universal Electronics Inc. and U.S. Bank National</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60" w:type="dxa"/>
            <w:vAlign w:val="bottom"/>
            <w:tcBorders>
              <w:top w:val="single" w:sz="8" w:color="0000FF"/>
            </w:tcBorders>
            <w:gridSpan w:val="27"/>
          </w:tcPr>
          <w:p>
            <w:pPr>
              <w:ind w:left="20"/>
              <w:spacing w:after="0" w:line="15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Association and Wells Fargo Bank, National Association (incorporated by reference to Exhibit 10.39 to the Company's Annual Report on form</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0"/>
          </w:tcPr>
          <w:p>
            <w:pPr>
              <w:ind w:left="20"/>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10-K for the year ended December 31, 2017 filed on March 13, 2018 (File No. 0-21044))</w:t>
              </w:r>
            </w:hyperlink>
          </w:p>
        </w:tc>
        <w:tc>
          <w:tcPr>
            <w:tcW w:w="4020" w:type="dxa"/>
            <w:vAlign w:val="bottom"/>
            <w:tcBorders>
              <w:top w:val="single" w:sz="8" w:color="0000FF"/>
            </w:tcBorders>
            <w:gridSpan w:val="12"/>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10.27</w:t>
            </w:r>
          </w:p>
        </w:tc>
        <w:tc>
          <w:tcPr>
            <w:tcW w:w="180" w:type="dxa"/>
            <w:vAlign w:val="bottom"/>
          </w:tcPr>
          <w:p>
            <w:pPr>
              <w:spacing w:after="0"/>
              <w:rPr>
                <w:sz w:val="22"/>
                <w:szCs w:val="22"/>
                <w:color w:val="auto"/>
              </w:rPr>
            </w:pPr>
          </w:p>
        </w:tc>
        <w:tc>
          <w:tcPr>
            <w:tcW w:w="10700" w:type="dxa"/>
            <w:vAlign w:val="bottom"/>
            <w:gridSpan w:val="34"/>
          </w:tcPr>
          <w:p>
            <w:pPr>
              <w:ind w:left="20"/>
              <w:spacing w:after="0"/>
              <w:rPr>
                <w:rFonts w:ascii="Arial" w:cs="Arial" w:eastAsia="Arial" w:hAnsi="Arial"/>
                <w:sz w:val="18"/>
                <w:szCs w:val="18"/>
                <w:color w:val="0000FF"/>
                <w:w w:val="95"/>
              </w:rPr>
            </w:pPr>
            <w:hyperlink r:id="rId126">
              <w:r>
                <w:rPr>
                  <w:rFonts w:ascii="Arial" w:cs="Arial" w:eastAsia="Arial" w:hAnsi="Arial"/>
                  <w:sz w:val="18"/>
                  <w:szCs w:val="18"/>
                  <w:color w:val="0000FF"/>
                  <w:w w:val="95"/>
                </w:rPr>
                <w:t>First Amendment to Second Amended and Restated Credit Agreement dated as of May 4, 2018 between Universal Electronics Inc. and U.S.</w:t>
              </w:r>
            </w:hyperlink>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20" w:type="dxa"/>
            <w:vAlign w:val="bottom"/>
            <w:tcBorders>
              <w:top w:val="single" w:sz="8" w:color="0000FF"/>
              <w:bottom w:val="single" w:sz="8" w:color="0000FF"/>
            </w:tcBorders>
            <w:gridSpan w:val="20"/>
          </w:tcPr>
          <w:p>
            <w:pPr>
              <w:ind w:left="20"/>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Bank National Association and Wells Fargo Bank, National Association (incorporated in reference to Exhibit 10.1 to the Company's Quarterly</w:t>
              </w:r>
            </w:hyperlink>
          </w:p>
        </w:tc>
        <w:tc>
          <w:tcPr>
            <w:tcW w:w="200" w:type="dxa"/>
            <w:vAlign w:val="bottom"/>
            <w:tcBorders>
              <w:bottom w:val="single" w:sz="8" w:color="0000FF"/>
            </w:tcBorders>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20" w:type="dxa"/>
            <w:vAlign w:val="bottom"/>
            <w:gridSpan w:val="30"/>
          </w:tcPr>
          <w:p>
            <w:pPr>
              <w:ind w:left="20"/>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Report on Form 10-Q for the quarter ended June 30, 2018 filed on August 8, 2018 (File No. 0-21044))</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tcBorders>
              <w:top w:val="single" w:sz="8" w:color="0000FF"/>
            </w:tcBorders>
            <w:gridSpan w:val="7"/>
          </w:tcPr>
          <w:p>
            <w:pPr>
              <w:ind w:left="4660"/>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3620" w:type="dxa"/>
            <w:vAlign w:val="bottom"/>
          </w:tcPr>
          <w:p>
            <w:pPr>
              <w:spacing w:after="0"/>
              <w:rPr>
                <w:sz w:val="14"/>
                <w:szCs w:val="14"/>
                <w:color w:val="auto"/>
              </w:rPr>
            </w:pPr>
          </w:p>
        </w:tc>
        <w:tc>
          <w:tcPr>
            <w:tcW w:w="860" w:type="dxa"/>
            <w:vAlign w:val="bottom"/>
            <w:vMerge w:val="restart"/>
          </w:tcPr>
          <w:p>
            <w:pPr>
              <w:spacing w:after="0"/>
              <w:rPr>
                <w:sz w:val="14"/>
                <w:szCs w:val="14"/>
                <w:color w:val="auto"/>
              </w:rPr>
            </w:pPr>
          </w:p>
        </w:tc>
        <w:tc>
          <w:tcPr>
            <w:tcW w:w="598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9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80" w:type="dxa"/>
            <w:vAlign w:val="bottom"/>
          </w:tcPr>
          <w:p>
            <w:pPr>
              <w:spacing w:after="0"/>
              <w:rPr>
                <w:sz w:val="22"/>
                <w:szCs w:val="22"/>
                <w:color w:val="auto"/>
              </w:rPr>
            </w:pPr>
          </w:p>
        </w:tc>
        <w:tc>
          <w:tcPr>
            <w:tcW w:w="10460" w:type="dxa"/>
            <w:vAlign w:val="bottom"/>
            <w:gridSpan w:val="13"/>
          </w:tcPr>
          <w:p>
            <w:pPr>
              <w:ind w:left="20"/>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Share Transfer Agreement dated April 23, 2018 between C.G. Development Limited and Guangzhou MuXia Hotel Management Co. Ltd. 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80" w:type="dxa"/>
            <w:vAlign w:val="bottom"/>
            <w:tcBorders>
              <w:top w:val="single" w:sz="8" w:color="0000FF"/>
              <w:bottom w:val="single" w:sz="8" w:color="0000FF"/>
            </w:tcBorders>
            <w:gridSpan w:val="9"/>
          </w:tcPr>
          <w:p>
            <w:pPr>
              <w:ind w:left="20"/>
              <w:spacing w:after="0" w:line="15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Gemstar Technology (China) Co., Ltd. (incorporated by reference to Exhibit 10.3 to the Company's Quarterly Report on Form 10-Q for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60" w:type="dxa"/>
            <w:vAlign w:val="bottom"/>
            <w:tcBorders>
              <w:bottom w:val="single" w:sz="8" w:color="0000FF"/>
            </w:tcBorders>
            <w:gridSpan w:val="3"/>
          </w:tcPr>
          <w:p>
            <w:pPr>
              <w:ind w:left="20"/>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quarter ended June 30, 2018 filed on August 8, 2018 (File No. 0-21044))</w:t>
              </w:r>
            </w:hyperlink>
          </w:p>
        </w:tc>
        <w:tc>
          <w:tcPr>
            <w:tcW w:w="5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10.29</w:t>
            </w:r>
          </w:p>
        </w:tc>
        <w:tc>
          <w:tcPr>
            <w:tcW w:w="180" w:type="dxa"/>
            <w:vAlign w:val="bottom"/>
          </w:tcPr>
          <w:p>
            <w:pPr>
              <w:spacing w:after="0"/>
              <w:rPr>
                <w:sz w:val="22"/>
                <w:szCs w:val="22"/>
                <w:color w:val="auto"/>
              </w:rPr>
            </w:pPr>
          </w:p>
        </w:tc>
        <w:tc>
          <w:tcPr>
            <w:tcW w:w="10460" w:type="dxa"/>
            <w:vAlign w:val="bottom"/>
            <w:gridSpan w:val="13"/>
          </w:tcPr>
          <w:p>
            <w:pPr>
              <w:ind w:left="20"/>
              <w:spacing w:after="0"/>
              <w:rPr>
                <w:rFonts w:ascii="Arial" w:cs="Arial" w:eastAsia="Arial" w:hAnsi="Arial"/>
                <w:sz w:val="18"/>
                <w:szCs w:val="18"/>
                <w:color w:val="0000FF"/>
                <w:w w:val="99"/>
              </w:rPr>
            </w:pPr>
            <w:hyperlink r:id="rId130">
              <w:r>
                <w:rPr>
                  <w:rFonts w:ascii="Arial" w:cs="Arial" w:eastAsia="Arial" w:hAnsi="Arial"/>
                  <w:sz w:val="18"/>
                  <w:szCs w:val="18"/>
                  <w:color w:val="0000FF"/>
                  <w:w w:val="99"/>
                </w:rPr>
                <w:t>Universal Electronics Inc. 2018 Equity and Incentive Compensation Plan (incorporated by reference to Exhibit 4.5 to the Company's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40" w:type="dxa"/>
            <w:vAlign w:val="bottom"/>
            <w:tcBorders>
              <w:top w:val="single" w:sz="8" w:color="0000FF"/>
            </w:tcBorders>
            <w:gridSpan w:val="7"/>
          </w:tcPr>
          <w:p>
            <w:pPr>
              <w:ind w:left="20"/>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Registration Statement on form S-8 filed on September 26, 2018 (File No. 333-227594))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10.30</w:t>
            </w:r>
          </w:p>
        </w:tc>
        <w:tc>
          <w:tcPr>
            <w:tcW w:w="180" w:type="dxa"/>
            <w:vAlign w:val="bottom"/>
          </w:tcPr>
          <w:p>
            <w:pPr>
              <w:spacing w:after="0"/>
              <w:rPr>
                <w:sz w:val="22"/>
                <w:szCs w:val="22"/>
                <w:color w:val="auto"/>
              </w:rPr>
            </w:pPr>
          </w:p>
        </w:tc>
        <w:tc>
          <w:tcPr>
            <w:tcW w:w="10460" w:type="dxa"/>
            <w:vAlign w:val="bottom"/>
            <w:gridSpan w:val="13"/>
          </w:tcPr>
          <w:p>
            <w:pPr>
              <w:ind w:left="20"/>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Form of Restricted Stock Agreement under the 2018 Equity and Incentive Compensation Plan (incorporated by reference to Exhibit 10.5 to the</w:t>
              </w:r>
            </w:hyperlink>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40" w:type="dxa"/>
            <w:vAlign w:val="bottom"/>
            <w:tcBorders>
              <w:top w:val="single" w:sz="8" w:color="0000FF"/>
            </w:tcBorders>
            <w:gridSpan w:val="12"/>
          </w:tcPr>
          <w:p>
            <w:pPr>
              <w:ind w:left="2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Company's Quarterly Report on Form 10-Q for the quarter ended June 30, 2018 filed on August 8, 2018 (File No. 0-21044)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10.31</w:t>
            </w:r>
          </w:p>
        </w:tc>
        <w:tc>
          <w:tcPr>
            <w:tcW w:w="180" w:type="dxa"/>
            <w:vAlign w:val="bottom"/>
          </w:tcPr>
          <w:p>
            <w:pPr>
              <w:spacing w:after="0"/>
              <w:rPr>
                <w:sz w:val="18"/>
                <w:szCs w:val="18"/>
                <w:color w:val="auto"/>
              </w:rPr>
            </w:pPr>
          </w:p>
        </w:tc>
        <w:tc>
          <w:tcPr>
            <w:tcW w:w="10460" w:type="dxa"/>
            <w:vAlign w:val="bottom"/>
            <w:gridSpan w:val="13"/>
          </w:tcPr>
          <w:p>
            <w:pPr>
              <w:ind w:left="20"/>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Form of Stock Option Agreement under the 2018 Equity and Incentive Compensation Plan (incorporated by reference to Exhibit 10.6 to the</w:t>
              </w:r>
            </w:hyperlink>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tcBorders>
              <w:top w:val="single" w:sz="8" w:color="0000FF"/>
            </w:tcBorders>
            <w:gridSpan w:val="11"/>
          </w:tcPr>
          <w:p>
            <w:pPr>
              <w:ind w:left="2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Company's Quarterly Report on Form 10-Q for the quarter ended June 30, 2018 filed on August 8, 2018 (File No. 0-21044))</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10.32</w:t>
            </w:r>
          </w:p>
        </w:tc>
        <w:tc>
          <w:tcPr>
            <w:tcW w:w="180" w:type="dxa"/>
            <w:vAlign w:val="bottom"/>
          </w:tcPr>
          <w:p>
            <w:pPr>
              <w:spacing w:after="0"/>
              <w:rPr>
                <w:sz w:val="18"/>
                <w:szCs w:val="18"/>
                <w:color w:val="auto"/>
              </w:rPr>
            </w:pPr>
          </w:p>
        </w:tc>
        <w:tc>
          <w:tcPr>
            <w:tcW w:w="10460" w:type="dxa"/>
            <w:vAlign w:val="bottom"/>
            <w:gridSpan w:val="13"/>
          </w:tcPr>
          <w:p>
            <w:pPr>
              <w:ind w:left="20"/>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Second Amendment to Second Amended and Restated Credit Agreement (incorporated by reference to Exhibit 10.1 to the Company's Current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60" w:type="dxa"/>
            <w:vAlign w:val="bottom"/>
            <w:tcBorders>
              <w:top w:val="single" w:sz="8" w:color="0000FF"/>
            </w:tcBorders>
            <w:gridSpan w:val="8"/>
          </w:tcPr>
          <w:p>
            <w:pPr>
              <w:ind w:left="20"/>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Report on form 8-K dated December 27, 2018 filed on January 3, 2019 (File No. 0-21044))</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10.33</w:t>
            </w:r>
          </w:p>
        </w:tc>
        <w:tc>
          <w:tcPr>
            <w:tcW w:w="180" w:type="dxa"/>
            <w:vAlign w:val="bottom"/>
          </w:tcPr>
          <w:p>
            <w:pPr>
              <w:spacing w:after="0"/>
              <w:rPr>
                <w:sz w:val="24"/>
                <w:szCs w:val="24"/>
                <w:color w:val="auto"/>
              </w:rPr>
            </w:pPr>
          </w:p>
        </w:tc>
        <w:tc>
          <w:tcPr>
            <w:tcW w:w="6580" w:type="dxa"/>
            <w:vAlign w:val="bottom"/>
            <w:tcBorders>
              <w:top w:val="single" w:sz="8" w:color="0000FF"/>
            </w:tcBorders>
            <w:gridSpan w:val="6"/>
          </w:tcPr>
          <w:p>
            <w:pPr>
              <w:ind w:left="20"/>
              <w:spacing w:after="0"/>
              <w:rPr>
                <w:rFonts w:ascii="Arial" w:cs="Arial" w:eastAsia="Arial" w:hAnsi="Arial"/>
                <w:sz w:val="18"/>
                <w:szCs w:val="18"/>
                <w:u w:val="single" w:color="auto"/>
                <w:color w:val="0000FF"/>
                <w:w w:val="94"/>
              </w:rPr>
            </w:pPr>
            <w:hyperlink w:anchor="page87">
              <w:r>
                <w:rPr>
                  <w:rFonts w:ascii="Arial" w:cs="Arial" w:eastAsia="Arial" w:hAnsi="Arial"/>
                  <w:sz w:val="18"/>
                  <w:szCs w:val="18"/>
                  <w:u w:val="single" w:color="auto"/>
                  <w:color w:val="0000FF"/>
                  <w:w w:val="94"/>
                </w:rPr>
                <w:t>Third Amendment to Second Amended and Restated Credit Agreement (filed herewith)</w:t>
              </w:r>
            </w:hyperlink>
          </w:p>
        </w:tc>
        <w:tc>
          <w:tcPr>
            <w:tcW w:w="38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10.34</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Fourth Amendment to Second Amended and Restated Credit Agreement (filed herewith)</w:t>
              </w:r>
            </w:hyperlink>
          </w:p>
        </w:tc>
        <w:tc>
          <w:tcPr>
            <w:tcW w:w="0" w:type="dxa"/>
            <w:vAlign w:val="bottom"/>
          </w:tcPr>
          <w:p>
            <w:pPr>
              <w:spacing w:after="0"/>
              <w:rPr>
                <w:sz w:val="1"/>
                <w:szCs w:val="1"/>
                <w:color w:val="auto"/>
              </w:rPr>
            </w:pPr>
          </w:p>
        </w:tc>
      </w:tr>
      <w:tr>
        <w:trPr>
          <w:trHeight w:val="24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14.1</w:t>
            </w:r>
          </w:p>
        </w:tc>
        <w:tc>
          <w:tcPr>
            <w:tcW w:w="180" w:type="dxa"/>
            <w:vAlign w:val="bottom"/>
          </w:tcPr>
          <w:p>
            <w:pPr>
              <w:spacing w:after="0"/>
              <w:rPr>
                <w:sz w:val="21"/>
                <w:szCs w:val="21"/>
                <w:color w:val="auto"/>
              </w:rPr>
            </w:pPr>
          </w:p>
        </w:tc>
        <w:tc>
          <w:tcPr>
            <w:tcW w:w="10460" w:type="dxa"/>
            <w:vAlign w:val="bottom"/>
            <w:gridSpan w:val="13"/>
          </w:tcPr>
          <w:p>
            <w:pPr>
              <w:ind w:left="20"/>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Code of Conduct (incorporated by reference to Exhibit 14.1 to the Company's Annual Report on Form 10-K for the year ended December 31,</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2003 filed on March 14, 2004 (File No. 0-21044))</w:t>
              </w:r>
            </w:hyperlink>
          </w:p>
        </w:tc>
        <w:tc>
          <w:tcPr>
            <w:tcW w:w="6720" w:type="dxa"/>
            <w:vAlign w:val="bottom"/>
            <w:tcBorders>
              <w:top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21.1</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List of Subsidiaries of the Registrant (filed herewith)</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Consent of Independent Registered Public Accounting Firm (filed herewith)</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Power of Attorney (filed as part of the signature page hereto)</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Rule 13a-14(a) Certifications of the Chief Executive Officer (filed herewith)</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w w:val="99"/>
              </w:rPr>
            </w:pPr>
            <w:hyperlink w:anchor="page110">
              <w:r>
                <w:rPr>
                  <w:rFonts w:ascii="Arial" w:cs="Arial" w:eastAsia="Arial" w:hAnsi="Arial"/>
                  <w:sz w:val="18"/>
                  <w:szCs w:val="18"/>
                  <w:u w:val="single" w:color="auto"/>
                  <w:color w:val="0000FF"/>
                  <w:w w:val="99"/>
                </w:rPr>
                <w:t>Rule 13a-14(a) Certifications of the Chief Financial Officer (principal financial officer and principal accounting officer) (filed herewith)</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Section 1350 Certifications of the Chief Executive Officer (furnished herewith)</w:t>
              </w:r>
            </w:hyperlink>
          </w:p>
        </w:tc>
        <w:tc>
          <w:tcPr>
            <w:tcW w:w="0" w:type="dxa"/>
            <w:vAlign w:val="bottom"/>
          </w:tcPr>
          <w:p>
            <w:pPr>
              <w:spacing w:after="0"/>
              <w:rPr>
                <w:sz w:val="1"/>
                <w:szCs w:val="1"/>
                <w:color w:val="auto"/>
              </w:rPr>
            </w:pPr>
          </w:p>
        </w:tc>
      </w:tr>
      <w:tr>
        <w:trPr>
          <w:trHeight w:val="284"/>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180" w:type="dxa"/>
            <w:vAlign w:val="bottom"/>
          </w:tcPr>
          <w:p>
            <w:pPr>
              <w:spacing w:after="0"/>
              <w:rPr>
                <w:sz w:val="24"/>
                <w:szCs w:val="24"/>
                <w:color w:val="auto"/>
              </w:rPr>
            </w:pPr>
          </w:p>
        </w:tc>
        <w:tc>
          <w:tcPr>
            <w:tcW w:w="10460" w:type="dxa"/>
            <w:vAlign w:val="bottom"/>
            <w:gridSpan w:val="13"/>
          </w:tcPr>
          <w:p>
            <w:pPr>
              <w:ind w:left="20"/>
              <w:spacing w:after="0"/>
              <w:rPr>
                <w:rFonts w:ascii="Arial" w:cs="Arial" w:eastAsia="Arial" w:hAnsi="Arial"/>
                <w:sz w:val="18"/>
                <w:szCs w:val="18"/>
                <w:u w:val="single" w:color="auto"/>
                <w:color w:val="0000FF"/>
                <w:w w:val="97"/>
              </w:rPr>
            </w:pPr>
            <w:hyperlink w:anchor="page112">
              <w:r>
                <w:rPr>
                  <w:rFonts w:ascii="Arial" w:cs="Arial" w:eastAsia="Arial" w:hAnsi="Arial"/>
                  <w:sz w:val="18"/>
                  <w:szCs w:val="18"/>
                  <w:u w:val="single" w:color="auto"/>
                  <w:color w:val="0000FF"/>
                  <w:w w:val="97"/>
                </w:rPr>
                <w:t>Section 1350 Certifications of the Chief Financial Officer (principal financial officer and principal accounting officer) (furnished herewith)</w:t>
              </w:r>
            </w:hyperlink>
          </w:p>
        </w:tc>
        <w:tc>
          <w:tcPr>
            <w:tcW w:w="0" w:type="dxa"/>
            <w:vAlign w:val="bottom"/>
          </w:tcPr>
          <w:p>
            <w:pPr>
              <w:spacing w:after="0"/>
              <w:rPr>
                <w:sz w:val="1"/>
                <w:szCs w:val="1"/>
                <w:color w:val="auto"/>
              </w:rPr>
            </w:pPr>
          </w:p>
        </w:tc>
      </w:tr>
      <w:tr>
        <w:trPr>
          <w:trHeight w:val="284"/>
        </w:trPr>
        <w:tc>
          <w:tcPr>
            <w:tcW w:w="7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101.INS</w:t>
            </w:r>
          </w:p>
        </w:tc>
        <w:tc>
          <w:tcPr>
            <w:tcW w:w="10460" w:type="dxa"/>
            <w:vAlign w:val="bottom"/>
            <w:gridSpan w:val="13"/>
          </w:tcPr>
          <w:p>
            <w:pPr>
              <w:ind w:left="2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101.SCH</w:t>
            </w:r>
          </w:p>
        </w:tc>
        <w:tc>
          <w:tcPr>
            <w:tcW w:w="1046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6"/>
              </w:rPr>
              <w:t>101.CAL</w:t>
            </w:r>
          </w:p>
        </w:tc>
        <w:tc>
          <w:tcPr>
            <w:tcW w:w="1046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101.DEF</w:t>
            </w:r>
          </w:p>
        </w:tc>
        <w:tc>
          <w:tcPr>
            <w:tcW w:w="1046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Linkbase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101.LAB</w:t>
            </w:r>
          </w:p>
        </w:tc>
        <w:tc>
          <w:tcPr>
            <w:tcW w:w="1046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101.PRE</w:t>
            </w:r>
          </w:p>
        </w:tc>
        <w:tc>
          <w:tcPr>
            <w:tcW w:w="1046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00" w:hanging="582"/>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Cover Page Interactive Data File (embedded within the Inline XBRL document)</w:t>
      </w:r>
    </w:p>
    <w:p>
      <w:pPr>
        <w:spacing w:after="0" w:line="77" w:lineRule="exact"/>
        <w:rPr>
          <w:sz w:val="20"/>
          <w:szCs w:val="20"/>
          <w:color w:val="auto"/>
        </w:rPr>
      </w:pPr>
    </w:p>
    <w:p>
      <w:pPr>
        <w:ind w:left="900" w:hanging="50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Scottsdale, State of Arizona.</w:t>
      </w: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UNIVERSAL ELECTRONICS INC.</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D. Arling</w:t>
            </w:r>
          </w:p>
        </w:tc>
      </w:tr>
      <w:tr>
        <w:trPr>
          <w:trHeight w:val="222"/>
        </w:trPr>
        <w:tc>
          <w:tcPr>
            <w:tcW w:w="9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9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378"/>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20"/>
              <w:spacing w:after="0"/>
              <w:rPr>
                <w:sz w:val="20"/>
                <w:szCs w:val="20"/>
                <w:color w:val="auto"/>
              </w:rPr>
            </w:pPr>
            <w:r>
              <w:rPr>
                <w:rFonts w:ascii="Arial" w:cs="Arial" w:eastAsia="Arial" w:hAnsi="Arial"/>
                <w:sz w:val="18"/>
                <w:szCs w:val="18"/>
                <w:color w:val="auto"/>
              </w:rPr>
              <w:t>March 5, 2021</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6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2760" w:type="dxa"/>
            <w:vAlign w:val="bottom"/>
          </w:tcPr>
          <w:p>
            <w:pPr>
              <w:ind w:left="960"/>
              <w:spacing w:after="0"/>
              <w:rPr>
                <w:sz w:val="20"/>
                <w:szCs w:val="20"/>
                <w:color w:val="auto"/>
              </w:rPr>
            </w:pPr>
            <w:r>
              <w:rPr>
                <w:rFonts w:ascii="Arial" w:cs="Arial" w:eastAsia="Arial" w:hAnsi="Arial"/>
                <w:sz w:val="14"/>
                <w:szCs w:val="14"/>
                <w:b w:val="1"/>
                <w:bCs w:val="1"/>
                <w:color w:val="auto"/>
              </w:rPr>
              <w:t>SIGNATURE</w:t>
            </w:r>
          </w:p>
        </w:tc>
        <w:tc>
          <w:tcPr>
            <w:tcW w:w="1680" w:type="dxa"/>
            <w:vAlign w:val="bottom"/>
          </w:tcPr>
          <w:p>
            <w:pPr>
              <w:jc w:val="center"/>
              <w:ind w:left="532"/>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42"/>
        </w:trPr>
        <w:tc>
          <w:tcPr>
            <w:tcW w:w="6260" w:type="dxa"/>
            <w:vAlign w:val="bottom"/>
          </w:tcPr>
          <w:p>
            <w:pPr>
              <w:spacing w:after="0"/>
              <w:rPr>
                <w:sz w:val="20"/>
                <w:szCs w:val="20"/>
                <w:color w:val="auto"/>
              </w:rPr>
            </w:pPr>
            <w:r>
              <w:rPr>
                <w:rFonts w:ascii="Arial" w:cs="Arial" w:eastAsia="Arial" w:hAnsi="Arial"/>
                <w:sz w:val="18"/>
                <w:szCs w:val="18"/>
                <w:color w:val="auto"/>
              </w:rPr>
              <w:t>Paul D. Arling</w:t>
            </w:r>
          </w:p>
        </w:tc>
        <w:tc>
          <w:tcPr>
            <w:tcW w:w="2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line="176" w:lineRule="exact"/>
              <w:rPr>
                <w:sz w:val="20"/>
                <w:szCs w:val="20"/>
                <w:color w:val="auto"/>
              </w:rPr>
            </w:pPr>
            <w:r>
              <w:rPr>
                <w:rFonts w:ascii="Arial" w:cs="Arial" w:eastAsia="Arial" w:hAnsi="Arial"/>
                <w:sz w:val="18"/>
                <w:szCs w:val="18"/>
                <w:i w:val="1"/>
                <w:iCs w:val="1"/>
                <w:color w:val="auto"/>
              </w:rPr>
              <w:t>Chairman and Chief Executive Officer</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Paul D. Arling</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Bryan M. Hackworth</w:t>
            </w:r>
          </w:p>
        </w:tc>
        <w:tc>
          <w:tcPr>
            <w:tcW w:w="2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Bryan M. Hackworth</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Satjiv S. Chahil</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Satjiv S. Chahil</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Sue Ann R. Hamilton</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Sue Ann R. Hamilton</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William C. Mulligan</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William C. Mulligan</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Gregory P. Stapleton</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Gregory P. Stapleton</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Carl E. Vogel</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Carl E. Vogel</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Edward K. Zinser</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Edward K. Zinser</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10.33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Third Amendment to Second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November 1, 2019,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U.S. BANK NATIONAL ASSOCIATION, a national banking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8"/>
        <w:spacing w:after="0" w:line="259" w:lineRule="auto"/>
        <w:tabs>
          <w:tab w:leader="none" w:pos="3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the Lenders and the Administrative Agent have entered into a Second Amended and Restated Credit Agreement dated as of October 27, 2017, as amended by that certain First Amendment to Second Amended and Restated Credit Agreement dated as of May 4, 2018, and as further amended by that certain Second Amendment to Second Amended and Restated Credit Agreement dated as of December 21, 2018 (as amended, restated,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firstLine="8"/>
        <w:spacing w:after="0" w:line="277" w:lineRule="auto"/>
        <w:tabs>
          <w:tab w:leader="none" w:pos="4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has requested that the Lenders and the Administrative Agent make certain amendments to the Credit Agreement and the Required Lenders and the Administrative Agent are willing to do so, on the terms and subject to the conditions set forth herein.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mutual promises herein set forth and for other good and valuable consideration, the Borrower, the Required Lenders and the Administrative Agent agree as follows:</w:t>
      </w:r>
    </w:p>
    <w:p>
      <w:pPr>
        <w:spacing w:after="0" w:line="193" w:lineRule="exact"/>
        <w:rPr>
          <w:sz w:val="20"/>
          <w:szCs w:val="20"/>
          <w:color w:val="auto"/>
        </w:rPr>
      </w:pPr>
    </w:p>
    <w:p>
      <w:pPr>
        <w:ind w:left="660" w:hanging="647"/>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and not otherwise defined herein shall have the meanings assigned to them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unless the context shall otherwise require.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Agreement is hereby amended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56" w:lineRule="exact"/>
        <w:rPr>
          <w:sz w:val="20"/>
          <w:szCs w:val="20"/>
          <w:color w:val="auto"/>
        </w:rPr>
      </w:pPr>
    </w:p>
    <w:p>
      <w:pPr>
        <w:ind w:left="900" w:hanging="244"/>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Section 1.1 of the Credit Agreement is amended by amending and restating the definition of “</w:t>
      </w:r>
      <w:r>
        <w:rPr>
          <w:rFonts w:ascii="Arial" w:cs="Arial" w:eastAsia="Arial" w:hAnsi="Arial"/>
          <w:sz w:val="16"/>
          <w:szCs w:val="16"/>
          <w:u w:val="single" w:color="auto"/>
          <w:color w:val="auto"/>
        </w:rPr>
        <w:t>Facility Termination Date</w:t>
      </w:r>
      <w:r>
        <w:rPr>
          <w:rFonts w:ascii="Arial" w:cs="Arial" w:eastAsia="Arial" w:hAnsi="Arial"/>
          <w:sz w:val="16"/>
          <w:szCs w:val="16"/>
          <w:color w:val="auto"/>
        </w:rPr>
        <w:t>” to read in its entirety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3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means November 1, 2021 or any earlier date on which the Aggregate Revolving Commitment is reduced to zero or otherwise terminated pursuant to the terms 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and Effectiveness</w:t>
      </w:r>
      <w:r>
        <w:rPr>
          <w:rFonts w:ascii="Arial" w:cs="Arial" w:eastAsia="Arial" w:hAnsi="Arial"/>
          <w:sz w:val="18"/>
          <w:szCs w:val="18"/>
          <w:color w:val="auto"/>
        </w:rPr>
        <w:t>. This Amendment shall become effective only upon satisfaction of the following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Borrower shall have duly executed and delivered to the Administrative Agent this Amendment.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The Borrower shall have satisfied any other conditions as specified by the Administrative Agent, including payment of all unpaid legal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incurred by the Administrative Agent through the date of this Amendment in connection with the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Warranties, Authority, No Adverse Claim</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Reassertion of Representations and Warranties, No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hereby represents that on and as of the date hereof and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Required Lenders.</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Authority, No Conflict, No Consent Required,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represents and warrants that the Borrower has the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legal right and authority to enter into this Amendment and any other instrument or agreement executed by the Borrower in connection with this Amendment (collectively, the “</w:t>
      </w:r>
      <w:r>
        <w:rPr>
          <w:rFonts w:ascii="Arial" w:cs="Arial" w:eastAsia="Arial" w:hAnsi="Arial"/>
          <w:sz w:val="18"/>
          <w:szCs w:val="18"/>
          <w:u w:val="single" w:color="auto"/>
          <w:color w:val="auto"/>
        </w:rPr>
        <w:t>Amendment Documents</w:t>
      </w:r>
      <w:r>
        <w:rPr>
          <w:rFonts w:ascii="Arial" w:cs="Arial" w:eastAsia="Arial" w:hAnsi="Arial"/>
          <w:sz w:val="18"/>
          <w:szCs w:val="18"/>
          <w:color w:val="auto"/>
        </w:rPr>
        <w:t>”) and has duly authorized as appropriate the execution and delivery of the Amendment Documents and other agreements and documents</w:t>
      </w:r>
    </w:p>
    <w:p>
      <w:pPr>
        <w:sectPr>
          <w:pgSz w:w="11900" w:h="16838" w:orient="portrait"/>
          <w:cols w:equalWidth="0" w:num="1">
            <w:col w:w="11240"/>
          </w:cols>
          <w:pgMar w:left="320" w:top="891" w:right="339" w:bottom="1440" w:gutter="0" w:footer="0" w:header="0"/>
        </w:sectPr>
      </w:pPr>
    </w:p>
    <w:bookmarkStart w:id="87" w:name="page88"/>
    <w:bookmarkEnd w:id="87"/>
    <w:p>
      <w:pPr>
        <w:jc w:val="both"/>
        <w:spacing w:after="0" w:line="268" w:lineRule="auto"/>
        <w:rPr>
          <w:sz w:val="20"/>
          <w:szCs w:val="20"/>
          <w:color w:val="auto"/>
        </w:rPr>
      </w:pPr>
      <w:r>
        <w:rPr>
          <w:rFonts w:ascii="Arial" w:cs="Arial" w:eastAsia="Arial" w:hAnsi="Arial"/>
          <w:sz w:val="17"/>
          <w:szCs w:val="17"/>
          <w:color w:val="auto"/>
        </w:rPr>
        <w:t>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Secured Party (as defined in that certain Amendment to Security Agreement dated as of October 27, 2017, by and between the Borrower and the Administrative Agent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Administrative Agent.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20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 Adverse Claim</w:t>
      </w:r>
      <w:r>
        <w:rPr>
          <w:rFonts w:ascii="Arial" w:cs="Arial" w:eastAsia="Arial" w:hAnsi="Arial"/>
          <w:sz w:val="18"/>
          <w:szCs w:val="18"/>
          <w:color w:val="auto"/>
        </w:rPr>
        <w:t>. The Borrower warrants, acknowledges and agrees that no events have taken place and no circumstances exist at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which would give the Borrower a basis to assert a defense, offset or counterclaim to any claim of the Lenders with respect to the Borrower’s obligations under the Credit Agreement as amended by this Amendment.</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Affirmation of Credit Agreement, Further References, Affirmation of Security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 Lenders, the Administrative Agent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Secured Party that the Borrower’s obligations under the Credit Agreement, as amended by this Amendment, are and continue to be secured by the security interest granted by the Borrower in favor of the Secured Party under the Security Agreement,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Merger and Integration, Superseding Effect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from and after the date hereof, embodies the entire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possible, each provision of this Amendment and any other statement, instrument or transaction contemplated hereby or</w:t>
      </w:r>
      <w:r>
        <w:rPr>
          <w:rFonts w:ascii="Arial" w:cs="Arial" w:eastAsia="Arial" w:hAnsi="Arial"/>
          <w:sz w:val="17"/>
          <w:szCs w:val="17"/>
          <w:b w:val="1"/>
          <w:bCs w:val="1"/>
          <w:color w:val="auto"/>
        </w:rPr>
        <w:t xml:space="preserve"> </w:t>
      </w:r>
      <w:r>
        <w:rPr>
          <w:rFonts w:ascii="Arial" w:cs="Arial" w:eastAsia="Arial" w:hAnsi="Arial"/>
          <w:sz w:val="17"/>
          <w:szCs w:val="17"/>
          <w:color w:val="auto"/>
        </w:rPr>
        <w:t>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the Borrower, the Lenders, the Administrative Agent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shall inure to the benefit of the Borrower, the Lenders, the Administrative Agent and the successors and assigns of the Lenders and the Administrative Agent.</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b w:val="1"/>
          <w:bCs w:val="1"/>
          <w:u w:val="single" w:color="auto"/>
          <w:color w:val="auto"/>
        </w:rPr>
        <w:t>Legal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As provided in Section 9.6 of the Credit Agreement, the Borrower agrees to pay or reimburse the Administrative Agent, upon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of this Amendment, for all reasonable out-of-pocket expenses paid or incurred by the Administrative Agent, including filing and recording costs and fees, charges and disbursements of outside counsel to the Administrative Agent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Administrative Agent</w:t>
      </w:r>
    </w:p>
    <w:p>
      <w:pPr>
        <w:sectPr>
          <w:pgSz w:w="11900" w:h="16838" w:orient="portrait"/>
          <w:cols w:equalWidth="0" w:num="1">
            <w:col w:w="11240"/>
          </w:cols>
          <w:pgMar w:left="320" w:top="895" w:right="3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8"/>
          <w:szCs w:val="18"/>
          <w:color w:val="auto"/>
        </w:rPr>
        <w:t>harmless from all liability for, any stamp or other taxes which may be payable with respect to the execution or delivery of the Amendment Documents, which obligations of the Borrower shall survive any termination of the Credit Agreement.</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various sections of this Amendment have been inserted for reference only and shall not be deemed to be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Amendment may be executed in several counterparts as deemed necessary or convenient, each of 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AMENDMENT DOCUMENTS SHALL BE GOVERNED BY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WITHOUT GIVING EFFECT TO CONFLICT OF LAW PRINCIPLES THEREOF, BUT GIVING EFFECT TO FEDERAL LAWS APPLICABLE TO NATIONAL BANKS, THEIR HOLDING COMPANIES AND THEIR AFFILIATES.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895" w:right="33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Bryan M. Hackworth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Bryan M. Hackworth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Sr. Vice President and CFO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 and as Administrative Agent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Andrew Williams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Andrew Williams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[Signature Page to Third Amendment to Second A&amp;R Credit Agreement]</w:t>
      </w:r>
    </w:p>
    <w:p>
      <w:pPr>
        <w:sectPr>
          <w:pgSz w:w="11900" w:h="16838" w:orient="portrait"/>
          <w:cols w:equalWidth="0" w:num="1">
            <w:col w:w="10920"/>
          </w:cols>
          <w:pgMar w:left="320" w:top="895" w:right="6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10.34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Fourth Amendment to Second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January 7, 2021,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U.S. BANK NATIONAL ASSOCIATION, a national banking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The Borrower, the Lenders and the Administrative Agent have entered into a Second Amended and Restated Credit Agreement dated as of October 27, 2017, as amended by that certain First Amendment to Second Amended and Restated Credit Agreement dated as of May 4, 2018, and as further amended by that certain Second Amendment to Second Amended and Restated Credit Agreement dated as of December 21, 2018, and as further amended by that certain Third Amendment to Second Amended and Restated Credit Agreement dated as of November 1, 2019 (as amended, restated,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 The Borrower has requested that the Lenders and the Administrative Agent make certain amendments to the Credit Agreement and the Required Lenders and the Administrative Agent are willing to do so, on the terms and subject to the conditions set forth herein.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in consideration of the mutual promises herein set forth and for other good and valuable consideration, the Borrower, the Required Lenders and the Administrative Agent agree as follows: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and not otherwise defined herein shall have the meanings assigned to them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unless the context shall otherwise require.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Agreement is hereby amended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56" w:lineRule="exact"/>
        <w:rPr>
          <w:sz w:val="20"/>
          <w:szCs w:val="20"/>
          <w:color w:val="auto"/>
        </w:rPr>
      </w:pPr>
    </w:p>
    <w:p>
      <w:pPr>
        <w:ind w:left="900" w:hanging="244"/>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Section 1.1 of the Credit Agreement is amended by amending and restating the definition of “</w:t>
      </w:r>
      <w:r>
        <w:rPr>
          <w:rFonts w:ascii="Arial" w:cs="Arial" w:eastAsia="Arial" w:hAnsi="Arial"/>
          <w:sz w:val="16"/>
          <w:szCs w:val="16"/>
          <w:u w:val="single" w:color="auto"/>
          <w:color w:val="auto"/>
        </w:rPr>
        <w:t>Facility Termination Date</w:t>
      </w:r>
      <w:r>
        <w:rPr>
          <w:rFonts w:ascii="Arial" w:cs="Arial" w:eastAsia="Arial" w:hAnsi="Arial"/>
          <w:sz w:val="16"/>
          <w:szCs w:val="16"/>
          <w:color w:val="auto"/>
        </w:rPr>
        <w:t>” to read in its entirety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3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means November 1, 2022 or any earlier date on which the Aggregate Revolving Commitment is reduced to zero or otherwise terminated pursuant to the terms 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Section 1.1 of the Credit Agreement is amended by amending and restating the definition of “</w:t>
      </w:r>
      <w:r>
        <w:rPr>
          <w:rFonts w:ascii="Arial" w:cs="Arial" w:eastAsia="Arial" w:hAnsi="Arial"/>
          <w:sz w:val="16"/>
          <w:szCs w:val="16"/>
          <w:u w:val="single" w:color="auto"/>
          <w:color w:val="auto"/>
        </w:rPr>
        <w:t>Swing Line Sublimit</w:t>
      </w:r>
      <w:r>
        <w:rPr>
          <w:rFonts w:ascii="Arial" w:cs="Arial" w:eastAsia="Arial" w:hAnsi="Arial"/>
          <w:sz w:val="16"/>
          <w:szCs w:val="16"/>
          <w:color w:val="auto"/>
        </w:rPr>
        <w:t>” to read in its entirety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 Section 1.1 of the Credit Agreement is amended by amending and restating the definition of “</w:t>
      </w:r>
      <w:r>
        <w:rPr>
          <w:rFonts w:ascii="Arial" w:cs="Arial" w:eastAsia="Arial" w:hAnsi="Arial"/>
          <w:sz w:val="17"/>
          <w:szCs w:val="17"/>
          <w:u w:val="single" w:color="auto"/>
          <w:color w:val="auto"/>
        </w:rPr>
        <w:t>Type</w:t>
      </w:r>
      <w:r>
        <w:rPr>
          <w:rFonts w:ascii="Arial" w:cs="Arial" w:eastAsia="Arial" w:hAnsi="Arial"/>
          <w:sz w:val="17"/>
          <w:szCs w:val="17"/>
          <w:color w:val="auto"/>
        </w:rPr>
        <w:t>” to read in its entirety as follows:</w:t>
      </w:r>
    </w:p>
    <w:p>
      <w:pPr>
        <w:spacing w:after="0" w:line="26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Advance, its nature as a Base Rate Advance, a Eurocurrency Advance or a Daily Reset Advance and with respect to any Loan, its nature as a Base Rate Loan, a Eurocurrency Loan or a Daily Reset Loan.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 Section 1.1 of the Credit Agreement is amended by inserting the additional defined terms in their applicable alphabetical position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3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(v) of Section 3.3(b).</w:t>
      </w:r>
    </w:p>
    <w:p>
      <w:pPr>
        <w:sectPr>
          <w:pgSz w:w="11900" w:h="16838" w:orient="portrait"/>
          <w:cols w:equalWidth="0" w:num="1">
            <w:col w:w="11240"/>
          </w:cols>
          <w:pgMar w:left="320" w:top="891" w:right="339" w:bottom="1440" w:gutter="0" w:footer="0" w:header="0"/>
        </w:sectPr>
      </w:pPr>
    </w:p>
    <w:bookmarkStart w:id="91" w:name="page92"/>
    <w:bookmarkEnd w:id="91"/>
    <w:p>
      <w:pPr>
        <w:jc w:val="both"/>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the Eurocurrency Base Rate; provided that if a Benchmark Transition Event, a Term SOFR Transition Event, or an Early Opt-in Election, as applicable, and its related Benchmark Replacement Date have occurred with respect to the Eurocurrency Base Rate or the then-current Benchmark, then “Benchmark” means the applicable Benchmark Replacement to the extent that such Benchmark Replacement has become effective pursuant to Section 3.3(b).</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238" w:lineRule="exact"/>
        <w:rPr>
          <w:sz w:val="20"/>
          <w:szCs w:val="20"/>
          <w:color w:val="auto"/>
        </w:rPr>
      </w:pPr>
    </w:p>
    <w:p>
      <w:pPr>
        <w:ind w:left="264" w:hanging="264"/>
        <w:spacing w:after="0"/>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 ;</w:t>
      </w:r>
    </w:p>
    <w:p>
      <w:pPr>
        <w:spacing w:after="0" w:line="252" w:lineRule="exact"/>
        <w:rPr>
          <w:rFonts w:ascii="Arial" w:cs="Arial" w:eastAsia="Arial" w:hAnsi="Arial"/>
          <w:sz w:val="18"/>
          <w:szCs w:val="18"/>
          <w:color w:val="auto"/>
        </w:rPr>
      </w:pPr>
    </w:p>
    <w:p>
      <w:pPr>
        <w:ind w:left="264" w:hanging="264"/>
        <w:spacing w:after="0"/>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 ;</w:t>
      </w:r>
    </w:p>
    <w:p>
      <w:pPr>
        <w:spacing w:after="0" w:line="252" w:lineRule="exact"/>
        <w:rPr>
          <w:rFonts w:ascii="Arial" w:cs="Arial" w:eastAsia="Arial" w:hAnsi="Arial"/>
          <w:sz w:val="18"/>
          <w:szCs w:val="18"/>
          <w:color w:val="auto"/>
        </w:rPr>
      </w:pPr>
    </w:p>
    <w:p>
      <w:pPr>
        <w:jc w:val="both"/>
        <w:ind w:left="4" w:hanging="4"/>
        <w:spacing w:after="0" w:line="269" w:lineRule="auto"/>
        <w:tabs>
          <w:tab w:leader="none" w:pos="2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 provided that, in the case of clause (1), such Unadjusted Benchmark Replacement is displayed on a screen or other information service that publishes such rate from time to time as selected by the Administrative Agent in its reasonable discretion; provided further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 If the Benchmark Replacement as determined pursuant to clause (1), (2) or (3) above would be less than the Floor, the Benchmark Replacement will be deemed to be the Floor for the purposes of this Agreement and the other Loan Documents.</w:t>
      </w:r>
    </w:p>
    <w:p>
      <w:pPr>
        <w:spacing w:after="0" w:line="206"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51" w:lineRule="exact"/>
        <w:rPr>
          <w:sz w:val="20"/>
          <w:szCs w:val="20"/>
          <w:color w:val="auto"/>
        </w:rPr>
      </w:pPr>
    </w:p>
    <w:p>
      <w:pPr>
        <w:ind w:left="4" w:hanging="4"/>
        <w:spacing w:after="0" w:line="277"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197" w:lineRule="exact"/>
        <w:rPr>
          <w:rFonts w:ascii="Arial" w:cs="Arial" w:eastAsia="Arial" w:hAnsi="Arial"/>
          <w:sz w:val="18"/>
          <w:szCs w:val="18"/>
          <w:color w:val="auto"/>
        </w:rPr>
      </w:pPr>
    </w:p>
    <w:p>
      <w:pPr>
        <w:jc w:val="both"/>
        <w:ind w:left="644" w:firstLine="4"/>
        <w:spacing w:after="0" w:line="259" w:lineRule="auto"/>
        <w:tabs>
          <w:tab w:leader="none" w:pos="10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13" w:lineRule="exact"/>
        <w:rPr>
          <w:rFonts w:ascii="Arial" w:cs="Arial" w:eastAsia="Arial" w:hAnsi="Arial"/>
          <w:sz w:val="18"/>
          <w:szCs w:val="18"/>
          <w:color w:val="auto"/>
        </w:rPr>
      </w:pPr>
    </w:p>
    <w:p>
      <w:pPr>
        <w:jc w:val="both"/>
        <w:ind w:left="644" w:firstLine="4"/>
        <w:spacing w:after="0" w:line="311" w:lineRule="auto"/>
        <w:tabs>
          <w:tab w:leader="none" w:pos="899"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75" w:lineRule="exact"/>
        <w:rPr>
          <w:rFonts w:ascii="Arial" w:cs="Arial" w:eastAsia="Arial" w:hAnsi="Arial"/>
          <w:sz w:val="16"/>
          <w:szCs w:val="16"/>
          <w:color w:val="auto"/>
        </w:rPr>
      </w:pPr>
    </w:p>
    <w:p>
      <w:pPr>
        <w:jc w:val="both"/>
        <w:ind w:left="4" w:hanging="4"/>
        <w:spacing w:after="0" w:line="270" w:lineRule="auto"/>
        <w:tabs>
          <w:tab w:leader="none" w:pos="2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provided that, in the case of clause (1) above, such adjustment is displayed on a screen or other information service that publishes such Benchmark Replacement Adjustment from time to time as selected by the Administrative Agent in its reasonable discretion.</w:t>
      </w:r>
    </w:p>
    <w:p>
      <w:pPr>
        <w:sectPr>
          <w:pgSz w:w="11900" w:h="16838" w:orient="portrait"/>
          <w:cols w:equalWidth="0" w:num="1">
            <w:col w:w="10584"/>
          </w:cols>
          <w:pgMar w:left="976" w:top="895" w:right="339" w:bottom="1440" w:gutter="0" w:footer="0" w:header="0"/>
        </w:sectPr>
      </w:pPr>
    </w:p>
    <w:bookmarkStart w:id="92" w:name="page93"/>
    <w:bookmarkEnd w:id="92"/>
    <w:p>
      <w:pPr>
        <w:jc w:val="both"/>
        <w:ind w:left="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“Borrowing” the definition of “Eurocurrency Advance,” the definition of “Daily Reset Loan,” the definition of “Daily Reset Advance,” the definition of “Swing Line Rate,”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252" w:lineRule="exact"/>
        <w:rPr>
          <w:sz w:val="20"/>
          <w:szCs w:val="20"/>
          <w:color w:val="auto"/>
        </w:rPr>
      </w:pPr>
    </w:p>
    <w:p>
      <w:pPr>
        <w:jc w:val="both"/>
        <w:ind w:left="4" w:hanging="4"/>
        <w:spacing w:after="0" w:line="311" w:lineRule="auto"/>
        <w:tabs>
          <w:tab w:leader="none" w:pos="2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75" w:lineRule="exact"/>
        <w:rPr>
          <w:rFonts w:ascii="Arial" w:cs="Arial" w:eastAsia="Arial" w:hAnsi="Arial"/>
          <w:sz w:val="16"/>
          <w:szCs w:val="16"/>
          <w:color w:val="auto"/>
        </w:rPr>
      </w:pPr>
    </w:p>
    <w:p>
      <w:pPr>
        <w:ind w:left="4" w:hanging="4"/>
        <w:spacing w:after="0" w:line="277" w:lineRule="auto"/>
        <w:tabs>
          <w:tab w:leader="none" w:pos="2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97" w:lineRule="exact"/>
        <w:rPr>
          <w:rFonts w:ascii="Arial" w:cs="Arial" w:eastAsia="Arial" w:hAnsi="Arial"/>
          <w:sz w:val="18"/>
          <w:szCs w:val="18"/>
          <w:color w:val="auto"/>
        </w:rPr>
      </w:pPr>
    </w:p>
    <w:p>
      <w:pPr>
        <w:jc w:val="both"/>
        <w:ind w:left="4" w:hanging="4"/>
        <w:spacing w:after="0" w:line="263"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30 days after the date a Term SOFR Notice is provided to the Lenders and the Borrower so long as the Administrative Agent has not received, by such time, written notice of objection to such Term SOFR Notice from the Borrower; or</w:t>
      </w:r>
    </w:p>
    <w:p>
      <w:pPr>
        <w:spacing w:after="0" w:line="210" w:lineRule="exact"/>
        <w:rPr>
          <w:rFonts w:ascii="Arial" w:cs="Arial" w:eastAsia="Arial" w:hAnsi="Arial"/>
          <w:sz w:val="18"/>
          <w:szCs w:val="18"/>
          <w:color w:val="auto"/>
        </w:rPr>
      </w:pPr>
    </w:p>
    <w:p>
      <w:pPr>
        <w:jc w:val="both"/>
        <w:ind w:left="4" w:hanging="4"/>
        <w:spacing w:after="0" w:line="259"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an Early Opt-in Election, the sixth Business Day after the date notice of such Early Opt-in Election is provided to the Lenders, so long as the Administrative Agent has not received, by 5:00 p.m. (New York City time) on the fifth Business Day after the date notice of such Early Opt-in Election is provided to the Lenders, written notice of objection to such Early Opt-in Election from Lenders comprising the Required Lenders.</w:t>
      </w:r>
    </w:p>
    <w:p>
      <w:pPr>
        <w:spacing w:after="0" w:line="214"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264" w:lineRule="exact"/>
        <w:rPr>
          <w:sz w:val="20"/>
          <w:szCs w:val="20"/>
          <w:color w:val="auto"/>
        </w:rPr>
      </w:pPr>
    </w:p>
    <w:p>
      <w:pPr>
        <w:jc w:val="both"/>
        <w:ind w:left="4" w:hanging="4"/>
        <w:spacing w:after="0" w:line="279" w:lineRule="auto"/>
        <w:tabs>
          <w:tab w:leader="none" w:pos="259"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8" w:lineRule="exact"/>
        <w:rPr>
          <w:rFonts w:ascii="Arial" w:cs="Arial" w:eastAsia="Arial" w:hAnsi="Arial"/>
          <w:sz w:val="17"/>
          <w:szCs w:val="17"/>
          <w:color w:val="auto"/>
        </w:rPr>
      </w:pPr>
    </w:p>
    <w:p>
      <w:pPr>
        <w:jc w:val="both"/>
        <w:ind w:left="4" w:hanging="4"/>
        <w:spacing w:after="0" w:line="254" w:lineRule="auto"/>
        <w:tabs>
          <w:tab w:leader="none" w:pos="2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ectPr>
          <w:pgSz w:w="11900" w:h="16838" w:orient="portrait"/>
          <w:cols w:equalWidth="0" w:num="1">
            <w:col w:w="10584"/>
          </w:cols>
          <w:pgMar w:left="976" w:top="895" w:right="339" w:bottom="1440" w:gutter="0" w:footer="0" w:header="0"/>
        </w:sectPr>
      </w:pPr>
    </w:p>
    <w:bookmarkStart w:id="93" w:name="page94"/>
    <w:bookmarkEnd w:id="93"/>
    <w:p>
      <w:pPr>
        <w:jc w:val="both"/>
        <w:ind w:left="4" w:hanging="4"/>
        <w:spacing w:after="0" w:line="255" w:lineRule="auto"/>
        <w:tabs>
          <w:tab w:leader="none" w:pos="2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 w:lineRule="exact"/>
        <w:rPr>
          <w:rFonts w:ascii="Arial" w:cs="Arial" w:eastAsia="Arial" w:hAnsi="Arial"/>
          <w:sz w:val="18"/>
          <w:szCs w:val="18"/>
          <w:color w:val="auto"/>
        </w:rPr>
      </w:pPr>
    </w:p>
    <w:p>
      <w:pPr>
        <w:jc w:val="both"/>
        <w:ind w:left="4"/>
        <w:spacing w:after="0" w:line="255" w:lineRule="auto"/>
        <w:rPr>
          <w:rFonts w:ascii="Arial" w:cs="Arial" w:eastAsia="Arial" w:hAnsi="Arial"/>
          <w:sz w:val="18"/>
          <w:szCs w:val="18"/>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clauses</w:t>
      </w:r>
    </w:p>
    <w:p>
      <w:pPr>
        <w:spacing w:after="0" w:line="46" w:lineRule="exact"/>
        <w:rPr>
          <w:sz w:val="20"/>
          <w:szCs w:val="20"/>
          <w:color w:val="auto"/>
        </w:rPr>
      </w:pPr>
    </w:p>
    <w:p>
      <w:pPr>
        <w:jc w:val="both"/>
        <w:ind w:left="4" w:hanging="4"/>
        <w:spacing w:after="0" w:line="302" w:lineRule="auto"/>
        <w:tabs>
          <w:tab w:leader="none" w:pos="272" w:val="left"/>
        </w:tabs>
        <w:numPr>
          <w:ilvl w:val="0"/>
          <w:numId w:val="42"/>
        </w:numPr>
        <w:rPr>
          <w:rFonts w:ascii="Arial" w:cs="Arial" w:eastAsia="Arial" w:hAnsi="Arial"/>
          <w:sz w:val="16"/>
          <w:szCs w:val="16"/>
          <w:color w:val="auto"/>
        </w:rPr>
      </w:pPr>
      <w:r>
        <w:rPr>
          <w:rFonts w:ascii="Arial" w:cs="Arial" w:eastAsia="Arial" w:hAnsi="Arial"/>
          <w:sz w:val="16"/>
          <w:szCs w:val="16"/>
          <w:color w:val="auto"/>
        </w:rPr>
        <w:t>or (2) of that definition has occurred if, at such time, no Benchmark Replacement has replaced the then-current Benchmark for all purposes hereunder and under any Loan Document in accordance with Section 3.3(b) and (y) ending at the time that a Benchmark Replacement has replaced the then-current Benchmark for all purposes hereunder and under any Loan Document in accordance with Section 3.3(b).</w:t>
      </w:r>
    </w:p>
    <w:p>
      <w:pPr>
        <w:spacing w:after="0" w:line="182"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Reset Advance</w:t>
      </w:r>
      <w:r>
        <w:rPr>
          <w:rFonts w:ascii="Arial" w:cs="Arial" w:eastAsia="Arial" w:hAnsi="Arial"/>
          <w:sz w:val="17"/>
          <w:szCs w:val="17"/>
          <w:color w:val="auto"/>
        </w:rPr>
        <w:t>” means an Advance which, except as otherwise provided in Section 2.11, bears interest at the Swing Line Rate.</w:t>
      </w:r>
    </w:p>
    <w:p>
      <w:pPr>
        <w:spacing w:after="0" w:line="26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Reset Loan</w:t>
      </w:r>
      <w:r>
        <w:rPr>
          <w:rFonts w:ascii="Arial" w:cs="Arial" w:eastAsia="Arial" w:hAnsi="Arial"/>
          <w:sz w:val="18"/>
          <w:szCs w:val="18"/>
          <w:color w:val="auto"/>
        </w:rPr>
        <w:t>” means a Loan which, except as otherwise provided in Section 2.11, bears interest at the Swing Line Rate.</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the Eurocurrency Base Rate, the occurrence of:</w:t>
      </w:r>
    </w:p>
    <w:p>
      <w:pPr>
        <w:spacing w:after="0" w:line="252" w:lineRule="exact"/>
        <w:rPr>
          <w:sz w:val="20"/>
          <w:szCs w:val="20"/>
          <w:color w:val="auto"/>
        </w:rPr>
      </w:pPr>
    </w:p>
    <w:p>
      <w:pPr>
        <w:jc w:val="both"/>
        <w:ind w:left="4" w:hanging="4"/>
        <w:spacing w:after="0" w:line="259"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notification by the Administrative Agent to each of the other parties hereto that at least five currently outstanding U.S. dollar-denominated syndicated credit facilities at such time contain (as a result of amendment or as originally executed) a SOFR-based rate (including SOFR, a term SOFR or any other rate based upon SOFR) as the then-current benchmark rate (and such syndicated credit facilities are identified in such notice and are publicly available for review), and</w:t>
      </w:r>
    </w:p>
    <w:p>
      <w:pPr>
        <w:spacing w:after="0" w:line="213" w:lineRule="exact"/>
        <w:rPr>
          <w:rFonts w:ascii="Arial" w:cs="Arial" w:eastAsia="Arial" w:hAnsi="Arial"/>
          <w:sz w:val="18"/>
          <w:szCs w:val="18"/>
          <w:color w:val="auto"/>
        </w:rPr>
      </w:pPr>
    </w:p>
    <w:p>
      <w:pPr>
        <w:ind w:left="4" w:hanging="4"/>
        <w:spacing w:after="0" w:line="277"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the Eurocurrency Base Rate and the provision by the Administrative Agent of written notice of such election to the Lenders.</w:t>
      </w:r>
    </w:p>
    <w:p>
      <w:pPr>
        <w:spacing w:after="0" w:line="197"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Eurocurrency Rate.</w:t>
      </w:r>
    </w:p>
    <w:p>
      <w:pPr>
        <w:spacing w:after="0" w:line="19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the London interbank offered rate.</w:t>
      </w:r>
    </w:p>
    <w:p>
      <w:pPr>
        <w:spacing w:after="0" w:line="252"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the Eurocurrency Base Rate, 11:00 a.m. (London time) on the day that is two London banking days preceding the date of such setting, and (2) if such Benchmark is not the Eurocurrency Base Rate, the time determined by the Administrative Agent in its reasonable discretion.</w:t>
      </w:r>
    </w:p>
    <w:p>
      <w:pPr>
        <w:sectPr>
          <w:pgSz w:w="11900" w:h="16838" w:orient="portrait"/>
          <w:cols w:equalWidth="0" w:num="1">
            <w:col w:w="10584"/>
          </w:cols>
          <w:pgMar w:left="976" w:top="1138" w:right="3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w:t>
      </w:r>
      <w:r>
        <w:rPr>
          <w:rFonts w:ascii="Arial" w:cs="Arial" w:eastAsia="Arial" w:hAnsi="Arial"/>
          <w:sz w:val="16"/>
          <w:szCs w:val="16"/>
          <w:color w:val="auto"/>
        </w:rPr>
        <w:t>” means, with respect to any Business Day, a rate per annum equal to the secured overnight financing rate for such Business Day published by the SOFR Administrator on the SOFR Administrator’s Website at approximately 8:00 a.m. (New York City time), or in the case of an update to such rate by the SOFR Administrator, at approximately 2:30 p.m. (New York City time) on the immediately succeeding Business Day.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means the determination by the Administrative Agent at any time, in its sole discretion,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3.3(b) that is not Term SOFR.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 A new Section 1.5 is inserted into the Credit Agreement to read in its entirety as follows: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LIBOR Notification</w:t>
      </w:r>
      <w:r>
        <w:rPr>
          <w:rFonts w:ascii="Arial" w:cs="Arial" w:eastAsia="Arial" w:hAnsi="Arial"/>
          <w:sz w:val="18"/>
          <w:szCs w:val="18"/>
          <w:color w:val="auto"/>
        </w:rPr>
        <w:t>. The interest rate on Eurocurrency Advances and Daily Reset Advances is determined by reference to the Eurocurrency Base Rate and Swing Line Rate, respectively, which is derived from LIBOR. Section 3.3(b) provides a mechanism for (a) determining an alternative rate of interest if LIBOR is no longer available or in the other circumstances set forth in Section 3.3(b), and (b) modifying this Agreement to give effect to such alternative rate of interest. The Administrative Agent does not warrant or accept any responsibility for, and shall not have any liability with respect to, the administration, submission or any other matter related to LIBOR or other rates in the definition of Eurocurrency Base Rate and Swing Line Rate, as applicable, or with respect to any alternative or successor rate thereto, or replacement rate thereof, including without limitation, whether any such alternative, successor or replacement reference rate, as it may or may not be adjusted pursuant to Section 3.3(b), will have the same value as, or be economically equivalent to, the Eurocurrency Base Rate or the Swing Line Rate, as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The Credits</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Section 2.3 is amended and restated to read in its entirety as follows: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Ratable Loans; Types of Advances</w:t>
      </w:r>
      <w:r>
        <w:rPr>
          <w:rFonts w:ascii="Arial" w:cs="Arial" w:eastAsia="Arial" w:hAnsi="Arial"/>
          <w:sz w:val="18"/>
          <w:szCs w:val="18"/>
          <w:color w:val="auto"/>
        </w:rPr>
        <w:t>. Each Advance hereunder (other than any Swing Line Loan) shall consist of Revolving Loans made from the several Lenders ratably according to their Pro Rata Shares. The Advances may be Base Rate Advances, Eurocurrency Advances, Daily Reset Advances, or a combination thereof, selected by the Borrower in accordance with Sections 2.8 and 2.9, or Swing Line Loans selected by the Borrower in accordance with Section 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 Section 2.7 is amended by adding the following sentence to the end thereof:</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Borrower may from time to time pay, without penalty or premium, all outstanding Daily Reset Advances (other than Swing Line Loans), or, in a minimum aggregate amount of $100,000 and incremental amounts in integral multiples of $100,000 (or the aggregate amount of the outstanding Daily Reset Loans at such time), any portion of the</w:t>
      </w:r>
    </w:p>
    <w:p>
      <w:pPr>
        <w:sectPr>
          <w:pgSz w:w="11900" w:h="16838" w:orient="portrait"/>
          <w:cols w:equalWidth="0" w:num="1">
            <w:col w:w="10580"/>
          </w:cols>
          <w:pgMar w:left="980" w:top="895" w:right="339" w:bottom="1440" w:gutter="0" w:footer="0" w:header="0"/>
        </w:sectPr>
      </w:pPr>
    </w:p>
    <w:bookmarkStart w:id="95" w:name="page96"/>
    <w:bookmarkEnd w:id="95"/>
    <w:p>
      <w:pPr>
        <w:jc w:val="both"/>
        <w:ind w:left="4" w:right="20"/>
        <w:spacing w:after="0" w:line="277" w:lineRule="auto"/>
        <w:rPr>
          <w:sz w:val="20"/>
          <w:szCs w:val="20"/>
          <w:color w:val="auto"/>
        </w:rPr>
      </w:pPr>
      <w:r>
        <w:rPr>
          <w:rFonts w:ascii="Arial" w:cs="Arial" w:eastAsia="Arial" w:hAnsi="Arial"/>
          <w:sz w:val="18"/>
          <w:szCs w:val="18"/>
          <w:color w:val="auto"/>
        </w:rPr>
        <w:t>aggregate outstanding Daily Reset Advances (other than Swing Line Loans) upon same day notice by 10:00 a.m. (Pacific Standard Time) to the Administrative Agent.”</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(c) The first paragraph of Section 2.8 is amended and restated to read in its entirety as follows:</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Method of Selecting Types and Interest Periods for New Revolving Advances</w:t>
      </w:r>
      <w:r>
        <w:rPr>
          <w:rFonts w:ascii="Arial" w:cs="Arial" w:eastAsia="Arial" w:hAnsi="Arial"/>
          <w:sz w:val="18"/>
          <w:szCs w:val="18"/>
          <w:color w:val="auto"/>
        </w:rPr>
        <w:t>. The Borrower shall select the Type of Advance and, in the case of each Eurocurrency Advance, the Interest Period applicable thereto from time to time. The Borrower shall give the Administrative Agent irrevocable notice in the form of Exhibit D (a “Borrowing Notice”) not later than 10:00 a.m. (Pacific Standard Time) on the Borrowing Date of each Base Rate Revolving Advance (other than a Swing Line Loan) and each Daily Reset Advance, and two (2) Business Days before the Borrowing Date for each Eurocurrency Revolving Advance, specifying:”</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(d) The first paragraph of Section 2.9 is amended and restated to read in its entirety as follows:</w:t>
      </w:r>
    </w:p>
    <w:p>
      <w:pPr>
        <w:spacing w:after="0" w:line="252" w:lineRule="exact"/>
        <w:rPr>
          <w:sz w:val="20"/>
          <w:szCs w:val="20"/>
          <w:color w:val="auto"/>
        </w:rPr>
      </w:pPr>
    </w:p>
    <w:p>
      <w:pPr>
        <w:jc w:val="both"/>
        <w:ind w:left="4"/>
        <w:spacing w:after="0" w:line="285"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Conversion and Continuation of Outstanding Advances; Maximum Number of Interest Periods</w:t>
      </w:r>
      <w:r>
        <w:rPr>
          <w:rFonts w:ascii="Arial" w:cs="Arial" w:eastAsia="Arial" w:hAnsi="Arial"/>
          <w:sz w:val="16"/>
          <w:szCs w:val="16"/>
          <w:color w:val="auto"/>
        </w:rPr>
        <w:t>. Base Rate Advances (other than Swing Line Loans) shall continue as Base Rate Advances unless and until such Base Rate Advances are converted into Eurocurrency Advances pursuant to this Section 2.9 or are repaid in accordance with Section 2.7. Daily Reset Advances (other than Swing Line Loans) shall continue as Daily Reset Advances unless and until such Daily Reset Advances are converted into Eurocurrency Advances pursuant to this Section 2.9 or are repaid in accordance with Section 2.7. Each Eurocurrency Advance denominated in Dollars shall continue as a Eurocurrency Advance until the end of the then applicable Interest Period therefor, at which time such Eurocurrency Advance shall be automatically converted into a Base Rate Advance unless (x) such Eurocurrency Advance is or was repaid in accordance with Section 2.7, (y) the Borrower shall have given the Administrative Agent a Conversion/Continuation Notice (as defined below) requesting that, at the end of such Interest Period, such Eurocurrency Advance continue as a Daily Reset Advance, or (z) the Borrower shall have given the Administrative Agent a Conversion/Continuation Notice (as defined below) requesting that, at the end of such Interest Period, such Eurocurrency Advance continue as a Eurocurrency Advance for the same or another Interest Period. Subject to the terms of Section 2.6, the Borrower may elect from time to time to convert all or any part of a Base Rate Advance (other than a Swing Line Loan) or a Daily Reset Advance (other than a Swing Line Loan) into a Eurocurrency Advance. The Borrower shall give the Administrative Agent irrevocable notice in the form of Exhibit D-2 (a “Conversion/Continuation Notice”) of each conversion of a Base Rate Advance or Daily Reset Advance into a Eurocurrency Advance, conversion of a Eurocurrency Advance to a Base Rate Advance, conversion of a Eurocurrency Advance to a Daily Reset Advance, or continuation of a Eurocurrency Advance not later than 10:00 a.m. (Pacific Standard Time) at least two (2) Business Days prior to the date of the requested conversion or continuation, specifying:”</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color w:val="auto"/>
        </w:rPr>
        <w:t>(e) Section 2.10 is amended and restated by adding the following sentence to the end thereof:</w:t>
      </w:r>
    </w:p>
    <w:p>
      <w:pPr>
        <w:spacing w:after="0" w:line="252" w:lineRule="exact"/>
        <w:rPr>
          <w:sz w:val="20"/>
          <w:szCs w:val="20"/>
          <w:color w:val="auto"/>
        </w:rPr>
      </w:pPr>
    </w:p>
    <w:p>
      <w:pPr>
        <w:jc w:val="both"/>
        <w:ind w:left="4"/>
        <w:spacing w:after="0" w:line="296" w:lineRule="auto"/>
        <w:rPr>
          <w:sz w:val="20"/>
          <w:szCs w:val="20"/>
          <w:color w:val="auto"/>
        </w:rPr>
      </w:pPr>
      <w:r>
        <w:rPr>
          <w:rFonts w:ascii="Arial" w:cs="Arial" w:eastAsia="Arial" w:hAnsi="Arial"/>
          <w:sz w:val="16"/>
          <w:szCs w:val="16"/>
          <w:color w:val="auto"/>
        </w:rPr>
        <w:t>“Each Daily Reset Loan shall bear interest on the outstanding principal amount thereof, for each day from and including the day such Daily Reset Loan is made to but excluding the date it is paid, at a rate per annum equal to the Swing Line Rate for such day; provided, that if a Daily Reset Advance is due as a result of an Event of Default or is otherwise outstanding during the continuance of an Event of Default, the Swing Line Rate shall continue to apply thereto plus such other amounts as required under Section 2.11. Changes in the rate of interest on that portion of any Advance maintained as a Daily Reset Advance will take effect simultaneously with each change in the Alternate Base Rate.”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(f) Section 2.15 is amended by amending and restating the first sentence thereof to read in its entirety as follows:</w:t>
      </w:r>
    </w:p>
    <w:p>
      <w:pPr>
        <w:spacing w:after="0" w:line="252"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“Interest accrued on each Base Rate Advance, each Daily Reset Advance, and each Swing Line Loan shall be payable on each Payment Date, commencing with the first such Payment Date to occur after the date hereof and at maturity.”</w:t>
      </w:r>
    </w:p>
    <w:p>
      <w:pPr>
        <w:spacing w:after="0" w:line="197" w:lineRule="exact"/>
        <w:rPr>
          <w:sz w:val="20"/>
          <w:szCs w:val="20"/>
          <w:color w:val="auto"/>
        </w:rPr>
      </w:pPr>
    </w:p>
    <w:p>
      <w:pPr>
        <w:ind w:left="264" w:hanging="264"/>
        <w:spacing w:after="0"/>
        <w:tabs>
          <w:tab w:leader="none" w:pos="2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Section 2.20 is amended by replacing the term “Base Rate Advances” as used therein, with “Base Rate Advances or Daily Reset Advances”.</w:t>
      </w:r>
    </w:p>
    <w:p>
      <w:pPr>
        <w:spacing w:after="0" w:line="275" w:lineRule="exact"/>
        <w:rPr>
          <w:rFonts w:ascii="Arial" w:cs="Arial" w:eastAsia="Arial" w:hAnsi="Arial"/>
          <w:sz w:val="16"/>
          <w:szCs w:val="16"/>
          <w:color w:val="auto"/>
        </w:rPr>
      </w:pPr>
    </w:p>
    <w:p>
      <w:pPr>
        <w:ind w:left="264" w:hanging="264"/>
        <w:spacing w:after="0"/>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 D-1 is amended and restated as set forth on Annex A to this Amendment.</w:t>
      </w:r>
    </w:p>
    <w:p>
      <w:pPr>
        <w:spacing w:after="0" w:line="252" w:lineRule="exact"/>
        <w:rPr>
          <w:rFonts w:ascii="Arial" w:cs="Arial" w:eastAsia="Arial" w:hAnsi="Arial"/>
          <w:sz w:val="18"/>
          <w:szCs w:val="18"/>
          <w:color w:val="auto"/>
        </w:rPr>
      </w:pPr>
    </w:p>
    <w:p>
      <w:pPr>
        <w:ind w:left="224" w:hanging="224"/>
        <w:spacing w:after="0"/>
        <w:tabs>
          <w:tab w:leader="none" w:pos="2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 D-2 is amended and restated as set forth on Annex B to this Amendment.</w:t>
      </w:r>
    </w:p>
    <w:p>
      <w:pPr>
        <w:spacing w:after="0" w:line="252" w:lineRule="exact"/>
        <w:rPr>
          <w:rFonts w:ascii="Arial" w:cs="Arial" w:eastAsia="Arial" w:hAnsi="Arial"/>
          <w:sz w:val="18"/>
          <w:szCs w:val="18"/>
          <w:color w:val="auto"/>
        </w:rPr>
      </w:pPr>
    </w:p>
    <w:p>
      <w:pPr>
        <w:ind w:left="224" w:hanging="224"/>
        <w:spacing w:after="0"/>
        <w:tabs>
          <w:tab w:leader="none" w:pos="2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Schedule 1 is amended by replacing the term “Eurocurrency Rate” with “Eurocurrency Rate or Swing Line Rate”.</w:t>
      </w:r>
    </w:p>
    <w:p>
      <w:pPr>
        <w:sectPr>
          <w:pgSz w:w="11900" w:h="16838" w:orient="portrait"/>
          <w:cols w:equalWidth="0" w:num="1">
            <w:col w:w="10584"/>
          </w:cols>
          <w:pgMar w:left="976" w:top="895" w:right="339" w:bottom="1440" w:gutter="0" w:footer="0" w:header="0"/>
        </w:sectPr>
      </w:pPr>
    </w:p>
    <w:bookmarkStart w:id="96" w:name="page97"/>
    <w:bookmarkEnd w:id="96"/>
    <w:p>
      <w:pPr>
        <w:ind w:left="4"/>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Yield Protection; Taxes</w:t>
      </w:r>
      <w:r>
        <w:rPr>
          <w:rFonts w:ascii="Arial" w:cs="Arial" w:eastAsia="Arial" w:hAnsi="Arial"/>
          <w:sz w:val="18"/>
          <w:szCs w:val="18"/>
          <w:color w:val="auto"/>
        </w:rPr>
        <w:t>.</w:t>
      </w:r>
    </w:p>
    <w:p>
      <w:pPr>
        <w:spacing w:after="0" w:line="256" w:lineRule="exact"/>
        <w:rPr>
          <w:sz w:val="20"/>
          <w:szCs w:val="20"/>
          <w:color w:val="auto"/>
        </w:rPr>
      </w:pPr>
    </w:p>
    <w:p>
      <w:pPr>
        <w:ind w:left="4" w:right="3600" w:hanging="4"/>
        <w:spacing w:after="0" w:line="532"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Section 3.3 of the Credit Agreement is amended and restated to read in its entirety as follows: “3.3 </w:t>
      </w:r>
      <w:r>
        <w:rPr>
          <w:rFonts w:ascii="Arial" w:cs="Arial" w:eastAsia="Arial" w:hAnsi="Arial"/>
          <w:sz w:val="18"/>
          <w:szCs w:val="18"/>
          <w:u w:val="single" w:color="auto"/>
          <w:color w:val="auto"/>
        </w:rPr>
        <w:t>Availability of Types of Borrowings; Adequacy of Interest Rate</w:t>
      </w:r>
      <w:r>
        <w:rPr>
          <w:rFonts w:ascii="Arial" w:cs="Arial" w:eastAsia="Arial" w:hAnsi="Arial"/>
          <w:sz w:val="18"/>
          <w:szCs w:val="18"/>
          <w:color w:val="auto"/>
        </w:rPr>
        <w:t>.</w:t>
      </w:r>
    </w:p>
    <w:p>
      <w:pPr>
        <w:jc w:val="both"/>
        <w:ind w:left="4" w:hanging="4"/>
        <w:spacing w:after="0" w:line="263" w:lineRule="auto"/>
        <w:tabs>
          <w:tab w:leader="none" w:pos="2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 if the Administrative Agent determines (which determination shall be conclusive absent manifest error), or the Required Lenders notify the Administrative Agent that the Required Lenders have determined, that:</w:t>
      </w:r>
    </w:p>
    <w:p>
      <w:pPr>
        <w:sectPr>
          <w:pgSz w:w="11900" w:h="16838" w:orient="portrait"/>
          <w:cols w:equalWidth="0" w:num="1">
            <w:col w:w="10584"/>
          </w:cols>
          <w:pgMar w:left="976" w:top="891" w:right="339" w:bottom="1440" w:gutter="0" w:footer="0" w:header="0"/>
        </w:sectPr>
      </w:pPr>
    </w:p>
    <w:p>
      <w:pPr>
        <w:spacing w:after="0" w:line="211"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(i) deposits of a type and maturity appropriate to match fund Eurocurrency Loans or Daily Reset Loans are not Lenders in the relevant market, 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available to such</w:t>
      </w:r>
    </w:p>
    <w:p>
      <w:pPr>
        <w:spacing w:after="0" w:line="490" w:lineRule="exact"/>
        <w:rPr>
          <w:sz w:val="20"/>
          <w:szCs w:val="20"/>
          <w:color w:val="auto"/>
        </w:rPr>
      </w:pPr>
    </w:p>
    <w:p>
      <w:pPr>
        <w:sectPr>
          <w:pgSz w:w="11900" w:h="16838" w:orient="portrait"/>
          <w:cols w:equalWidth="0" w:num="2">
            <w:col w:w="8984" w:space="340"/>
            <w:col w:w="1260"/>
          </w:cols>
          <w:pgMar w:left="976" w:top="891" w:right="339" w:bottom="1440" w:gutter="0" w:footer="0" w:header="0"/>
          <w:type w:val="continuous"/>
        </w:sectPr>
      </w:pPr>
    </w:p>
    <w:p>
      <w:pPr>
        <w:jc w:val="both"/>
        <w:ind w:left="644" w:firstLine="4"/>
        <w:spacing w:after="0" w:line="275" w:lineRule="auto"/>
        <w:tabs>
          <w:tab w:leader="none" w:pos="922"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interest rate applicable to Eurocurrency Loans or Daily Reset Loans, for any requested Interest Period, is not ascertainable or available (including, without limitation, because the applicable Reuters Screen (or on any successor or substitute page on such screen) is unavailable) or does not adequately and fairly reflect the cost of making or maintaining Eurocurrency Loans or Daily Reset Loans, then the Administrative Agent shall suspend the availability of Eurocurrency Loans and Daily Reset Loans and require any affected Eurocurrency Loans and Daily Reset Loans to be repaid or converted to Base Rate Borrowings.</w:t>
      </w:r>
    </w:p>
    <w:p>
      <w:pPr>
        <w:spacing w:after="0" w:line="203" w:lineRule="exact"/>
        <w:rPr>
          <w:rFonts w:ascii="Arial" w:cs="Arial" w:eastAsia="Arial" w:hAnsi="Arial"/>
          <w:sz w:val="17"/>
          <w:szCs w:val="17"/>
          <w:color w:val="auto"/>
        </w:rPr>
      </w:pPr>
    </w:p>
    <w:p>
      <w:pPr>
        <w:ind w:left="264" w:hanging="264"/>
        <w:spacing w:after="0"/>
        <w:tabs>
          <w:tab w:leader="none" w:pos="26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4" w:firstLine="4"/>
        <w:spacing w:after="0" w:line="286" w:lineRule="auto"/>
        <w:tabs>
          <w:tab w:leader="none" w:pos="85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Benchmark Transition Event; Early Opt-in Election</w:t>
      </w:r>
      <w:r>
        <w:rPr>
          <w:rFonts w:ascii="Arial" w:cs="Arial" w:eastAsia="Arial" w:hAnsi="Arial"/>
          <w:sz w:val="16"/>
          <w:szCs w:val="16"/>
          <w:color w:val="auto"/>
        </w:rPr>
        <w:t>. Notwithstanding anything to the contrary herein or in any other Loan Document shall be deemed not to be a “Loan Document” for purposes of this Section 3.3(b),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by the Administrative Agent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1" w:lineRule="exact"/>
        <w:rPr>
          <w:sz w:val="20"/>
          <w:szCs w:val="20"/>
          <w:color w:val="auto"/>
        </w:rPr>
      </w:pPr>
    </w:p>
    <w:p>
      <w:pPr>
        <w:jc w:val="both"/>
        <w:ind w:left="644" w:firstLine="4"/>
        <w:spacing w:after="0" w:line="271" w:lineRule="auto"/>
        <w:tabs>
          <w:tab w:leader="none" w:pos="92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Term SOFR Transition Event</w:t>
      </w:r>
      <w:r>
        <w:rPr>
          <w:rFonts w:ascii="Arial" w:cs="Arial" w:eastAsia="Arial" w:hAnsi="Arial"/>
          <w:sz w:val="17"/>
          <w:szCs w:val="17"/>
          <w:color w:val="auto"/>
        </w:rPr>
        <w:t>. 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(b)(ii)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205" w:lineRule="exact"/>
        <w:rPr>
          <w:rFonts w:ascii="Arial" w:cs="Arial" w:eastAsia="Arial" w:hAnsi="Arial"/>
          <w:sz w:val="17"/>
          <w:szCs w:val="17"/>
          <w:color w:val="auto"/>
        </w:rPr>
      </w:pPr>
    </w:p>
    <w:p>
      <w:pPr>
        <w:jc w:val="both"/>
        <w:ind w:left="644" w:firstLine="4"/>
        <w:spacing w:after="0" w:line="257" w:lineRule="auto"/>
        <w:tabs>
          <w:tab w:leader="none" w:pos="101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ectPr>
          <w:pgSz w:w="11900" w:h="16838" w:orient="portrait"/>
          <w:cols w:equalWidth="0" w:num="1">
            <w:col w:w="10584"/>
          </w:cols>
          <w:pgMar w:left="976" w:top="891" w:right="339" w:bottom="1440" w:gutter="0" w:footer="0" w:header="0"/>
          <w:type w:val="continuous"/>
        </w:sectPr>
      </w:pPr>
    </w:p>
    <w:bookmarkStart w:id="97" w:name="page98"/>
    <w:bookmarkEnd w:id="97"/>
    <w:p>
      <w:pPr>
        <w:jc w:val="both"/>
        <w:ind w:left="1300" w:firstLine="4"/>
        <w:spacing w:after="0" w:line="269" w:lineRule="auto"/>
        <w:tabs>
          <w:tab w:leader="none" w:pos="160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The Administrative Agent will promptly notify the Borrower and the Lenders of (A) any occurrence of a Benchmark Transition Event or an Early Opt-in Election, as applicable, and its related Benchmark Replacement Date, (B) the implementation of any Benchmark Replacement, (C) the effectiveness of any Benchmark Replacement Conforming Changes, (D) the removal or reinstatement of any tenor of a Benchmark pursuant to clause (v) below and (E) the commencement or conclusion of any Benchmark Unavailability Period. Any determination, decision or election that may be made by the Administrative Agent or, if applicable, any Lender (or group of Lenders) pursuant to this Section 3.3(b),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3.3(b).</w:t>
      </w:r>
    </w:p>
    <w:p>
      <w:pPr>
        <w:spacing w:after="0" w:line="212" w:lineRule="exact"/>
        <w:rPr>
          <w:rFonts w:ascii="Arial" w:cs="Arial" w:eastAsia="Arial" w:hAnsi="Arial"/>
          <w:sz w:val="17"/>
          <w:szCs w:val="17"/>
          <w:color w:val="auto"/>
        </w:rPr>
      </w:pPr>
    </w:p>
    <w:p>
      <w:pPr>
        <w:jc w:val="both"/>
        <w:ind w:left="1300" w:firstLine="4"/>
        <w:spacing w:after="0" w:line="287" w:lineRule="auto"/>
        <w:tabs>
          <w:tab w:leader="none" w:pos="155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Unavailability of Tenor of Benchmark</w:t>
      </w:r>
      <w:r>
        <w:rPr>
          <w:rFonts w:ascii="Arial" w:cs="Arial" w:eastAsia="Arial" w:hAnsi="Arial"/>
          <w:sz w:val="16"/>
          <w:szCs w:val="16"/>
          <w:color w:val="auto"/>
        </w:rPr>
        <w:t>. Notwithstanding anything to the contrary herein or in any other Loan Document, at any time (including in connection with the implementation of a Benchmark Replacement), (i) if the then-current Benchmark is a term rate (including Term SOFR or the Eurocurrency Base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8" w:lineRule="exact"/>
        <w:rPr>
          <w:rFonts w:ascii="Arial" w:cs="Arial" w:eastAsia="Arial" w:hAnsi="Arial"/>
          <w:sz w:val="16"/>
          <w:szCs w:val="16"/>
          <w:color w:val="auto"/>
        </w:rPr>
      </w:pPr>
    </w:p>
    <w:p>
      <w:pPr>
        <w:jc w:val="both"/>
        <w:ind w:left="1300" w:firstLine="4"/>
        <w:spacing w:after="0" w:line="271" w:lineRule="auto"/>
        <w:tabs>
          <w:tab w:leader="none" w:pos="160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xml:space="preserve"> Upon notice to the Borrower by the Administrative Agent in accordance with Section 10.1 of the commencement of a Benchmark Unavailability Period and until a Benchmark Replacement is determined in accordance with this Section 3.3(b), the Borrower may revoke any request for a Eurocurrency Loan, or any request for the conversion or continuation of a Eurocurrency Loan to be made, converted or continued during any Benchmark Unavailability Period and, failing that, the Borrower will be deemed to have converted any such request into a request for a Base Rate Advance or conversion to a Base Rate Advance.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only upon satisfaction of the following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Borrower shall have duly executed and delivered to the Administrative Agent this Amendment.</w:t>
      </w:r>
    </w:p>
    <w:p>
      <w:pPr>
        <w:spacing w:after="0" w:line="252" w:lineRule="exact"/>
        <w:rPr>
          <w:sz w:val="20"/>
          <w:szCs w:val="20"/>
          <w:color w:val="auto"/>
        </w:rPr>
      </w:pPr>
    </w:p>
    <w:p>
      <w:pPr>
        <w:jc w:val="both"/>
        <w:ind w:left="660"/>
        <w:spacing w:after="0" w:line="312"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color w:val="auto"/>
        </w:rPr>
        <w:t>The Borrower shall have satisfied any other conditions as specified by the Administrative Agent, including payment of all unpaid legal fees</w:t>
      </w:r>
      <w:r>
        <w:rPr>
          <w:rFonts w:ascii="Arial" w:cs="Arial" w:eastAsia="Arial" w:hAnsi="Arial"/>
          <w:sz w:val="17"/>
          <w:szCs w:val="17"/>
          <w:b w:val="1"/>
          <w:bCs w:val="1"/>
          <w:color w:val="auto"/>
        </w:rPr>
        <w:t xml:space="preserve"> </w:t>
      </w:r>
      <w:r>
        <w:rPr>
          <w:rFonts w:ascii="Arial" w:cs="Arial" w:eastAsia="Arial" w:hAnsi="Arial"/>
          <w:sz w:val="17"/>
          <w:szCs w:val="17"/>
          <w:color w:val="auto"/>
        </w:rPr>
        <w:t>and expenses incurred by the Administrative Agent through the date of this Amendment in connection with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Warranties, Authority, No Adverse Claim</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Reassertion of Representations and Warranties, No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hereby represents that on and as of the date hereof and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w:t>
      </w:r>
    </w:p>
    <w:p>
      <w:pPr>
        <w:spacing w:after="0" w:line="2" w:lineRule="exact"/>
        <w:rPr>
          <w:sz w:val="20"/>
          <w:szCs w:val="20"/>
          <w:color w:val="auto"/>
        </w:rPr>
      </w:pPr>
    </w:p>
    <w:p>
      <w:pPr>
        <w:ind w:left="660" w:hanging="4"/>
        <w:spacing w:after="0" w:line="260" w:lineRule="auto"/>
        <w:tabs>
          <w:tab w:leader="none" w:pos="9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will exist no Event of Default under the Credit Agreement as amended by this Amendment on such date which has not been waived by the Required Lenders.</w:t>
      </w:r>
    </w:p>
    <w:p>
      <w:pPr>
        <w:spacing w:after="0" w:line="208"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Authority, No Conflict, No Consent Required,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represents and warrants that the Borrower has the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legal right and authority to enter into this Amendment and any other instrument or</w:t>
      </w:r>
    </w:p>
    <w:p>
      <w:pPr>
        <w:sectPr>
          <w:pgSz w:w="11900" w:h="16838" w:orient="portrait"/>
          <w:cols w:equalWidth="0" w:num="1">
            <w:col w:w="11240"/>
          </w:cols>
          <w:pgMar w:left="320" w:top="895" w:right="339" w:bottom="1440" w:gutter="0" w:footer="0" w:header="0"/>
        </w:sectPr>
      </w:pPr>
    </w:p>
    <w:bookmarkStart w:id="98" w:name="page99"/>
    <w:bookmarkEnd w:id="98"/>
    <w:p>
      <w:pPr>
        <w:jc w:val="both"/>
        <w:ind w:left="660"/>
        <w:spacing w:after="0" w:line="286" w:lineRule="auto"/>
        <w:rPr>
          <w:sz w:val="20"/>
          <w:szCs w:val="20"/>
          <w:color w:val="auto"/>
        </w:rPr>
      </w:pPr>
      <w:r>
        <w:rPr>
          <w:rFonts w:ascii="Arial" w:cs="Arial" w:eastAsia="Arial" w:hAnsi="Arial"/>
          <w:sz w:val="16"/>
          <w:szCs w:val="16"/>
          <w:color w:val="auto"/>
        </w:rPr>
        <w:t>agreement executed by the Borrower in connection with this Amendment (collectively, the “</w:t>
      </w:r>
      <w:r>
        <w:rPr>
          <w:rFonts w:ascii="Arial" w:cs="Arial" w:eastAsia="Arial" w:hAnsi="Arial"/>
          <w:sz w:val="16"/>
          <w:szCs w:val="16"/>
          <w:u w:val="single" w:color="auto"/>
          <w:color w:val="auto"/>
        </w:rPr>
        <w:t>Amendment Documents</w:t>
      </w:r>
      <w:r>
        <w:rPr>
          <w:rFonts w:ascii="Arial" w:cs="Arial" w:eastAsia="Arial" w:hAnsi="Arial"/>
          <w:sz w:val="16"/>
          <w:szCs w:val="16"/>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Secured Party (as defined in that certain Amendment to Security Agreement dated as of October 27, 2017, by and between the Borrower and the Administrative Agent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Administrative Agent.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9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 Adverse Claim</w:t>
      </w:r>
      <w:r>
        <w:rPr>
          <w:rFonts w:ascii="Arial" w:cs="Arial" w:eastAsia="Arial" w:hAnsi="Arial"/>
          <w:sz w:val="18"/>
          <w:szCs w:val="18"/>
          <w:color w:val="auto"/>
        </w:rPr>
        <w:t>. The Borrower warrants, acknowledges and agrees that no events have taken place and no circumstances exist at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which would give the Borrower a basis to assert a defense, offset or counterclaim to any claim of the Lenders with respect to the Borrower’s obligations under the Credit Agreement as amended by this Amendment.</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Affirmation of Credit Agreement, Further References, Affirmation of Security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 Lenders, the Administrative Agent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Secured Party that the Borrower’s obligations under the Credit Agreement, as amended by this Amendment, are and continue to be secured by the security interest granted by the Borrower in favor of the Secured Party under the Security Agreement,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Merger and Integration, Superseding Effect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from and after the date hereof, embodies the entire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possible, each provision of this Amendment and any other statement, instrument or transaction contemplated hereby or</w:t>
      </w:r>
      <w:r>
        <w:rPr>
          <w:rFonts w:ascii="Arial" w:cs="Arial" w:eastAsia="Arial" w:hAnsi="Arial"/>
          <w:sz w:val="17"/>
          <w:szCs w:val="17"/>
          <w:b w:val="1"/>
          <w:bCs w:val="1"/>
          <w:color w:val="auto"/>
        </w:rPr>
        <w:t xml:space="preserve"> </w:t>
      </w:r>
      <w:r>
        <w:rPr>
          <w:rFonts w:ascii="Arial" w:cs="Arial" w:eastAsia="Arial" w:hAnsi="Arial"/>
          <w:sz w:val="17"/>
          <w:szCs w:val="17"/>
          <w:color w:val="auto"/>
        </w:rPr>
        <w:t>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the Borrower, the Lenders, the Administrative Agent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shall inure to the benefit of the Borrower, the Lenders, the Administrative Agent and the successors and assigns of the Lenders and the Administrative Agent.</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Legal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9.6 of the Credit Agreement, the Borrower agrees to pay or reimburse the Administrative Agent,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this Amendment, for all reasonable out-of-pocket expenses paid or incurred by the Administrative Agent, including filing and recording costs and fees, charges and disbursements of outside counsel to the</w:t>
      </w:r>
    </w:p>
    <w:p>
      <w:pPr>
        <w:sectPr>
          <w:pgSz w:w="11900" w:h="16838" w:orient="portrait"/>
          <w:cols w:equalWidth="0" w:num="1">
            <w:col w:w="11240"/>
          </w:cols>
          <w:pgMar w:left="320" w:top="895" w:right="339" w:bottom="1440" w:gutter="0" w:footer="0" w:header="0"/>
        </w:sectPr>
      </w:pPr>
    </w:p>
    <w:bookmarkStart w:id="99" w:name="page100"/>
    <w:bookmarkEnd w:id="99"/>
    <w:p>
      <w:pPr>
        <w:jc w:val="both"/>
        <w:spacing w:after="0" w:line="272" w:lineRule="auto"/>
        <w:rPr>
          <w:sz w:val="20"/>
          <w:szCs w:val="20"/>
          <w:color w:val="auto"/>
        </w:rPr>
      </w:pPr>
      <w:r>
        <w:rPr>
          <w:rFonts w:ascii="Arial" w:cs="Arial" w:eastAsia="Arial" w:hAnsi="Arial"/>
          <w:sz w:val="17"/>
          <w:szCs w:val="17"/>
          <w:color w:val="auto"/>
        </w:rPr>
        <w:t>Administrative Agent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Administrative Agent harmless from all liability for, any stamp or other taxes which may be payable with respect to the execution or delivery of the Amendment Documents, which obligations of the Borrower shall survive any termination of the Credit Agreement. Notwithstanding the foregoing, the Administrative Agent agrees that it will not seek reimbursement from the Borrower for more than $10,000 of legal expenses in connection with the drafting and preparation of this Amendment.</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various sections of this Amendment have been inserted for reference only and shall not be deemed to be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Counterparts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several counterparts as deemed necessary or convenient, each of which, when so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shall be deemed an original, provided that all such counterparts shall be regarded as one and the same document, and either party to the Amendment may execute any such agreement by executing a counterpart of such agreement.</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AMENDMENT DOCUMENTS SHALL BE GOVERNED BY THE INTERNAL LAWS OF THE STATE OF CALIFORNIA, WITHOUT GIVING EFFECT TO CONFLICT OF LAW PRINCIPLES THEREOF, BUT GIVING EFFECT TO FEDERAL LAWS APPLICABLE TO NATIONAL BANKS, THEIR HOLDING COMPANIES AND THEIR AFFILIATES.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895" w:right="3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Bryan M. Hackworth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Bryan M. Hackworth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Sr. Vice President and CFO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 and as Administrative Agent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Andrew Williams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Andrew Williams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Fourth Amendment to Second A&amp;R Credit Agreement]</w:t>
      </w:r>
    </w:p>
    <w:p>
      <w:pPr>
        <w:sectPr>
          <w:pgSz w:w="11900" w:h="16838" w:orient="portrait"/>
          <w:cols w:equalWidth="0" w:num="1">
            <w:col w:w="10920"/>
          </w:cols>
          <w:pgMar w:left="320" w:top="895" w:right="6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u w:val="single" w:color="auto"/>
          <w:color w:val="auto"/>
        </w:rPr>
        <w:t>Annex A to Amendment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Restated Form of Borrowing Notice (Exhibit D-1)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9019"/>
          </w:cols>
          <w:pgMar w:left="1440" w:top="891" w:right="1440" w:bottom="1440" w:gutter="0" w:footer="0" w:header="0"/>
        </w:sectPr>
      </w:pPr>
    </w:p>
    <w:bookmarkStart w:id="102" w:name="page103"/>
    <w:bookmarkEnd w:id="102"/>
    <w:p>
      <w:pPr>
        <w:jc w:val="center"/>
        <w:ind w:left="640"/>
        <w:spacing w:after="0"/>
        <w:rPr>
          <w:sz w:val="20"/>
          <w:szCs w:val="20"/>
          <w:color w:val="auto"/>
        </w:rPr>
      </w:pPr>
      <w:r>
        <w:rPr>
          <w:rFonts w:ascii="Arial" w:cs="Arial" w:eastAsia="Arial" w:hAnsi="Arial"/>
          <w:sz w:val="18"/>
          <w:szCs w:val="18"/>
          <w:b w:val="1"/>
          <w:bCs w:val="1"/>
          <w:color w:val="auto"/>
        </w:rPr>
        <w:t>EXHIBIT D-1</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FORM OF BORROWING NOTICE</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U.S. Bank National Association,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that certain Second Amended and Restated Credit Agreement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October 27, 2017 by and among Universal Electronics Inc. (the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party thereto,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and the Administrative Agent.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shall have the meanings ascribed to such terms in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Borrower hereby gives to the Administrative Agent a request for borrowing pursuant to Section 2.8 of the Credit Agreement,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 hereby requests to borrow on [_______________], 20[__] (the “</w:t>
      </w:r>
      <w:r>
        <w:rPr>
          <w:rFonts w:ascii="Arial" w:cs="Arial" w:eastAsia="Arial" w:hAnsi="Arial"/>
          <w:sz w:val="18"/>
          <w:szCs w:val="18"/>
          <w:u w:val="single" w:color="auto"/>
          <w:color w:val="auto"/>
        </w:rPr>
        <w:t>Borrowing Date</w:t>
      </w:r>
      <w:r>
        <w:rPr>
          <w:rFonts w:ascii="Arial" w:cs="Arial" w:eastAsia="Arial" w:hAnsi="Arial"/>
          <w:sz w:val="18"/>
          <w:szCs w:val="18"/>
          <w:color w:val="auto"/>
        </w:rPr>
        <w:t>”):</w:t>
      </w:r>
    </w:p>
    <w:p>
      <w:pPr>
        <w:spacing w:after="0" w:line="238" w:lineRule="exact"/>
        <w:rPr>
          <w:sz w:val="20"/>
          <w:szCs w:val="20"/>
          <w:color w:val="auto"/>
        </w:rPr>
      </w:pPr>
    </w:p>
    <w:p>
      <w:pPr>
        <w:ind w:left="900" w:hanging="244"/>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the Lenders, on a pro rata basis, an aggregate principal amount of $[___________] in Revolving Loans as:</w:t>
      </w:r>
    </w:p>
    <w:p>
      <w:pPr>
        <w:spacing w:after="0" w:line="252" w:lineRule="exact"/>
        <w:rPr>
          <w:rFonts w:ascii="Arial" w:cs="Arial" w:eastAsia="Arial" w:hAnsi="Arial"/>
          <w:sz w:val="18"/>
          <w:szCs w:val="18"/>
          <w:color w:val="auto"/>
        </w:rPr>
      </w:pPr>
    </w:p>
    <w:p>
      <w:pPr>
        <w:ind w:left="1480" w:hanging="176"/>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Base Rate Advance (in Dollars)</w:t>
      </w:r>
    </w:p>
    <w:p>
      <w:pPr>
        <w:spacing w:after="0" w:line="252" w:lineRule="exact"/>
        <w:rPr>
          <w:rFonts w:ascii="Arial" w:cs="Arial" w:eastAsia="Arial" w:hAnsi="Arial"/>
          <w:sz w:val="18"/>
          <w:szCs w:val="18"/>
          <w:color w:val="auto"/>
        </w:rPr>
      </w:pPr>
    </w:p>
    <w:p>
      <w:pPr>
        <w:ind w:left="1480" w:hanging="176"/>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Daily Reset Advance (in Dollars)</w:t>
      </w:r>
    </w:p>
    <w:p>
      <w:pPr>
        <w:spacing w:after="0" w:line="252" w:lineRule="exact"/>
        <w:rPr>
          <w:rFonts w:ascii="Arial" w:cs="Arial" w:eastAsia="Arial" w:hAnsi="Arial"/>
          <w:sz w:val="18"/>
          <w:szCs w:val="18"/>
          <w:color w:val="auto"/>
        </w:rPr>
      </w:pPr>
    </w:p>
    <w:p>
      <w:pPr>
        <w:ind w:left="1480" w:hanging="176"/>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Eurocurrency Advance with the following characteristics: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Interest Period of [_______] month(s)</w:t>
      </w:r>
    </w:p>
    <w:p>
      <w:pPr>
        <w:spacing w:after="0" w:line="252" w:lineRule="exact"/>
        <w:rPr>
          <w:sz w:val="20"/>
          <w:szCs w:val="20"/>
          <w:color w:val="auto"/>
        </w:rPr>
      </w:pPr>
    </w:p>
    <w:p>
      <w:pPr>
        <w:ind w:left="920" w:hanging="264"/>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from the Swing Line Lender, a Swing Line Loan (in Dollars) of $[____________] bearing interest at:</w:t>
      </w:r>
    </w:p>
    <w:p>
      <w:pPr>
        <w:spacing w:after="0" w:line="252" w:lineRule="exact"/>
        <w:rPr>
          <w:rFonts w:ascii="Arial" w:cs="Arial" w:eastAsia="Arial" w:hAnsi="Arial"/>
          <w:sz w:val="18"/>
          <w:szCs w:val="18"/>
          <w:color w:val="auto"/>
        </w:rPr>
      </w:pPr>
    </w:p>
    <w:p>
      <w:pPr>
        <w:ind w:left="1480" w:hanging="17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Base Rate</w:t>
      </w:r>
    </w:p>
    <w:p>
      <w:pPr>
        <w:spacing w:after="0" w:line="252" w:lineRule="exact"/>
        <w:rPr>
          <w:rFonts w:ascii="Arial" w:cs="Arial" w:eastAsia="Arial" w:hAnsi="Arial"/>
          <w:sz w:val="18"/>
          <w:szCs w:val="18"/>
          <w:color w:val="auto"/>
        </w:rPr>
      </w:pPr>
    </w:p>
    <w:p>
      <w:pPr>
        <w:ind w:left="1480" w:hanging="17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Mutually agreed interest rate of ____% per annum</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undersigned hereby certifies to the Administrative Agent and the Lenders that (i) the representations and warranties contained in Article V of the Credit Agreement are (a) with respect to any representations or warranties that contain a materiality qualifier, true and correct in all respects as of the date hereof, except to the extent any such representation or warranty is stated to relate solely to an earlier date, in which case such representation or warranty shall have been true and correct in all respects on and as of such earlier date and (b) with respect to any representations or warranties that do not contain a materiality qualifier, true and correct in all material respects as of the date hereof, except to the extent any such representation or warranty is stated to relate solely to an earlier date, in which case such representation or warranty shall have been true and correct in all material respects on and as of such earlier date; (ii) at the time of and immediately after giving effect to such Advance, no Default or Event of Default shall have occurred and be continuing; and (iii) all other relevant conditions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the Credit Agreement have been satisfied.</w:t>
      </w:r>
    </w:p>
    <w:p>
      <w:pPr>
        <w:sectPr>
          <w:pgSz w:w="11900" w:h="16838" w:orient="portrait"/>
          <w:cols w:equalWidth="0" w:num="1">
            <w:col w:w="11240"/>
          </w:cols>
          <w:pgMar w:left="320" w:top="891"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7"/>
          <w:szCs w:val="17"/>
          <w:color w:val="auto"/>
        </w:rPr>
        <w:t>IN WITNESS WHEREOF, the undersigned has caused this Borrowing Notice to be executed by its authorized officer as of the date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UNIVERSAL ELECTRONICS INC.</w:t>
      </w:r>
    </w:p>
    <w:p>
      <w:pPr>
        <w:spacing w:after="0" w:line="200" w:lineRule="exact"/>
        <w:rPr>
          <w:sz w:val="20"/>
          <w:szCs w:val="20"/>
          <w:color w:val="auto"/>
        </w:rPr>
      </w:pPr>
    </w:p>
    <w:p>
      <w:pPr>
        <w:spacing w:after="0" w:line="281"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By: _________________________</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Title:</w:t>
      </w:r>
    </w:p>
    <w:p>
      <w:pPr>
        <w:sectPr>
          <w:pgSz w:w="11900" w:h="16838" w:orient="portrait"/>
          <w:cols w:equalWidth="0" w:num="1">
            <w:col w:w="11240"/>
          </w:cols>
          <w:pgMar w:left="320" w:top="895" w:right="339" w:bottom="1440" w:gutter="0" w:footer="0" w:header="0"/>
        </w:sectPr>
      </w:pPr>
    </w:p>
    <w:bookmarkStart w:id="104" w:name="page105"/>
    <w:bookmarkEnd w:id="104"/>
    <w:p>
      <w:pPr>
        <w:jc w:val="center"/>
        <w:ind w:right="-640"/>
        <w:spacing w:after="0"/>
        <w:rPr>
          <w:sz w:val="20"/>
          <w:szCs w:val="20"/>
          <w:color w:val="auto"/>
        </w:rPr>
      </w:pPr>
      <w:r>
        <w:rPr>
          <w:rFonts w:ascii="Arial" w:cs="Arial" w:eastAsia="Arial" w:hAnsi="Arial"/>
          <w:sz w:val="18"/>
          <w:szCs w:val="18"/>
          <w:b w:val="1"/>
          <w:bCs w:val="1"/>
          <w:u w:val="single" w:color="auto"/>
          <w:color w:val="auto"/>
        </w:rPr>
        <w:t>Annex B to Amendment</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Restated Form of Conversion/Continuation Notice (Exhibit D-2)</w:t>
      </w:r>
    </w:p>
    <w:p>
      <w:pPr>
        <w:spacing w:after="0" w:line="275"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9019"/>
          </w:cols>
          <w:pgMar w:left="1440" w:top="891" w:right="1440" w:bottom="1440" w:gutter="0" w:footer="0" w:header="0"/>
        </w:sectPr>
      </w:pPr>
    </w:p>
    <w:bookmarkStart w:id="105" w:name="page106"/>
    <w:bookmarkEnd w:id="105"/>
    <w:p>
      <w:pPr>
        <w:jc w:val="center"/>
        <w:ind w:left="640"/>
        <w:spacing w:after="0"/>
        <w:rPr>
          <w:sz w:val="20"/>
          <w:szCs w:val="20"/>
          <w:color w:val="auto"/>
        </w:rPr>
      </w:pPr>
      <w:r>
        <w:rPr>
          <w:rFonts w:ascii="Arial" w:cs="Arial" w:eastAsia="Arial" w:hAnsi="Arial"/>
          <w:sz w:val="18"/>
          <w:szCs w:val="18"/>
          <w:b w:val="1"/>
          <w:bCs w:val="1"/>
          <w:color w:val="auto"/>
        </w:rPr>
        <w:t>EXHIBIT D-2</w:t>
      </w:r>
    </w:p>
    <w:p>
      <w:pPr>
        <w:spacing w:after="0" w:line="24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FORM OF CONVERSION/CONTINUATION NOTICE</w:t>
      </w:r>
      <w:r>
        <w:rPr>
          <w:rFonts w:ascii="Arial" w:cs="Arial" w:eastAsia="Arial" w:hAnsi="Arial"/>
          <w:sz w:val="23"/>
          <w:szCs w:val="23"/>
          <w:b w:val="1"/>
          <w:bCs w:val="1"/>
          <w:color w:val="auto"/>
          <w:vertAlign w:val="superscript"/>
        </w:rPr>
        <w:t>(1)</w:t>
      </w:r>
    </w:p>
    <w:p>
      <w:pPr>
        <w:spacing w:after="0" w:line="202"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TO: U.S.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Second Amended and Restated Credit Agreement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October 27, 2017 by and among Universal Electronics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w:t>
      </w:r>
    </w:p>
    <w:p>
      <w:pPr>
        <w:spacing w:after="0" w:line="21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Capitalized terms used herein shall have the meanings ascribed to such terms in the Credit Agreement.</w:t>
      </w:r>
    </w:p>
    <w:p>
      <w:pPr>
        <w:spacing w:after="0" w:line="252"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Pursuant to Section 2.9 of the Credit Agreement, the undersigned Borrower hereby requests to [continue] [convert]the interest rate on a portion of its Loan in the outstanding principal amount of $[____________] on [_______________], 20[__] as follows:</w:t>
      </w:r>
    </w:p>
    <w:p>
      <w:pPr>
        <w:spacing w:after="0" w:line="197"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to convert such Eurocurrency Advance to a Base Rate Advance of the same type as of the last day of the current Interest Period for such Eurocurrency Advance</w:t>
      </w:r>
    </w:p>
    <w:p>
      <w:pPr>
        <w:spacing w:after="0" w:line="197"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to convert such Eurocurrency Advance to a Daily Reset Advance of the same type as of the last day of the current Interest Period for such Eurocurrency Advance.</w:t>
      </w:r>
    </w:p>
    <w:p>
      <w:pPr>
        <w:spacing w:after="0" w:line="19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to convert such Base Rate Advance to a Daily Reset Advance.</w:t>
      </w:r>
    </w:p>
    <w:p>
      <w:pPr>
        <w:spacing w:after="0" w:line="25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to convert such Base Rate Advance to a Eurocurrency Advance with an Interest Period of [_______] month(s).</w:t>
      </w:r>
    </w:p>
    <w:p>
      <w:pPr>
        <w:spacing w:after="0" w:line="25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to convert such Daily Reset Rate Advance to a Base Rate Advance.</w:t>
      </w:r>
    </w:p>
    <w:p>
      <w:pPr>
        <w:spacing w:after="0" w:line="25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to convert such Base Rate Advance to a Eurocurrency Advance with an Interest Period of [_______] month(s).</w:t>
      </w:r>
    </w:p>
    <w:p>
      <w:pPr>
        <w:spacing w:after="0" w:line="252"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to continue such Eurocurrency Advance on the last day of its current Interest Period as a Eurocurrency Advance of the same type with an Interest Period of [_______] month(s).</w:t>
      </w:r>
    </w:p>
    <w:p>
      <w:pPr>
        <w:spacing w:after="0" w:line="200" w:lineRule="exact"/>
        <w:rPr>
          <w:sz w:val="20"/>
          <w:szCs w:val="20"/>
          <w:color w:val="auto"/>
        </w:rPr>
      </w:pPr>
    </w:p>
    <w:p>
      <w:pPr>
        <w:spacing w:after="0" w:line="240" w:lineRule="exact"/>
        <w:rPr>
          <w:sz w:val="20"/>
          <w:szCs w:val="20"/>
          <w:color w:val="auto"/>
        </w:rPr>
      </w:pPr>
    </w:p>
    <w:p>
      <w:pPr>
        <w:jc w:val="both"/>
        <w:ind w:left="652"/>
        <w:spacing w:after="0" w:line="270" w:lineRule="auto"/>
        <w:rPr>
          <w:sz w:val="20"/>
          <w:szCs w:val="20"/>
          <w:color w:val="auto"/>
        </w:rPr>
      </w:pPr>
      <w:r>
        <w:rPr>
          <w:rFonts w:ascii="Arial" w:cs="Arial" w:eastAsia="Arial" w:hAnsi="Arial"/>
          <w:sz w:val="17"/>
          <w:szCs w:val="17"/>
          <w:color w:val="auto"/>
        </w:rPr>
        <w:t xml:space="preserve">The undersigned hereby certifies to the Administrative Agent and the Lenders that (i) the representations and warranties contained in Article V of the Credit Agreement are (a) with respect to any representations or warranties that contain a materiality qualifier, true and correct in all respects as of the date hereof, except to the extent any such representation or warranty is stated to relate solely to an earlier date, in which case such representation or warranty shall have been true and correct in all respects on and as of such earlier date and (b) with respect to any representations or warranties that do not contain a materiality qualifier, true and correct in all material respects as of the date hereof, except to the extent any such representation or warranty is stated to relate solely to an earlier date, in which case such representation or warranty shall have been true and correct in all material respects on and as of such earlier date; (ii) the Borrower is in full compliance with all of the terms and conditions hereof, and no Default or Event of Default shall have occurred and be continuing or would occur as a result of the [continuation] [conversion] contemplated hereby; and (iii) all other relevant conditions set forth in </w:t>
      </w:r>
      <w:r>
        <w:rPr>
          <w:rFonts w:ascii="Arial" w:cs="Arial" w:eastAsia="Arial" w:hAnsi="Arial"/>
          <w:sz w:val="17"/>
          <w:szCs w:val="17"/>
          <w:u w:val="single" w:color="auto"/>
          <w:color w:val="auto"/>
        </w:rPr>
        <w:t>Section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 w:right="20" w:firstLine="8"/>
        <w:spacing w:after="0" w:line="267" w:lineRule="auto"/>
        <w:tabs>
          <w:tab w:leader="none" w:pos="173"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Such Conversion/Continuation Notice to be delivered not later than 10:00 a.m. (Pacific Standard Time) at least two (2) Business Days prior to the date of the requested conversion or continuation.</w:t>
      </w:r>
    </w:p>
    <w:p>
      <w:pPr>
        <w:sectPr>
          <w:pgSz w:w="11900" w:h="16838" w:orient="portrait"/>
          <w:cols w:equalWidth="0" w:num="1">
            <w:col w:w="11232"/>
          </w:cols>
          <w:pgMar w:left="328"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Distribution Co., S de 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 de 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Qinzhou Universal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RCS Technology, LLC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do Brasil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Yangzhou Universal Trading Co. Ltd. (organized under the laws of the People's Republic of China)</w:t>
      </w:r>
    </w:p>
    <w:p>
      <w:pPr>
        <w:sectPr>
          <w:pgSz w:w="11900" w:h="16838" w:orient="portrait"/>
          <w:cols w:equalWidth="0" w:num="1">
            <w:col w:w="11240"/>
          </w:cols>
          <w:pgMar w:left="320" w:top="89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March 5, 2021, with respect to the consolidated financial statements and internal control over financial reporting included in the Annual Report of Universal Electronics Inc. on Form 10-K for the year ended December 31, 2020. We consent to the incorporation by reference of said reports in the Registration Statements of Universal Electronics Inc. on Forms S-8 (File No. 333-149926, File No. 333-175345, File No. 333-194511, File No. 333-198093, and File No. 333-227594).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ectPr>
          <w:pgSz w:w="11900" w:h="16838" w:orient="portrait"/>
          <w:cols w:equalWidth="0" w:num="1">
            <w:col w:w="11240"/>
          </w:cols>
          <w:pgMar w:left="320" w:top="891" w:right="339" w:bottom="1440" w:gutter="0" w:footer="0" w:header="0"/>
        </w:sectPr>
      </w:pPr>
    </w:p>
    <w:bookmarkStart w:id="108" w:name="page109"/>
    <w:bookmarkEnd w:id="108"/>
    <w:p>
      <w:pPr>
        <w:ind w:left="1032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04"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0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91"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09" w:name="page110"/>
    <w:bookmarkEnd w:id="109"/>
    <w:p>
      <w:pPr>
        <w:ind w:left="1032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04"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0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91"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42" w:lineRule="auto"/>
        <w:tabs>
          <w:tab w:leader="none" w:pos="7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2020 as filed with the Securities and Exchange Commission on the date hereof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2021</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42" w:lineRule="auto"/>
        <w:tabs>
          <w:tab w:leader="none" w:pos="73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2020 as filed with the Securities and Exchange Commission on the date hereof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04"/>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upperLetter"/>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lvl w:ilvl="1">
      <w:lvlJc w:val="left"/>
      <w:lvlText w:val="(%2)"/>
      <w:numFmt w:val="lowerLetter"/>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3"/>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lowerLetter"/>
      <w:start w:val="7"/>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1"/>
    </w:lvl>
    <w:lvl w:ilvl="1">
      <w:lvlJc w:val="left"/>
      <w:lvlText w:val="(%2)"/>
      <w:numFmt w:val="lowerLetter"/>
      <w:start w:val="35"/>
    </w:lvl>
  </w:abstractNum>
  <w:abstractNum w:abstractNumId="47">
    <w:nsid w:val="70C6A529"/>
    <w:multiLevelType w:val="hybridMultilevel"/>
    <w:lvl w:ilvl="0">
      <w:lvlJc w:val="left"/>
      <w:lvlText w:val="(%1)"/>
      <w:numFmt w:val="lowerLetter"/>
      <w:start w:val="2"/>
    </w:lvl>
    <w:lvl w:ilvl="1">
      <w:lvlJc w:val="left"/>
      <w:lvlText w:val="(%2)"/>
      <w:numFmt w:val="lowerLetter"/>
      <w:start w:val="9"/>
    </w:lvl>
  </w:abstractNum>
  <w:abstractNum w:abstractNumId="48">
    <w:nsid w:val="520EEDD1"/>
    <w:multiLevelType w:val="hybridMultilevel"/>
    <w:lvl w:ilvl="0">
      <w:lvlJc w:val="left"/>
      <w:lvlText w:val="(%1)"/>
      <w:numFmt w:val="lowerRoman"/>
      <w:start w:val="2"/>
    </w:lvl>
  </w:abstractNum>
  <w:abstractNum w:abstractNumId="49">
    <w:nsid w:val="374A3FE6"/>
    <w:multiLevelType w:val="hybridMultilevel"/>
    <w:lvl w:ilvl="0">
      <w:lvlJc w:val="left"/>
      <w:lvlText w:val="(%1)"/>
      <w:numFmt w:val="lowerRoman"/>
      <w:start w:val="4"/>
    </w:lvl>
  </w:abstractNum>
  <w:abstractNum w:abstractNumId="50">
    <w:nsid w:val="4F4EF005"/>
    <w:multiLevelType w:val="hybridMultilevel"/>
    <w:lvl w:ilvl="0">
      <w:lvlJc w:val="left"/>
      <w:lvlText w:val="(%1)"/>
      <w:numFmt w:val="lowerLetter"/>
      <w:start w:val="2"/>
    </w:lvl>
  </w:abstractNum>
  <w:abstractNum w:abstractNumId="51">
    <w:nsid w:val="23F9C13C"/>
    <w:multiLevelType w:val="hybridMultilevel"/>
    <w:lvl w:ilvl="0">
      <w:lvlJc w:val="left"/>
      <w:lvlText w:val="(%1)"/>
      <w:numFmt w:val="lowerLetter"/>
      <w:start w:val="1"/>
    </w:lvl>
    <w:lvl w:ilvl="1">
      <w:lvlJc w:val="left"/>
      <w:lvlText w:val="%2."/>
      <w:numFmt w:val="decimal"/>
      <w:start w:val="1"/>
    </w:lvl>
  </w:abstractNum>
  <w:abstractNum w:abstractNumId="52">
    <w:nsid w:val="649BB77C"/>
    <w:multiLevelType w:val="hybridMultilevel"/>
    <w:lvl w:ilvl="0">
      <w:lvlJc w:val="left"/>
      <w:lvlText w:val="(%1)"/>
      <w:numFmt w:val="lowerLetter"/>
      <w:start w:val="2"/>
    </w:lvl>
    <w:lvl w:ilvl="1">
      <w:lvlJc w:val="left"/>
      <w:lvlText w:val="%2."/>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98" Type="http://schemas.openxmlformats.org/officeDocument/2006/relationships/hyperlink" Target="http://www.sec.gov/Archives/edgar/data/101984/000010198418000008/a10k20171231-ex33.htm" TargetMode="External"/><Relationship Id="rId99" Type="http://schemas.openxmlformats.org/officeDocument/2006/relationships/hyperlink" Target="http://www.sec.gov/Archives/edgar/data/101984/000010198418000008/a10k20171231-ex34.htm" TargetMode="External"/><Relationship Id="rId100" Type="http://schemas.openxmlformats.org/officeDocument/2006/relationships/hyperlink" Target="http://www.sec.gov/Archives/edgar/data/101984/000010198416000059/exhibit41-commonstockpurch.htm" TargetMode="External"/><Relationship Id="rId101" Type="http://schemas.openxmlformats.org/officeDocument/2006/relationships/hyperlink" Target="https://www.sec.gov/Archives/edgar/data/101984/000010198420000009/a10k20191231-ex43.htm" TargetMode="External"/><Relationship Id="rId102" Type="http://schemas.openxmlformats.org/officeDocument/2006/relationships/hyperlink" Target="http://www.sec.gov/Archives/edgar/data/101984/0000950152-98-002736.txt" TargetMode="External"/><Relationship Id="rId103" Type="http://schemas.openxmlformats.org/officeDocument/2006/relationships/hyperlink" Target="http://www.sec.gov/Archives/edgar/data/101984/000095015003000463/a89495def14a.htm" TargetMode="External"/><Relationship Id="rId104" Type="http://schemas.openxmlformats.org/officeDocument/2006/relationships/hyperlink" Target="http://www.sec.gov/Archives/edgar/data/101984/000095015004000338/a97327exv10w42.txt" TargetMode="External"/><Relationship Id="rId105" Type="http://schemas.openxmlformats.org/officeDocument/2006/relationships/hyperlink" Target="http://www.sec.gov/Archives/edgar/data/101984/000095013706004928/a19632ddef14a.htm" TargetMode="External"/><Relationship Id="rId106" Type="http://schemas.openxmlformats.org/officeDocument/2006/relationships/hyperlink" Target="http://www.sec.gov/Archives/edgar/data/101984/000089256907000250/a27604exv10w26.txt" TargetMode="External"/><Relationship Id="rId107" Type="http://schemas.openxmlformats.org/officeDocument/2006/relationships/hyperlink" Target="http://www.sec.gov/Archives/edgar/data/101984/000089256907000250/a27604exv10w28.txt" TargetMode="External"/><Relationship Id="rId110" Type="http://schemas.openxmlformats.org/officeDocument/2006/relationships/hyperlink" Target="http://www.sec.gov/Archives/edgar/data/101984/000089256908000442/a39411exv4w5.htm" TargetMode="External"/><Relationship Id="rId111" Type="http://schemas.openxmlformats.org/officeDocument/2006/relationships/hyperlink" Target="http://www.sec.gov/Archives/edgar/data/101984/000095012311025838/a58948exv10w30.htm" TargetMode="External"/><Relationship Id="rId112" Type="http://schemas.openxmlformats.org/officeDocument/2006/relationships/hyperlink" Target="http://www.sec.gov/Archives/edgar/data/101984/000095012311025838/a58948exv10w31.htm" TargetMode="External"/><Relationship Id="rId113" Type="http://schemas.openxmlformats.org/officeDocument/2006/relationships/hyperlink" Target="http://www.sec.gov/Archives/edgar/data/101984/000095012310041632/a55838def14a.htm" TargetMode="External"/><Relationship Id="rId114" Type="http://schemas.openxmlformats.org/officeDocument/2006/relationships/hyperlink" Target="http://www.sec.gov/Archives/edgar/data/101984/000095012311063851/a59824exv4w6.htm" TargetMode="External"/><Relationship Id="rId115" Type="http://schemas.openxmlformats.org/officeDocument/2006/relationships/hyperlink" Target="http://www.sec.gov/Archives/edgar/data/101984/000095012311063851/a59824exv4w7.htm" TargetMode="External"/><Relationship Id="rId116" Type="http://schemas.openxmlformats.org/officeDocument/2006/relationships/hyperlink" Target="http://www.sec.gov/Archives/edgar/data/101984/000144530513000608/ueic-12312012xex1031.htm" TargetMode="External"/><Relationship Id="rId117" Type="http://schemas.openxmlformats.org/officeDocument/2006/relationships/hyperlink" Target="http://www.sec.gov/Archives/edgar/data/101984/000119312512114613/d281396dex1036.htm" TargetMode="External"/><Relationship Id="rId118" Type="http://schemas.openxmlformats.org/officeDocument/2006/relationships/hyperlink" Target="http://www.sec.gov/Archives/edgar/data/101984/000119312512240294/d355902dex101.htm" TargetMode="External"/><Relationship Id="rId119" Type="http://schemas.openxmlformats.org/officeDocument/2006/relationships/hyperlink" Target="http://www.sec.gov/Archives/edgar/data/101984/000010198414000014/ueic-12312013xex1034.htm" TargetMode="External"/><Relationship Id="rId120" Type="http://schemas.openxmlformats.org/officeDocument/2006/relationships/hyperlink" Target="http://www.sec.gov/Archives/edgar/data/101984/000010198414000016/forms82014-03x10.htm" TargetMode="External"/><Relationship Id="rId121" Type="http://schemas.openxmlformats.org/officeDocument/2006/relationships/hyperlink" Target="http://www.sec.gov/Archives/edgar/data/101984/000010198414000051/exhibit452014-08.htm" TargetMode="External"/><Relationship Id="rId122" Type="http://schemas.openxmlformats.org/officeDocument/2006/relationships/hyperlink" Target="http://www.sec.gov/Archives/edgar/data/101984/000010198414000051/exhibit462014-08.htm" TargetMode="External"/><Relationship Id="rId123" Type="http://schemas.openxmlformats.org/officeDocument/2006/relationships/hyperlink" Target="http://www.sec.gov/Archives/edgar/data/101984/000010198414000051/exhibit472014-08.htm" TargetMode="External"/><Relationship Id="rId124" Type="http://schemas.openxmlformats.org/officeDocument/2006/relationships/hyperlink" Target="http://www.sec.gov/Archives/edgar/data/101984/000010198416000059/exhibit101-registrationrig.htm" TargetMode="External"/><Relationship Id="rId125" Type="http://schemas.openxmlformats.org/officeDocument/2006/relationships/hyperlink" Target="http://www.sec.gov/Archives/edgar/data/101984/000010198418000008/a10k20171231-ex1039.htm" TargetMode="External"/><Relationship Id="rId126" Type="http://schemas.openxmlformats.org/officeDocument/2006/relationships/hyperlink" Target="http://www.sec.gov/Archives/edgar/data/101984/000010198418000032/uei-06302018x10qxex101.htm" TargetMode="External"/><Relationship Id="rId129" Type="http://schemas.openxmlformats.org/officeDocument/2006/relationships/hyperlink" Target="http://www.sec.gov/Archives/edgar/data/101984/000010198418000032/uei-06302018x10qxex103.htm" TargetMode="External"/><Relationship Id="rId130" Type="http://schemas.openxmlformats.org/officeDocument/2006/relationships/hyperlink" Target="http://www.sec.gov/Archives/edgar/data/101984/000010198418000038/exhibit452018-09.htm" TargetMode="External"/><Relationship Id="rId131" Type="http://schemas.openxmlformats.org/officeDocument/2006/relationships/hyperlink" Target="http://www.sec.gov/Archives/edgar/data/101984/000010198418000032/uei-0630201810qex105.htm" TargetMode="External"/><Relationship Id="rId132" Type="http://schemas.openxmlformats.org/officeDocument/2006/relationships/hyperlink" Target="http://www.sec.gov/Archives/edgar/data/101984/000010198418000032/uei-0630201810qex106.htm" TargetMode="External"/><Relationship Id="rId133" Type="http://schemas.openxmlformats.org/officeDocument/2006/relationships/hyperlink" Target="http://www.sec.gov/Archives/edgar/data/101984/000010198419000003/usb-secondamendmenttoueise.htm" TargetMode="External"/><Relationship Id="rId134" Type="http://schemas.openxmlformats.org/officeDocument/2006/relationships/hyperlink" Target="http://www.sec.gov/Archives/edgar/data/101984/000095015004000338/a97327exv1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2021-03-05T12:55:14Z</dcterms:created>
  <dcterms:modified xsi:type="dcterms:W3CDTF">2021-03-05T12:55:14Z</dcterms:modified>
</cp:coreProperties>
</file>