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_______________________________________ </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80" w:after="283"/>
        <w:ind w:left="0" w:right="0" w:firstLine="495"/>
        <w:jc w:val="center"/>
        <w:rPr>
          <w:rFonts w:ascii="Times New Roman;serif" w:hAnsi="Times New Roman;serif"/>
          <w:b/>
          <w:color w:val="000000"/>
          <w:sz w:val="24"/>
        </w:rPr>
      </w:pPr>
      <w:r>
        <w:rPr>
          <w:rFonts w:ascii="Times New Roman;serif" w:hAnsi="Times New Roman;serif"/>
          <w:b/>
          <w:color w:val="000000"/>
          <w:sz w:val="24"/>
        </w:rPr>
        <w:t xml:space="preserve">For the quarterly period ended September 30, 2026 </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ind w:left="0" w:right="0" w:firstLine="495"/>
        <w:jc w:val="center"/>
        <w:rPr>
          <w:rFonts w:ascii="Times New Roman;serif" w:hAnsi="Times New Roman;serif"/>
          <w:b/>
          <w:color w:val="000000"/>
          <w:sz w:val="24"/>
        </w:rPr>
      </w:pPr>
      <w:r>
        <w:rPr>
          <w:rFonts w:ascii="Times New Roman;serif" w:hAnsi="Times New Roman;serif"/>
          <w:b/>
          <w:color w:val="000000"/>
          <w:sz w:val="24"/>
        </w:rPr>
        <w:t>For the transition period from            to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Commission File Number: 0-21044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UNIVERSAL ELECTRONICS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137" w:type="dxa"/>
        <w:jc w:val="center"/>
        <w:tblInd w:w="0" w:type="dxa"/>
        <w:tblLayout w:type="fixed"/>
        <w:tblCellMar>
          <w:top w:w="28" w:type="dxa"/>
          <w:left w:w="28" w:type="dxa"/>
          <w:bottom w:w="28" w:type="dxa"/>
          <w:right w:w="28" w:type="dxa"/>
        </w:tblCellMar>
      </w:tblPr>
      <w:tblGrid>
        <w:gridCol w:w="518"/>
        <w:gridCol w:w="454"/>
        <w:gridCol w:w="454"/>
        <w:gridCol w:w="454"/>
        <w:gridCol w:w="454"/>
        <w:gridCol w:w="469"/>
        <w:gridCol w:w="109"/>
        <w:gridCol w:w="109"/>
        <w:gridCol w:w="109"/>
        <w:gridCol w:w="109"/>
        <w:gridCol w:w="109"/>
        <w:gridCol w:w="109"/>
        <w:gridCol w:w="492"/>
        <w:gridCol w:w="492"/>
        <w:gridCol w:w="696"/>
      </w:tblGrid>
      <w:tr>
        <w:tc>
          <w:tcPr>
            <w:tcW w:w="51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33-0204817</w:t>
            </w:r>
          </w:p>
        </w:tc>
      </w:tr>
      <w:tr>
        <w:tc>
          <w:tcPr>
            <w:tcW w:w="280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r>
        <w:tc>
          <w:tcPr>
            <w:tcW w:w="142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15147 N. Scottsdale Road, Suite H300, Scottsdale, Arizona 85254-2494</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40" w:after="283"/>
        <w:jc w:val="center"/>
        <w:rPr>
          <w:rFonts w:ascii="Times New Roman;serif" w:hAnsi="Times New Roman;serif"/>
          <w:b/>
          <w:color w:val="000000"/>
          <w:sz w:val="22"/>
        </w:rPr>
      </w:pPr>
      <w:r>
        <w:rPr>
          <w:rFonts w:ascii="Times New Roman;serif" w:hAnsi="Times New Roman;serif"/>
          <w:b/>
          <w:color w:val="000000"/>
          <w:sz w:val="22"/>
        </w:rPr>
        <w:t>(480) 530-3000</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pPr>
      <w:r>
        <w:rPr>
          <w:rFonts w:ascii="Times New Roman;serif" w:hAnsi="Times New Roman;serif"/>
          <w:b w:val="false"/>
          <w:color w:val="000000"/>
          <w:sz w:val="20"/>
        </w:rPr>
        <w:t>_____________________</w:t>
      </w:r>
      <w:r>
        <w:rPr>
          <w:color w:val="000000"/>
        </w:rPr>
        <w:t> </w:t>
      </w:r>
    </w:p>
    <w:tbl>
      <w:tblPr>
        <w:tblW w:w="8820" w:type="dxa"/>
        <w:jc w:val="center"/>
        <w:tblInd w:w="0" w:type="dxa"/>
        <w:tblLayout w:type="fixed"/>
        <w:tblCellMar>
          <w:top w:w="28" w:type="dxa"/>
          <w:left w:w="28" w:type="dxa"/>
          <w:bottom w:w="28" w:type="dxa"/>
          <w:right w:w="28" w:type="dxa"/>
        </w:tblCellMar>
      </w:tblPr>
      <w:tblGrid>
        <w:gridCol w:w="1267"/>
        <w:gridCol w:w="1114"/>
        <w:gridCol w:w="1114"/>
        <w:gridCol w:w="540"/>
        <w:gridCol w:w="540"/>
        <w:gridCol w:w="540"/>
        <w:gridCol w:w="1085"/>
        <w:gridCol w:w="1085"/>
        <w:gridCol w:w="1535"/>
      </w:tblGrid>
      <w:tr>
        <w:tc>
          <w:tcPr>
            <w:tcW w:w="126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88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c>
          <w:tcPr>
            <w:tcW w:w="349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2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3495"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20"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UEIC</w:t>
            </w:r>
          </w:p>
        </w:tc>
        <w:tc>
          <w:tcPr>
            <w:tcW w:w="3705"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60" w:after="283"/>
        <w:jc w:val="both"/>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082"/>
        <w:gridCol w:w="951"/>
        <w:gridCol w:w="953"/>
        <w:gridCol w:w="169"/>
        <w:gridCol w:w="169"/>
        <w:gridCol w:w="169"/>
        <w:gridCol w:w="169"/>
        <w:gridCol w:w="169"/>
        <w:gridCol w:w="169"/>
        <w:gridCol w:w="169"/>
        <w:gridCol w:w="169"/>
        <w:gridCol w:w="169"/>
        <w:gridCol w:w="169"/>
        <w:gridCol w:w="169"/>
        <w:gridCol w:w="169"/>
        <w:gridCol w:w="169"/>
        <w:gridCol w:w="169"/>
        <w:gridCol w:w="169"/>
        <w:gridCol w:w="169"/>
        <w:gridCol w:w="169"/>
        <w:gridCol w:w="169"/>
        <w:gridCol w:w="1195"/>
        <w:gridCol w:w="1195"/>
        <w:gridCol w:w="1202"/>
        <w:gridCol w:w="169"/>
        <w:gridCol w:w="169"/>
        <w:gridCol w:w="247"/>
      </w:tblGrid>
      <w:tr>
        <w:tc>
          <w:tcPr>
            <w:tcW w:w="1082"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5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Act).Yes ☐ No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 12,905,265 shares of Common Stock, par value $0.01 per share, of the registrant were outstanding on November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0" w:after="0"/>
        <w:jc w:val="left"/>
        <w:rPr>
          <w:color w:val="000000"/>
        </w:rPr>
      </w:pPr>
      <w:r>
        <w:rPr>
          <w:color w:val="000000"/>
        </w:rPr>
        <w:t> </w:t>
      </w:r>
    </w:p>
    <w:tbl>
      <w:tblPr>
        <w:tblW w:w="8685" w:type="dxa"/>
        <w:jc w:val="left"/>
        <w:tblInd w:w="0" w:type="dxa"/>
        <w:tblLayout w:type="fixed"/>
        <w:tblCellMar>
          <w:top w:w="28" w:type="dxa"/>
          <w:left w:w="28" w:type="dxa"/>
          <w:bottom w:w="28" w:type="dxa"/>
          <w:right w:w="28" w:type="dxa"/>
        </w:tblCellMar>
      </w:tblPr>
      <w:tblGrid>
        <w:gridCol w:w="2879"/>
        <w:gridCol w:w="2529"/>
        <w:gridCol w:w="2541"/>
        <w:gridCol w:w="215"/>
        <w:gridCol w:w="215"/>
        <w:gridCol w:w="306"/>
      </w:tblGrid>
      <w:tr>
        <w:tc>
          <w:tcPr>
            <w:tcW w:w="287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c>
          <w:tcPr>
            <w:tcW w:w="7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p>
            <w:pPr>
              <w:pStyle w:val="TableContents"/>
              <w:bidi w:val="0"/>
              <w:spacing w:lineRule="auto" w:line="240"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0">
              <w:r>
                <w:rPr>
                  <w:rStyle w:val="InternetLink"/>
                  <w:rFonts w:ascii="Times New Roman;serif" w:hAnsi="Times New Roman;serif"/>
                  <w:b/>
                  <w:color w:val="0000FF"/>
                  <w:sz w:val="20"/>
                  <w:u w:val="single"/>
                </w:rPr>
                <w:t>PART I. FINANCIAL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0">
              <w:r>
                <w:rPr>
                  <w:rStyle w:val="InternetLink"/>
                  <w:rFonts w:ascii="Times New Roman;serif" w:hAnsi="Times New Roman;serif"/>
                  <w:b w:val="false"/>
                  <w:color w:val="0000FF"/>
                  <w:sz w:val="20"/>
                  <w:u w:val="single"/>
                </w:rPr>
                <w:t>3</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3">
              <w:r>
                <w:rPr>
                  <w:rStyle w:val="InternetLink"/>
                  <w:rFonts w:ascii="Times New Roman;serif" w:hAnsi="Times New Roman;serif"/>
                  <w:b w:val="false"/>
                  <w:color w:val="0000FF"/>
                  <w:sz w:val="20"/>
                  <w:u w:val="single"/>
                </w:rPr>
                <w:t>Item 1. Consolidated Financial Statements (Unaudited)</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3">
              <w:r>
                <w:rPr>
                  <w:rStyle w:val="InternetLink"/>
                  <w:rFonts w:ascii="Times New Roman;serif" w:hAnsi="Times New Roman;serif"/>
                  <w:b w:val="false"/>
                  <w:color w:val="0000FF"/>
                  <w:sz w:val="20"/>
                  <w:u w:val="single"/>
                </w:rPr>
                <w:t>3</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6">
              <w:r>
                <w:rPr>
                  <w:rStyle w:val="InternetLink"/>
                  <w:rFonts w:ascii="Times New Roman;serif" w:hAnsi="Times New Roman;serif"/>
                  <w:b w:val="false"/>
                  <w:color w:val="0000FF"/>
                  <w:sz w:val="20"/>
                  <w:u w:val="single"/>
                </w:rPr>
                <w:t>Consolidated Balance Sheets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6">
              <w:r>
                <w:rPr>
                  <w:rStyle w:val="InternetLink"/>
                  <w:rFonts w:ascii="Times New Roman;serif" w:hAnsi="Times New Roman;serif"/>
                  <w:b w:val="false"/>
                  <w:color w:val="0000FF"/>
                  <w:sz w:val="20"/>
                  <w:u w:val="single"/>
                </w:rPr>
                <w:t>3</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9">
              <w:r>
                <w:rPr>
                  <w:rStyle w:val="InternetLink"/>
                  <w:rFonts w:ascii="Times New Roman;serif" w:hAnsi="Times New Roman;serif"/>
                  <w:b w:val="false"/>
                  <w:color w:val="0000FF"/>
                  <w:sz w:val="20"/>
                  <w:u w:val="single"/>
                </w:rPr>
                <w:t>Consolidated Statements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9">
              <w:r>
                <w:rPr>
                  <w:rStyle w:val="InternetLink"/>
                  <w:rFonts w:ascii="Times New Roman;serif" w:hAnsi="Times New Roman;serif"/>
                  <w:b w:val="false"/>
                  <w:color w:val="0000FF"/>
                  <w:sz w:val="20"/>
                  <w:u w:val="single"/>
                </w:rPr>
                <w:t>4</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22">
              <w:r>
                <w:rPr>
                  <w:rStyle w:val="InternetLink"/>
                  <w:rFonts w:ascii="Times New Roman;serif" w:hAnsi="Times New Roman;serif"/>
                  <w:b w:val="false"/>
                  <w:color w:val="0000FF"/>
                  <w:sz w:val="20"/>
                  <w:u w:val="single"/>
                </w:rPr>
                <w:t>Consolidated Statements of Comprehensive Income (Loss)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22">
              <w:r>
                <w:rPr>
                  <w:rStyle w:val="InternetLink"/>
                  <w:rFonts w:ascii="Times New Roman;serif" w:hAnsi="Times New Roman;serif"/>
                  <w:b w:val="false"/>
                  <w:color w:val="0000FF"/>
                  <w:sz w:val="20"/>
                  <w:u w:val="single"/>
                </w:rPr>
                <w:t>5</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25">
              <w:r>
                <w:rPr>
                  <w:rStyle w:val="InternetLink"/>
                  <w:rFonts w:ascii="Times New Roman;serif" w:hAnsi="Times New Roman;serif"/>
                  <w:b w:val="false"/>
                  <w:color w:val="0000FF"/>
                  <w:sz w:val="20"/>
                  <w:u w:val="single"/>
                </w:rPr>
                <w:t>Consolidated Statements of Stockholders' Equity</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25">
              <w:r>
                <w:rPr>
                  <w:rStyle w:val="InternetLink"/>
                  <w:rFonts w:ascii="Times New Roman;serif" w:hAnsi="Times New Roman;serif"/>
                  <w:b w:val="false"/>
                  <w:color w:val="0000FF"/>
                  <w:sz w:val="20"/>
                  <w:u w:val="single"/>
                </w:rPr>
                <w:t>6</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28">
              <w:r>
                <w:rPr>
                  <w:rStyle w:val="InternetLink"/>
                  <w:rFonts w:ascii="Times New Roman;serif" w:hAnsi="Times New Roman;serif"/>
                  <w:b w:val="false"/>
                  <w:color w:val="0000FF"/>
                  <w:sz w:val="20"/>
                  <w:u w:val="single"/>
                </w:rPr>
                <w:t>Consolidated Statements of Cash Flows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28">
              <w:r>
                <w:rPr>
                  <w:rStyle w:val="InternetLink"/>
                  <w:rFonts w:ascii="Times New Roman;serif" w:hAnsi="Times New Roman;serif"/>
                  <w:b w:val="false"/>
                  <w:color w:val="0000FF"/>
                  <w:sz w:val="20"/>
                  <w:u w:val="single"/>
                </w:rPr>
                <w:t>8</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31">
              <w:r>
                <w:rPr>
                  <w:rStyle w:val="InternetLink"/>
                  <w:rFonts w:ascii="Times New Roman;serif" w:hAnsi="Times New Roman;serif"/>
                  <w:b w:val="false"/>
                  <w:color w:val="0000FF"/>
                  <w:sz w:val="20"/>
                  <w:u w:val="single"/>
                </w:rPr>
                <w:t>Notes to Consolidated Financial Statements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31">
              <w:r>
                <w:rPr>
                  <w:rStyle w:val="InternetLink"/>
                  <w:rFonts w:ascii="Times New Roman;serif" w:hAnsi="Times New Roman;serif"/>
                  <w:b w:val="false"/>
                  <w:color w:val="0000FF"/>
                  <w:sz w:val="20"/>
                  <w:u w:val="single"/>
                </w:rPr>
                <w:t>9</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0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00">
              <w:r>
                <w:rPr>
                  <w:rStyle w:val="InternetLink"/>
                  <w:rFonts w:ascii="Times New Roman;serif" w:hAnsi="Times New Roman;serif"/>
                  <w:b w:val="false"/>
                  <w:color w:val="0000FF"/>
                  <w:sz w:val="20"/>
                  <w:u w:val="single"/>
                </w:rPr>
                <w:t>29</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09">
              <w:r>
                <w:rPr>
                  <w:rStyle w:val="InternetLink"/>
                  <w:rFonts w:ascii="Times New Roman;serif" w:hAnsi="Times New Roman;serif"/>
                  <w:b w:val="false"/>
                  <w:color w:val="0000FF"/>
                  <w:sz w:val="20"/>
                  <w:u w:val="single"/>
                </w:rPr>
                <w:t>Item 3. Quantitative and Qualitative Disclosures About Market Risk</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09">
              <w:r>
                <w:rPr>
                  <w:rStyle w:val="InternetLink"/>
                  <w:rFonts w:ascii="Times New Roman;serif" w:hAnsi="Times New Roman;serif"/>
                  <w:b w:val="false"/>
                  <w:color w:val="0000FF"/>
                  <w:sz w:val="20"/>
                  <w:u w:val="single"/>
                </w:rPr>
                <w:t>36</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12">
              <w:r>
                <w:rPr>
                  <w:rStyle w:val="InternetLink"/>
                  <w:rFonts w:ascii="Times New Roman;serif" w:hAnsi="Times New Roman;serif"/>
                  <w:b w:val="false"/>
                  <w:color w:val="0000FF"/>
                  <w:sz w:val="20"/>
                  <w:u w:val="single"/>
                </w:rPr>
                <w:t>Item 4. Controls and Procedures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12">
              <w:r>
                <w:rPr>
                  <w:rStyle w:val="InternetLink"/>
                  <w:rFonts w:ascii="Times New Roman;serif" w:hAnsi="Times New Roman;serif"/>
                  <w:b w:val="false"/>
                  <w:color w:val="0000FF"/>
                  <w:sz w:val="20"/>
                  <w:u w:val="single"/>
                </w:rPr>
                <w:t>36</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15">
              <w:r>
                <w:rPr>
                  <w:rStyle w:val="InternetLink"/>
                  <w:rFonts w:ascii="Times New Roman;serif" w:hAnsi="Times New Roman;serif"/>
                  <w:b/>
                  <w:color w:val="0000FF"/>
                  <w:sz w:val="20"/>
                  <w:u w:val="single"/>
                </w:rPr>
                <w:t>PART II.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15">
              <w:r>
                <w:rPr>
                  <w:rStyle w:val="InternetLink"/>
                  <w:rFonts w:ascii="Times New Roman;serif" w:hAnsi="Times New Roman;serif"/>
                  <w:b w:val="false"/>
                  <w:color w:val="0000FF"/>
                  <w:sz w:val="20"/>
                  <w:u w:val="single"/>
                </w:rPr>
                <w:t>37</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18">
              <w:r>
                <w:rPr>
                  <w:rStyle w:val="InternetLink"/>
                  <w:rFonts w:ascii="Times New Roman;serif" w:hAnsi="Times New Roman;serif"/>
                  <w:b w:val="false"/>
                  <w:color w:val="0000FF"/>
                  <w:sz w:val="20"/>
                  <w:u w:val="single"/>
                </w:rPr>
                <w:t>Item 1. Legal Proceedings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18">
              <w:r>
                <w:rPr>
                  <w:rStyle w:val="InternetLink"/>
                  <w:rFonts w:ascii="Times New Roman;serif" w:hAnsi="Times New Roman;serif"/>
                  <w:b w:val="false"/>
                  <w:color w:val="0000FF"/>
                  <w:sz w:val="20"/>
                  <w:u w:val="single"/>
                </w:rPr>
                <w:t>37</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21">
              <w:r>
                <w:rPr>
                  <w:rStyle w:val="InternetLink"/>
                  <w:rFonts w:ascii="Times New Roman;serif" w:hAnsi="Times New Roman;serif"/>
                  <w:b w:val="false"/>
                  <w:color w:val="0000FF"/>
                  <w:sz w:val="20"/>
                  <w:u w:val="single"/>
                </w:rPr>
                <w:t>Item 1A. Risk Factors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21">
              <w:r>
                <w:rPr>
                  <w:rStyle w:val="InternetLink"/>
                  <w:rFonts w:ascii="Times New Roman;serif" w:hAnsi="Times New Roman;serif"/>
                  <w:b w:val="false"/>
                  <w:color w:val="0000FF"/>
                  <w:sz w:val="20"/>
                  <w:u w:val="single"/>
                </w:rPr>
                <w:t>37</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24">
              <w:r>
                <w:rPr>
                  <w:rStyle w:val="InternetLink"/>
                  <w:rFonts w:ascii="Times New Roman;serif" w:hAnsi="Times New Roman;serif"/>
                  <w:b w:val="false"/>
                  <w:color w:val="0000FF"/>
                  <w:sz w:val="20"/>
                  <w:u w:val="single"/>
                </w:rPr>
                <w:t>Item 2. Unregistered Sales of Equity Securities and Use of Proceeds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24">
              <w:r>
                <w:rPr>
                  <w:rStyle w:val="InternetLink"/>
                  <w:rFonts w:ascii="Times New Roman;serif" w:hAnsi="Times New Roman;serif"/>
                  <w:b w:val="false"/>
                  <w:color w:val="0000FF"/>
                  <w:sz w:val="20"/>
                  <w:u w:val="single"/>
                </w:rPr>
                <w:t>39</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27">
              <w:r>
                <w:rPr>
                  <w:rStyle w:val="InternetLink"/>
                  <w:rFonts w:ascii="Times New Roman;serif" w:hAnsi="Times New Roman;serif"/>
                  <w:b w:val="false"/>
                  <w:color w:val="0000FF"/>
                  <w:sz w:val="20"/>
                  <w:u w:val="single"/>
                </w:rPr>
                <w:t>Item 5. Other Information</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27">
              <w:r>
                <w:rPr>
                  <w:rStyle w:val="InternetLink"/>
                  <w:rFonts w:ascii="Times New Roman;serif" w:hAnsi="Times New Roman;serif"/>
                  <w:b w:val="false"/>
                  <w:color w:val="0000FF"/>
                  <w:sz w:val="20"/>
                  <w:u w:val="single"/>
                </w:rPr>
                <w:t>39</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30">
              <w:r>
                <w:rPr>
                  <w:rStyle w:val="InternetLink"/>
                  <w:rFonts w:ascii="Times New Roman;serif" w:hAnsi="Times New Roman;serif"/>
                  <w:b w:val="false"/>
                  <w:color w:val="0000FF"/>
                  <w:sz w:val="20"/>
                  <w:u w:val="single"/>
                </w:rPr>
                <w:t>Item 6. Exhibits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30">
              <w:r>
                <w:rPr>
                  <w:rStyle w:val="InternetLink"/>
                  <w:rFonts w:ascii="Times New Roman;serif" w:hAnsi="Times New Roman;serif"/>
                  <w:b w:val="false"/>
                  <w:color w:val="0000FF"/>
                  <w:sz w:val="20"/>
                  <w:u w:val="single"/>
                </w:rPr>
                <w:t>40</w:t>
              </w:r>
            </w:hyperlink>
          </w:p>
        </w:tc>
      </w:tr>
      <w:t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33ed0d1b00e44c65ade909f257f28e48_133">
              <w:r>
                <w:rPr>
                  <w:rStyle w:val="InternetLink"/>
                  <w:rFonts w:ascii="Times New Roman;serif" w:hAnsi="Times New Roman;serif"/>
                  <w:b w:val="false"/>
                  <w:color w:val="0000FF"/>
                  <w:sz w:val="20"/>
                  <w:u w:val="single"/>
                </w:rPr>
                <w:t>Signatures</w:t>
              </w:r>
            </w:hyperlink>
          </w:p>
        </w:tc>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33ed0d1b00e44c65ade909f257f28e48_133">
              <w:r>
                <w:rPr>
                  <w:rStyle w:val="InternetLink"/>
                  <w:rFonts w:ascii="Times New Roman;serif" w:hAnsi="Times New Roman;serif"/>
                  <w:b w:val="false"/>
                  <w:color w:val="0000FF"/>
                  <w:sz w:val="20"/>
                  <w:u w:val="single"/>
                </w:rPr>
                <w:t>41</w:t>
              </w:r>
            </w:hyperlink>
          </w:p>
        </w:tc>
      </w:tr>
    </w:tbl>
    <w:p>
      <w:pPr>
        <w:pStyle w:val="TextBody"/>
        <w:bidi w:val="0"/>
        <w:spacing w:before="80" w:after="283"/>
        <w:jc w:val="left"/>
      </w:pPr>
      <w:r/>
    </w:p>
    <w:p>
      <w:pPr>
        <w:pStyle w:val="TextBody"/>
        <w:bidi w:val="0"/>
        <w:spacing w:before="36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ITEM 1.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share-related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51"/>
        <w:gridCol w:w="2198"/>
        <w:gridCol w:w="2181"/>
        <w:gridCol w:w="247"/>
        <w:gridCol w:w="928"/>
        <w:gridCol w:w="137"/>
        <w:gridCol w:w="109"/>
        <w:gridCol w:w="109"/>
        <w:gridCol w:w="109"/>
        <w:gridCol w:w="240"/>
        <w:gridCol w:w="903"/>
        <w:gridCol w:w="193"/>
      </w:tblGrid>
      <w:tr>
        <w:tc>
          <w:tcPr>
            <w:tcW w:w="2851"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3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70,092 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77,793 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210,078 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205,119 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3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48,945 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Lines of credit and short term financing</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24,079 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discounts, rebates and royalties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123,921 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119,310 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obligations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132,144 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127,813 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12)</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5,000,000 shares authorized; none issued or outstanding</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50,000,000 shares authorized; 26,443,209 and 26,146,367 shares issued on September 30, 2026 and December 31, 2025, respectively</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13,537,944 and 13,537,944 shares on September 30, 2026 and December 31, 2025, respectively</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139,638 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271,782 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273,997 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9282" w:type="dxa"/>
        <w:jc w:val="center"/>
        <w:tblInd w:w="0" w:type="dxa"/>
        <w:tblLayout w:type="fixed"/>
        <w:tblCellMar>
          <w:top w:w="28" w:type="dxa"/>
          <w:left w:w="28" w:type="dxa"/>
          <w:bottom w:w="28" w:type="dxa"/>
          <w:right w:w="28" w:type="dxa"/>
        </w:tblCellMar>
      </w:tblPr>
      <w:tblGrid>
        <w:gridCol w:w="1270"/>
        <w:gridCol w:w="1120"/>
        <w:gridCol w:w="1135"/>
        <w:gridCol w:w="236"/>
        <w:gridCol w:w="778"/>
        <w:gridCol w:w="131"/>
        <w:gridCol w:w="131"/>
        <w:gridCol w:w="131"/>
        <w:gridCol w:w="131"/>
        <w:gridCol w:w="236"/>
        <w:gridCol w:w="778"/>
        <w:gridCol w:w="131"/>
        <w:gridCol w:w="109"/>
        <w:gridCol w:w="109"/>
        <w:gridCol w:w="109"/>
        <w:gridCol w:w="211"/>
        <w:gridCol w:w="793"/>
        <w:gridCol w:w="117"/>
        <w:gridCol w:w="117"/>
        <w:gridCol w:w="117"/>
        <w:gridCol w:w="117"/>
        <w:gridCol w:w="211"/>
        <w:gridCol w:w="793"/>
        <w:gridCol w:w="117"/>
        <w:gridCol w:w="154"/>
      </w:tblGrid>
      <w:tr>
        <w:tc>
          <w:tcPr>
            <w:tcW w:w="127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89,423 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280,543 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Factory restructuring charges (Note 12)</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(10,914)</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per share:</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used in computing loss per share:</w:t>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12,904</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12,904</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12,755 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340" w:after="3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w:t>
      </w:r>
    </w:p>
    <w:tbl>
      <w:tblPr>
        <w:tblW w:w="9288" w:type="dxa"/>
        <w:jc w:val="center"/>
        <w:tblInd w:w="0" w:type="dxa"/>
        <w:tblLayout w:type="fixed"/>
        <w:tblCellMar>
          <w:top w:w="28" w:type="dxa"/>
          <w:left w:w="28" w:type="dxa"/>
          <w:bottom w:w="28" w:type="dxa"/>
          <w:right w:w="28" w:type="dxa"/>
        </w:tblCellMar>
      </w:tblPr>
      <w:tblGrid>
        <w:gridCol w:w="1318"/>
        <w:gridCol w:w="1155"/>
        <w:gridCol w:w="1171"/>
        <w:gridCol w:w="255"/>
        <w:gridCol w:w="645"/>
        <w:gridCol w:w="141"/>
        <w:gridCol w:w="141"/>
        <w:gridCol w:w="141"/>
        <w:gridCol w:w="141"/>
        <w:gridCol w:w="255"/>
        <w:gridCol w:w="821"/>
        <w:gridCol w:w="141"/>
        <w:gridCol w:w="109"/>
        <w:gridCol w:w="109"/>
        <w:gridCol w:w="109"/>
        <w:gridCol w:w="221"/>
        <w:gridCol w:w="713"/>
        <w:gridCol w:w="123"/>
        <w:gridCol w:w="123"/>
        <w:gridCol w:w="123"/>
        <w:gridCol w:w="123"/>
        <w:gridCol w:w="221"/>
        <w:gridCol w:w="815"/>
        <w:gridCol w:w="174"/>
      </w:tblGrid>
      <w:tr>
        <w:tc>
          <w:tcPr>
            <w:tcW w:w="131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(7,523)</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The following summarizes the changes in total equity for nine months ended September 30, 2026:</w:t>
      </w:r>
    </w:p>
    <w:tbl>
      <w:tblPr>
        <w:tblW w:w="11400" w:type="dxa"/>
        <w:jc w:val="left"/>
        <w:tblInd w:w="0" w:type="dxa"/>
        <w:tblLayout w:type="fixed"/>
        <w:tblCellMar>
          <w:top w:w="28" w:type="dxa"/>
          <w:left w:w="28" w:type="dxa"/>
          <w:bottom w:w="28" w:type="dxa"/>
          <w:right w:w="28" w:type="dxa"/>
        </w:tblCellMar>
      </w:tblPr>
      <w:tblGrid>
        <w:gridCol w:w="709"/>
        <w:gridCol w:w="268"/>
        <w:gridCol w:w="269"/>
        <w:gridCol w:w="323"/>
        <w:gridCol w:w="323"/>
        <w:gridCol w:w="196"/>
        <w:gridCol w:w="109"/>
        <w:gridCol w:w="109"/>
        <w:gridCol w:w="109"/>
        <w:gridCol w:w="196"/>
        <w:gridCol w:w="421"/>
        <w:gridCol w:w="109"/>
        <w:gridCol w:w="109"/>
        <w:gridCol w:w="109"/>
        <w:gridCol w:w="109"/>
        <w:gridCol w:w="330"/>
        <w:gridCol w:w="331"/>
        <w:gridCol w:w="196"/>
        <w:gridCol w:w="109"/>
        <w:gridCol w:w="109"/>
        <w:gridCol w:w="109"/>
        <w:gridCol w:w="196"/>
        <w:gridCol w:w="751"/>
        <w:gridCol w:w="109"/>
        <w:gridCol w:w="109"/>
        <w:gridCol w:w="109"/>
        <w:gridCol w:w="109"/>
        <w:gridCol w:w="196"/>
        <w:gridCol w:w="736"/>
        <w:gridCol w:w="109"/>
        <w:gridCol w:w="109"/>
        <w:gridCol w:w="109"/>
        <w:gridCol w:w="109"/>
        <w:gridCol w:w="246"/>
        <w:gridCol w:w="832"/>
        <w:gridCol w:w="138"/>
        <w:gridCol w:w="109"/>
        <w:gridCol w:w="109"/>
        <w:gridCol w:w="109"/>
        <w:gridCol w:w="196"/>
        <w:gridCol w:w="736"/>
        <w:gridCol w:w="109"/>
        <w:gridCol w:w="109"/>
        <w:gridCol w:w="109"/>
        <w:gridCol w:w="109"/>
        <w:gridCol w:w="196"/>
        <w:gridCol w:w="736"/>
        <w:gridCol w:w="154"/>
      </w:tblGrid>
      <w:tr>
        <w:tc>
          <w:tcPr>
            <w:tcW w:w="7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vMerge w:val="continue"/>
            <w:tcBorders/>
            <w:tcMar>
              <w:top w:w="0" w:type="dxa"/>
              <w:left w:w="0" w:type="dxa"/>
              <w:bottom w:w="0" w:type="dxa"/>
              <w:right w:w="0" w:type="dxa"/>
            </w:tcMar>
            <w:vAlign w:val="center"/>
          </w:tcPr>
          <w:p>
            <w:pPr>
              <w:pStyle w:val="Normal"/>
              <w:bidi w:val="0"/>
              <w:jc w:val="left"/>
            </w:pPr>
            <w:r/>
          </w:p>
        </w:tc>
        <w:tc>
          <w:tcPr>
            <w:tcW w:w="1086" w:type="dxa"/>
            <w:gridSpan w:val="3"/>
            <w:vMerge w:val="continue"/>
            <w:tcBorders/>
            <w:tcMar>
              <w:top w:w="0" w:type="dxa"/>
              <w:left w:w="0" w:type="dxa"/>
              <w:bottom w:w="0" w:type="dxa"/>
              <w:right w:w="0" w:type="dxa"/>
            </w:tcMar>
            <w:vAlign w:val="center"/>
          </w:tcPr>
          <w:p>
            <w:pPr>
              <w:pStyle w:val="Normal"/>
              <w:bidi w:val="0"/>
              <w:jc w:val="left"/>
            </w:p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26,169 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(19,413)</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to directors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Dividend</w:t>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and director stock-based compensation</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46"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(13,538)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TextBody"/>
        <w:bidi w:val="0"/>
        <w:spacing w:before="100" w:after="283"/>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100" w:after="283"/>
        <w:jc w:val="left"/>
      </w:pPr>
      <w:r>
        <w:rPr>
          <w:rFonts w:ascii="Times New Roman;serif" w:hAnsi="Times New Roman;serif"/>
          <w:b w:val="false"/>
          <w:color w:val="000000"/>
          <w:sz w:val="18"/>
        </w:rPr>
        <w:t xml:space="preserve">The following summarizes the changes in total equity for nine months ended </w:t>
      </w:r>
      <w:r>
        <w:rPr>
          <w:rFonts w:ascii="Times New Roman;serif" w:hAnsi="Times New Roman;serif"/>
          <w:b w:val="false"/>
          <w:color w:val="000000"/>
          <w:sz w:val="20"/>
        </w:rPr>
        <w:t>September 30, 2025</w:t>
      </w:r>
      <w:r>
        <w:rPr>
          <w:rFonts w:ascii="Times New Roman;serif" w:hAnsi="Times New Roman;serif"/>
          <w:b w:val="false"/>
          <w:color w:val="000000"/>
          <w:sz w:val="18"/>
        </w:rPr>
        <w:t>:</w:t>
      </w:r>
    </w:p>
    <w:tbl>
      <w:tblPr>
        <w:tblW w:w="12690" w:type="dxa"/>
        <w:jc w:val="center"/>
        <w:tblInd w:w="0" w:type="dxa"/>
        <w:tblLayout w:type="fixed"/>
        <w:tblCellMar>
          <w:top w:w="28" w:type="dxa"/>
          <w:left w:w="28" w:type="dxa"/>
          <w:bottom w:w="28" w:type="dxa"/>
          <w:right w:w="28" w:type="dxa"/>
        </w:tblCellMar>
      </w:tblPr>
      <w:tblGrid>
        <w:gridCol w:w="1369"/>
        <w:gridCol w:w="268"/>
        <w:gridCol w:w="269"/>
        <w:gridCol w:w="360"/>
        <w:gridCol w:w="361"/>
        <w:gridCol w:w="196"/>
        <w:gridCol w:w="109"/>
        <w:gridCol w:w="109"/>
        <w:gridCol w:w="109"/>
        <w:gridCol w:w="211"/>
        <w:gridCol w:w="466"/>
        <w:gridCol w:w="109"/>
        <w:gridCol w:w="109"/>
        <w:gridCol w:w="109"/>
        <w:gridCol w:w="109"/>
        <w:gridCol w:w="367"/>
        <w:gridCol w:w="369"/>
        <w:gridCol w:w="196"/>
        <w:gridCol w:w="109"/>
        <w:gridCol w:w="109"/>
        <w:gridCol w:w="109"/>
        <w:gridCol w:w="211"/>
        <w:gridCol w:w="841"/>
        <w:gridCol w:w="109"/>
        <w:gridCol w:w="109"/>
        <w:gridCol w:w="109"/>
        <w:gridCol w:w="109"/>
        <w:gridCol w:w="211"/>
        <w:gridCol w:w="826"/>
        <w:gridCol w:w="109"/>
        <w:gridCol w:w="109"/>
        <w:gridCol w:w="109"/>
        <w:gridCol w:w="109"/>
        <w:gridCol w:w="242"/>
        <w:gridCol w:w="847"/>
        <w:gridCol w:w="127"/>
        <w:gridCol w:w="109"/>
        <w:gridCol w:w="109"/>
        <w:gridCol w:w="109"/>
        <w:gridCol w:w="211"/>
        <w:gridCol w:w="826"/>
        <w:gridCol w:w="109"/>
        <w:gridCol w:w="109"/>
        <w:gridCol w:w="109"/>
        <w:gridCol w:w="109"/>
        <w:gridCol w:w="211"/>
        <w:gridCol w:w="826"/>
        <w:gridCol w:w="154"/>
      </w:tblGrid>
      <w:tr>
        <w:tc>
          <w:tcPr>
            <w:tcW w:w="136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br/>
              <w:t>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Totals</w:t>
            </w:r>
          </w:p>
        </w:tc>
      </w:tr>
      <w:t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cMar>
              <w:top w:w="0" w:type="dxa"/>
              <w:left w:w="0" w:type="dxa"/>
              <w:bottom w:w="0" w:type="dxa"/>
              <w:right w:w="0" w:type="dxa"/>
            </w:tcMar>
            <w:vAlign w:val="center"/>
          </w:tcPr>
          <w:p>
            <w:pPr>
              <w:pStyle w:val="Normal"/>
              <w:bidi w:val="0"/>
              <w:jc w:val="left"/>
            </w:p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(371,930)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(28,350)</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to directors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and director stock-based compensation</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(26,772)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 of treasury shares</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to directors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Employee and director stock-based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Income </w:t>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Currency translation adjustment</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for employee benefit plan and compensation</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Purchase of treasury shares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Shares issued to directors</w:t>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1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Performance-based common stock warrants</w:t>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(21,721)</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color w:val="000000"/>
        </w:rPr>
      </w:pPr>
      <w:r>
        <w:rPr>
          <w:color w:val="000000"/>
        </w:rPr>
        <w:t> </w:t>
      </w:r>
    </w:p>
    <w:tbl>
      <w:tblPr>
        <w:tblW w:w="8201" w:type="dxa"/>
        <w:jc w:val="left"/>
        <w:tblInd w:w="0" w:type="dxa"/>
        <w:tblLayout w:type="fixed"/>
        <w:tblCellMar>
          <w:top w:w="28" w:type="dxa"/>
          <w:left w:w="28" w:type="dxa"/>
          <w:bottom w:w="28" w:type="dxa"/>
          <w:right w:w="28" w:type="dxa"/>
        </w:tblCellMar>
      </w:tblPr>
      <w:tblGrid>
        <w:gridCol w:w="2016"/>
        <w:gridCol w:w="1767"/>
        <w:gridCol w:w="1781"/>
        <w:gridCol w:w="220"/>
        <w:gridCol w:w="726"/>
        <w:gridCol w:w="122"/>
        <w:gridCol w:w="122"/>
        <w:gridCol w:w="122"/>
        <w:gridCol w:w="122"/>
        <w:gridCol w:w="220"/>
        <w:gridCol w:w="810"/>
        <w:gridCol w:w="173"/>
      </w:tblGrid>
      <w:tr>
        <w:tc>
          <w:tcPr>
            <w:tcW w:w="2016"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for employee benefit plan and compensation</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and director stock-based compensation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long-lived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sale of property, plant, and equipment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and contract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27,837 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Blue Chip Swap securities (Note 15)</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Blue Chip Swap securities (Note 15)</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sale of property, plant, and equipment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intangible assets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(5,704)</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under lines of credit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lines of credit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(89,714)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short term financing</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on short term financing</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purchased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(19,834)</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rates on cash and cash equivalents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cash flow information:</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 Basis of Presentation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except for the restructuring charges, monetization of IEEPA tariff refund claims, and re-acquisition of assets held for sale, as described in Notes 12, 8, and 19, respectively to the consolidated financial statements.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"UEI," "we," "us," and "our" refer to Universal Electronics Inc. and its subsidiaries, unless the context indicates to the contrary.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results of operations for the three and nine months ended September 30, 2026,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Estimates and Assumptions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 for credit losses, inventory valuation, impairment of long-lived assets and intangible assets, business combinations, income taxes and related valuation allowances and stock-based compensation expense. Actual results may differ from these assumptions and estimates, and they may be adjusted as more information becomes available. Any adjustment may be material.</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With the exception of the following policy, our significant accounting policies are unchanged from those disclosed in Note 2 to the consolidated financial statements included in our Annual Report on Form 10-K for the year ended December 31, 2025.</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Significant Accounting Policy Updates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IEEPA Tariff Refund Claims/ Monetization of Tariff refund claims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the U.S. Supreme Court ruled that tariffs imposed under the International Emergency Economic Powers Act (“IEEPA”) were unlawful and therefore invalid. As a result, the Company intended to seek reimbursement from the US Customs and Border Protection ("CBP") for IEEPA tariffs paid during calendar years 2025 and 2026.</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color w:val="000000"/>
          <w:sz w:val="20"/>
        </w:rPr>
        <w:t>The Company has applied the loss recovery guidance under FASB ASC 450</w:t>
      </w:r>
      <w:r>
        <w:rPr>
          <w:color w:val="000000"/>
        </w:rPr>
        <w:t xml:space="preserve"> – </w:t>
      </w:r>
      <w:r>
        <w:rPr>
          <w:rFonts w:ascii="Times New Roman;serif" w:hAnsi="Times New Roman;serif"/>
          <w:b w:val="false"/>
          <w:i/>
          <w:color w:val="000000"/>
          <w:sz w:val="20"/>
        </w:rPr>
        <w:t>Contingencies</w:t>
      </w:r>
      <w:r>
        <w:rPr>
          <w:color w:val="000000"/>
        </w:rPr>
        <w:t xml:space="preserve"> </w:t>
      </w:r>
      <w:r>
        <w:rPr>
          <w:rFonts w:ascii="Times New Roman;serif" w:hAnsi="Times New Roman;serif"/>
          <w:b w:val="false"/>
          <w:color w:val="000000"/>
          <w:sz w:val="20"/>
        </w:rPr>
        <w:t xml:space="preserve">to account for the recognition of these claims. Any future recovery of tariff refund claims will be recognized as a receivable when the claim becomes probable and will be reflected as a reduction of cost of goods sold for inventory previously sold, or as a reduction of inventory for goods that remain unsold. In the first quarter of 2026, the Company did not recognize an asset for recovery of tariff refund claims based on available information at that time, and considered recovery was not probable. As of the end of the second quarter of 2026, following a reassessment of the facts and circumstances, management concluded that recovery of the tariff refund claims had become probable. Accordingly, the Company recognized an asset for the expected recovery of the tariff refund claims. </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2026, the Company entered into the Tariff Claim Agreement with a third-party financial institution ("Buyer") to monetize its claims for refunds of tariffs previously paid to CBP in consideration for the Purchase Price (as defined below), which reflects a discount to the aggregate amount payable by CBP pursuant to the Claims (as defined below) as mutually agreed between the Company and Buyer. The monetization of tariff refund claims was accounted for in accordance with FASB ASC 470 – Debt and presented as a short-term financing on the consolidated balance sheet.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Financial Accounting Standards Board (the "FASB") issued Accounting Standards Update ("ASU") 2025-05, "Financial Instruments-Credit Losses (Topic 326): Measurement of Credit Losses for Accounts Receivable and Contract Assets". This guidance allows entities to elect a practical expedient that assumes that the current conditions as of the balance sheet date do not change for the remaining life of the asset. This guidance is effective for annual periods beginning after December 15, 2025, and interim reporting periods within those annual reporting periods. The guidance is to be applied on a prospective basis, with early adoption permitted. The Company adopted this standard on a prospective basis for the year beginning January 1, 2026 and elected the practical expedient allowed by ASU. The adoption of this ASU did not have a material impact on our consolidated financial statements and disclosures.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Effective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(Topic 220): Disaggregation of Income Statement Expenses." This guidance requires additional disclosures by disaggregating the costs and expense line items that are presented on the face of the consolidated statements of operations. This guidance is effective for annual periods beginning in 2027 and interim periods beginning in 2028, with early adoption permitted. This guidance requires a public company to apply the amendments either prospectively to financial statements issued for reporting periods after the effective date of this ASU or retrospectively to any or all prior periods presented in the financial statements. We are currently evaluating the impact of adopting this guidance on our disclosures.</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 Use Software (Subtopic 350-40): Targeted Improvements to the Accounting for Internal-Use Software". This guidance removes all references to software development project stages so that the guidance is neutral to different software development methods. Therefore, under the ASU, software capitalization will begin when management has authorized and committed to funding the software project and when it is probable that the project will be completed and the software will be used to perform the function intended. This guidance is effective for annual periods beginning after December 15, 2027, and interim reporting periods within those annual reporting periods. The guidance is to be applied on a prospective basis, or on a modified transition approach or a retrospective transition approach, with early adoption permitted. We are currently evaluating the impact of adopting this guidance on our consolidated financial statements and disclosures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assessed all other ASUs issued but not yet adopted and concluded that those not disclosed are not relevant to the Company or are not expected to have a material impact.</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 Cash and Cash Equivalents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Cash and cash equivalents were held in the following geographic regions:</w:t>
      </w:r>
    </w:p>
    <w:tbl>
      <w:tblPr>
        <w:tblW w:w="6430" w:type="dxa"/>
        <w:jc w:val="left"/>
        <w:tblInd w:w="0" w:type="dxa"/>
        <w:tblLayout w:type="fixed"/>
        <w:tblCellMar>
          <w:top w:w="28" w:type="dxa"/>
          <w:left w:w="28" w:type="dxa"/>
          <w:bottom w:w="28" w:type="dxa"/>
          <w:right w:w="28" w:type="dxa"/>
        </w:tblCellMar>
      </w:tblPr>
      <w:tblGrid>
        <w:gridCol w:w="1089"/>
        <w:gridCol w:w="961"/>
        <w:gridCol w:w="964"/>
        <w:gridCol w:w="313"/>
        <w:gridCol w:w="1070"/>
        <w:gridCol w:w="161"/>
        <w:gridCol w:w="109"/>
        <w:gridCol w:w="109"/>
        <w:gridCol w:w="109"/>
        <w:gridCol w:w="300"/>
        <w:gridCol w:w="1026"/>
        <w:gridCol w:w="219"/>
      </w:tblGrid>
      <w:tr>
        <w:tc>
          <w:tcPr>
            <w:tcW w:w="108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 ("PRC")</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8,980</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7,211</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PRC)</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w:t>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 Revenue and Accounts Receivable, Net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Details    </w:t>
      </w:r>
    </w:p>
    <w:p>
      <w:pPr>
        <w:pStyle w:val="TextBody"/>
        <w:bidi w:val="0"/>
        <w:spacing w:before="0" w:after="60"/>
        <w:jc w:val="both"/>
      </w:p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pattern of revenue recognition was as follows:</w:t>
      </w:r>
    </w:p>
    <w:tbl>
      <w:tblPr>
        <w:tblW w:w="9676" w:type="dxa"/>
        <w:jc w:val="center"/>
        <w:tblInd w:w="0" w:type="dxa"/>
        <w:tblLayout w:type="fixed"/>
        <w:tblCellMar>
          <w:top w:w="28" w:type="dxa"/>
          <w:left w:w="28" w:type="dxa"/>
          <w:bottom w:w="28" w:type="dxa"/>
          <w:right w:w="28" w:type="dxa"/>
        </w:tblCellMar>
      </w:tblPr>
      <w:tblGrid>
        <w:gridCol w:w="1447"/>
        <w:gridCol w:w="1277"/>
        <w:gridCol w:w="1280"/>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1447"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at a point in time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76,808 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Goods and services transferred over time</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channel were as follows:</w:t>
      </w:r>
    </w:p>
    <w:tbl>
      <w:tblPr>
        <w:tblW w:w="7651" w:type="dxa"/>
        <w:jc w:val="center"/>
        <w:tblInd w:w="0" w:type="dxa"/>
        <w:tblLayout w:type="fixed"/>
        <w:tblCellMar>
          <w:top w:w="28" w:type="dxa"/>
          <w:left w:w="28" w:type="dxa"/>
          <w:bottom w:w="28" w:type="dxa"/>
          <w:right w:w="28" w:type="dxa"/>
        </w:tblCellMar>
      </w:tblPr>
      <w:tblGrid>
        <w:gridCol w:w="715"/>
        <w:gridCol w:w="631"/>
        <w:gridCol w:w="633"/>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7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Connected home </w:t>
            </w:r>
            <w:r>
              <w:rPr>
                <w:rFonts w:ascii="Times New Roman;serif" w:hAnsi="Times New Roman;serif"/>
                <w:b w:val="false"/>
                <w:color w:val="000000"/>
                <w:sz w:val="13"/>
              </w:rPr>
              <w:t>(1)</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Home entertainment </w:t>
            </w:r>
            <w:r>
              <w:rPr>
                <w:rFonts w:ascii="Times New Roman;serif" w:hAnsi="Times New Roman;serif"/>
                <w:b w:val="false"/>
                <w:color w:val="000000"/>
                <w:sz w:val="13"/>
              </w:rPr>
              <w:t>(2)</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The connected home channel represents climate control, smart home and security product sales sold primarily to HVAC, security, home automation and home appliance customers.</w:t>
      </w:r>
    </w:p>
    <w:p>
      <w:pPr>
        <w:pStyle w:val="TextBody"/>
        <w:bidi w:val="0"/>
        <w:spacing w:lineRule="auto" w:line="288" w:before="100" w:after="283"/>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The home entertainment channel represents entertainment-related product sales sold primarily to video service providers, consumer electronics original equipment manufacturers ("OEMs") and retailers. It also includes sales associated with intellectual property licensing and our cloud-based software solution.</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Our net sales to external customers by geographic areas were as follows:</w:t>
      </w:r>
    </w:p>
    <w:tbl>
      <w:tblPr>
        <w:tblW w:w="7561" w:type="dxa"/>
        <w:jc w:val="left"/>
        <w:tblInd w:w="0" w:type="dxa"/>
        <w:tblLayout w:type="fixed"/>
        <w:tblCellMar>
          <w:top w:w="28" w:type="dxa"/>
          <w:left w:w="28" w:type="dxa"/>
          <w:bottom w:w="28" w:type="dxa"/>
          <w:right w:w="28" w:type="dxa"/>
        </w:tblCellMar>
      </w:tblPr>
      <w:tblGrid>
        <w:gridCol w:w="682"/>
        <w:gridCol w:w="602"/>
        <w:gridCol w:w="605"/>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68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(excluding PRC)</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70,159</w:t>
            </w:r>
          </w:p>
        </w:tc>
      </w:tr>
      <w:t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w:t>
            </w:r>
          </w:p>
        </w:tc>
      </w:tr>
      <w:t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PRC</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9,752</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25,460</w:t>
            </w:r>
          </w:p>
        </w:tc>
      </w:tr>
      <w:t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17,591</w:t>
            </w:r>
          </w:p>
        </w:tc>
      </w:tr>
      <w:t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Specific identification of the customer billing location was the basis used for attributing revenues from external customers to geographic areas.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ind w:left="0" w:right="0" w:hanging="36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Accounts Receivable, Net</w:t>
      </w:r>
    </w:p>
    <w:p>
      <w:pPr>
        <w:pStyle w:val="TextBody"/>
        <w:bidi w:val="0"/>
        <w:spacing w:before="0" w:after="0"/>
        <w:jc w:val="both"/>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Accounts receivable, net were as follows:</w:t>
      </w:r>
    </w:p>
    <w:tbl>
      <w:tblPr>
        <w:tblW w:w="5740" w:type="dxa"/>
        <w:jc w:val="center"/>
        <w:tblInd w:w="0" w:type="dxa"/>
        <w:tblLayout w:type="fixed"/>
        <w:tblCellMar>
          <w:top w:w="28" w:type="dxa"/>
          <w:left w:w="28" w:type="dxa"/>
          <w:bottom w:w="28" w:type="dxa"/>
          <w:right w:w="28" w:type="dxa"/>
        </w:tblCellMar>
      </w:tblPr>
      <w:tblGrid>
        <w:gridCol w:w="840"/>
        <w:gridCol w:w="741"/>
        <w:gridCol w:w="743"/>
        <w:gridCol w:w="313"/>
        <w:gridCol w:w="1070"/>
        <w:gridCol w:w="161"/>
        <w:gridCol w:w="109"/>
        <w:gridCol w:w="109"/>
        <w:gridCol w:w="109"/>
        <w:gridCol w:w="300"/>
        <w:gridCol w:w="1026"/>
        <w:gridCol w:w="219"/>
      </w:tblGrid>
      <w:t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gross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sales returns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13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70,404 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Accounts receivable, net </w:t>
            </w:r>
            <w:r>
              <w:rPr>
                <w:rFonts w:ascii="Times New Roman;serif" w:hAnsi="Times New Roman;serif"/>
                <w:b w:val="false"/>
                <w:color w:val="000000"/>
                <w:sz w:val="13"/>
              </w:rPr>
              <w:t>(2)</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79,320 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Other accounts receivable is primarily comprised of supplier, supplier rebate and interest receivables.</w:t>
      </w:r>
    </w:p>
    <w:p>
      <w:pPr>
        <w:pStyle w:val="TextBody"/>
        <w:bidi w:val="0"/>
        <w:spacing w:lineRule="auto" w:line="288" w:before="100" w:after="283"/>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Accounts receivable, net at December 31, 2024, was $114.2 million.</w:t>
      </w:r>
    </w:p>
    <w:p>
      <w:pPr>
        <w:pStyle w:val="TextBody"/>
        <w:bidi w:val="0"/>
        <w:spacing w:before="0" w:after="0"/>
        <w:jc w:val="both"/>
      </w:pPr>
      <w:r/>
    </w:p>
    <w:p>
      <w:pPr>
        <w:pStyle w:val="TextBody"/>
        <w:bidi w:val="0"/>
        <w:spacing w:lineRule="auto" w:line="288" w:before="40" w:after="283"/>
        <w:jc w:val="both"/>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allowance for credit losses were as follows:</w:t>
      </w:r>
    </w:p>
    <w:tbl>
      <w:tblPr>
        <w:tblW w:w="6372" w:type="dxa"/>
        <w:jc w:val="center"/>
        <w:tblInd w:w="0" w:type="dxa"/>
        <w:tblLayout w:type="fixed"/>
        <w:tblCellMar>
          <w:top w:w="28" w:type="dxa"/>
          <w:left w:w="28" w:type="dxa"/>
          <w:bottom w:w="28" w:type="dxa"/>
          <w:right w:w="28" w:type="dxa"/>
        </w:tblCellMar>
      </w:tblPr>
      <w:tblGrid>
        <w:gridCol w:w="1350"/>
        <w:gridCol w:w="1191"/>
        <w:gridCol w:w="1194"/>
        <w:gridCol w:w="266"/>
        <w:gridCol w:w="587"/>
        <w:gridCol w:w="137"/>
        <w:gridCol w:w="137"/>
        <w:gridCol w:w="137"/>
        <w:gridCol w:w="137"/>
        <w:gridCol w:w="266"/>
        <w:gridCol w:w="776"/>
        <w:gridCol w:w="194"/>
      </w:tblGrid>
      <w:t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735" w:type="dxa"/>
            <w:gridSpan w:val="3"/>
            <w:vMerge w:val="continue"/>
            <w:tcBorders/>
            <w:tcMar>
              <w:top w:w="0" w:type="dxa"/>
              <w:left w:w="0" w:type="dxa"/>
              <w:bottom w:w="0" w:type="dxa"/>
              <w:right w:w="0" w:type="dxa"/>
            </w:tcMar>
            <w:vAlign w:val="center"/>
          </w:tcPr>
          <w:p>
            <w:pPr>
              <w:pStyle w:val="Normal"/>
              <w:bidi w:val="0"/>
              <w:jc w:val="left"/>
            </w:p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receipts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Write-offs/Foreign exchange effects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Assets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were $7.2 million and $8.1 million at September 30, 2026 and December 31, 2025, respectively. The change in balances between periods is due to the fluctuation of custom product inventory balances for which we have an enforceable right to payment for performance completed to date.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Liabilities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current and non-current contract liability balances primarily consisting of cash received in advance of providing our cloud-based software services. Contract liabilities are included within other accrued liabilities and other long-term liabilities in our consolidated balance sheets.</w:t>
      </w:r>
    </w:p>
    <w:p>
      <w:pPr>
        <w:pStyle w:val="TextBody"/>
        <w:bidi w:val="0"/>
        <w:spacing w:before="0" w:after="0"/>
        <w:jc w:val="left"/>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contract liabilities were as follows: </w:t>
      </w:r>
    </w:p>
    <w:tbl>
      <w:tblPr>
        <w:tblW w:w="8287" w:type="dxa"/>
        <w:jc w:val="left"/>
        <w:tblInd w:w="0" w:type="dxa"/>
        <w:tblLayout w:type="fixed"/>
        <w:tblCellMar>
          <w:top w:w="28" w:type="dxa"/>
          <w:left w:w="28" w:type="dxa"/>
          <w:bottom w:w="28" w:type="dxa"/>
          <w:right w:w="28" w:type="dxa"/>
        </w:tblCellMar>
      </w:tblPr>
      <w:tblGrid>
        <w:gridCol w:w="954"/>
        <w:gridCol w:w="842"/>
        <w:gridCol w:w="844"/>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c>
          <w:tcPr>
            <w:tcW w:w="95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26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640" w:type="dxa"/>
            <w:gridSpan w:val="3"/>
            <w:vMerge w:val="continue"/>
            <w:tcBorders/>
            <w:tcMar>
              <w:top w:w="0" w:type="dxa"/>
              <w:left w:w="0" w:type="dxa"/>
              <w:bottom w:w="0" w:type="dxa"/>
              <w:right w:w="0" w:type="dxa"/>
            </w:tcMar>
            <w:vAlign w:val="center"/>
          </w:tcPr>
          <w:p>
            <w:pPr>
              <w:pStyle w:val="Normal"/>
              <w:bidi w:val="0"/>
              <w:jc w:val="left"/>
            </w:p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40"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effects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Customers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Net sales to the following customers totaled more than 10% of our net sales:</w:t>
      </w:r>
      <w:r>
        <w:rPr>
          <w:color w:val="000000"/>
        </w:rPr>
        <w:t> </w:t>
      </w:r>
    </w:p>
    <w:tbl>
      <w:tblPr>
        <w:tblW w:w="8119" w:type="dxa"/>
        <w:jc w:val="left"/>
        <w:tblInd w:w="0" w:type="dxa"/>
        <w:tblLayout w:type="fixed"/>
        <w:tblCellMar>
          <w:top w:w="28" w:type="dxa"/>
          <w:left w:w="28" w:type="dxa"/>
          <w:bottom w:w="28" w:type="dxa"/>
          <w:right w:w="28" w:type="dxa"/>
        </w:tblCellMar>
      </w:tblPr>
      <w:tblGrid>
        <w:gridCol w:w="820"/>
        <w:gridCol w:w="720"/>
        <w:gridCol w:w="724"/>
        <w:gridCol w:w="219"/>
        <w:gridCol w:w="748"/>
        <w:gridCol w:w="113"/>
        <w:gridCol w:w="109"/>
        <w:gridCol w:w="109"/>
        <w:gridCol w:w="109"/>
        <w:gridCol w:w="261"/>
        <w:gridCol w:w="261"/>
        <w:gridCol w:w="649"/>
        <w:gridCol w:w="109"/>
        <w:gridCol w:w="109"/>
        <w:gridCol w:w="109"/>
        <w:gridCol w:w="219"/>
        <w:gridCol w:w="748"/>
        <w:gridCol w:w="113"/>
        <w:gridCol w:w="109"/>
        <w:gridCol w:w="109"/>
        <w:gridCol w:w="109"/>
        <w:gridCol w:w="261"/>
        <w:gridCol w:w="261"/>
        <w:gridCol w:w="649"/>
        <w:gridCol w:w="109"/>
        <w:gridCol w:w="109"/>
        <w:gridCol w:w="154"/>
      </w:tblGrid>
      <w:t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5" w:type="dxa"/>
            <w:gridSpan w:val="24"/>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Sales</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Daikin Industries Ltd.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Comcast Communications</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Trade receivables associated with significant customers that totaled more than 10% of our accounts receivable, net was as follows:</w:t>
      </w:r>
    </w:p>
    <w:tbl>
      <w:tblPr>
        <w:tblW w:w="10205" w:type="dxa"/>
        <w:jc w:val="left"/>
        <w:tblInd w:w="0" w:type="dxa"/>
        <w:tblLayout w:type="fixed"/>
        <w:tblCellMar>
          <w:top w:w="28" w:type="dxa"/>
          <w:left w:w="28" w:type="dxa"/>
          <w:bottom w:w="28" w:type="dxa"/>
          <w:right w:w="28" w:type="dxa"/>
        </w:tblCellMar>
      </w:tblPr>
      <w:tblGrid>
        <w:gridCol w:w="690"/>
        <w:gridCol w:w="605"/>
        <w:gridCol w:w="609"/>
        <w:gridCol w:w="358"/>
        <w:gridCol w:w="358"/>
        <w:gridCol w:w="360"/>
        <w:gridCol w:w="169"/>
        <w:gridCol w:w="169"/>
        <w:gridCol w:w="169"/>
        <w:gridCol w:w="767"/>
        <w:gridCol w:w="767"/>
        <w:gridCol w:w="769"/>
        <w:gridCol w:w="109"/>
        <w:gridCol w:w="109"/>
        <w:gridCol w:w="109"/>
        <w:gridCol w:w="242"/>
        <w:gridCol w:w="708"/>
        <w:gridCol w:w="126"/>
        <w:gridCol w:w="109"/>
        <w:gridCol w:w="109"/>
        <w:gridCol w:w="109"/>
        <w:gridCol w:w="513"/>
        <w:gridCol w:w="513"/>
        <w:gridCol w:w="1278"/>
        <w:gridCol w:w="109"/>
        <w:gridCol w:w="109"/>
        <w:gridCol w:w="163"/>
      </w:tblGrid>
      <w:t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Accounts Receivable, Net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Daikin Industries Ltd. </w:t>
            </w:r>
          </w:p>
        </w:tc>
        <w:tc>
          <w:tcPr>
            <w:tcW w:w="1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04"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23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Trade receivables associated with this customer did not total more than 10% of our accounts receivable, net for the indicated period.</w:t>
      </w:r>
    </w:p>
    <w:p>
      <w:pPr>
        <w:pStyle w:val="TextBody"/>
        <w:bidi w:val="0"/>
        <w:spacing w:before="0" w:after="0"/>
        <w:ind w:left="0" w:right="0" w:hanging="36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 Inventories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Inventories were as follows:</w:t>
      </w:r>
    </w:p>
    <w:tbl>
      <w:tblPr>
        <w:tblW w:w="4840" w:type="dxa"/>
        <w:jc w:val="left"/>
        <w:tblInd w:w="0" w:type="dxa"/>
        <w:tblLayout w:type="fixed"/>
        <w:tblCellMar>
          <w:top w:w="28" w:type="dxa"/>
          <w:left w:w="28" w:type="dxa"/>
          <w:bottom w:w="28" w:type="dxa"/>
          <w:right w:w="28" w:type="dxa"/>
        </w:tblCellMar>
      </w:tblPr>
      <w:tblGrid>
        <w:gridCol w:w="514"/>
        <w:gridCol w:w="454"/>
        <w:gridCol w:w="456"/>
        <w:gridCol w:w="313"/>
        <w:gridCol w:w="1070"/>
        <w:gridCol w:w="161"/>
        <w:gridCol w:w="109"/>
        <w:gridCol w:w="109"/>
        <w:gridCol w:w="109"/>
        <w:gridCol w:w="300"/>
        <w:gridCol w:w="1026"/>
        <w:gridCol w:w="219"/>
      </w:tblGrid>
      <w:tr>
        <w:tc>
          <w:tcPr>
            <w:tcW w:w="5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Significant Supplier</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from the following supplier totaled more than 10% of our total inventory purchases for the three months ended September 30, 2025:</w:t>
      </w:r>
    </w:p>
    <w:tbl>
      <w:tblPr>
        <w:tblW w:w="10205" w:type="dxa"/>
        <w:jc w:val="left"/>
        <w:tblInd w:w="0" w:type="dxa"/>
        <w:tblLayout w:type="fixed"/>
        <w:tblCellMar>
          <w:top w:w="28" w:type="dxa"/>
          <w:left w:w="28" w:type="dxa"/>
          <w:bottom w:w="28" w:type="dxa"/>
          <w:right w:w="28" w:type="dxa"/>
        </w:tblCellMar>
      </w:tblPr>
      <w:tblGrid>
        <w:gridCol w:w="820"/>
        <w:gridCol w:w="721"/>
        <w:gridCol w:w="723"/>
        <w:gridCol w:w="356"/>
        <w:gridCol w:w="356"/>
        <w:gridCol w:w="358"/>
        <w:gridCol w:w="109"/>
        <w:gridCol w:w="109"/>
        <w:gridCol w:w="109"/>
        <w:gridCol w:w="737"/>
        <w:gridCol w:w="737"/>
        <w:gridCol w:w="740"/>
        <w:gridCol w:w="109"/>
        <w:gridCol w:w="109"/>
        <w:gridCol w:w="109"/>
        <w:gridCol w:w="241"/>
        <w:gridCol w:w="704"/>
        <w:gridCol w:w="126"/>
        <w:gridCol w:w="109"/>
        <w:gridCol w:w="109"/>
        <w:gridCol w:w="109"/>
        <w:gridCol w:w="506"/>
        <w:gridCol w:w="491"/>
        <w:gridCol w:w="1231"/>
        <w:gridCol w:w="109"/>
        <w:gridCol w:w="109"/>
        <w:gridCol w:w="159"/>
      </w:tblGrid>
      <w:t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Inventory Purchases</w:t>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Qorvo International Pte Ltd. </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3"/>
              </w:rPr>
            </w:pP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28" w:type="dxa"/>
            <w:gridSpan w:val="3"/>
            <w:tcBorders/>
            <w:vAlign w:val="center"/>
          </w:tcPr>
          <w:p>
            <w:pPr>
              <w:pStyle w:val="TableContents"/>
              <w:bidi w:val="0"/>
              <w:spacing w:before="0" w:after="283"/>
              <w:jc w:val="left"/>
              <w:rPr>
                <w:sz w:val="4"/>
                <w:szCs w:val="4"/>
              </w:rPr>
            </w:pPr>
            <w:r>
              <w:rPr>
                <w:sz w:val="4"/>
                <w:szCs w:val="4"/>
              </w:rPr>
            </w:r>
          </w:p>
        </w:tc>
        <w:tc>
          <w:tcPr>
            <w:tcW w:w="3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Purchases associated with this supplier did not total more than 10% of our inventory purchases for the indicated period.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purchases from suppliers that totaled more than 10% of our total inventory purchases for the nine months ended September 30, 2026, and 2025, respectively.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trade payable balances to suppliers that totaled more than 10% of our total accounts payable at September 30, 2026, and December 31, 2025, respectively.</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5 — Long-lived Tangible Assets</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Long-lived tangible assets by geographic areas, which include property, plant, and equipment, net ("PP&amp;E") and operating lease right-of-use assets, were as follows:</w:t>
      </w:r>
    </w:p>
    <w:tbl>
      <w:tblPr>
        <w:tblW w:w="6100" w:type="dxa"/>
        <w:jc w:val="left"/>
        <w:tblInd w:w="0" w:type="dxa"/>
        <w:tblLayout w:type="fixed"/>
        <w:tblCellMar>
          <w:top w:w="28" w:type="dxa"/>
          <w:left w:w="28" w:type="dxa"/>
          <w:bottom w:w="28" w:type="dxa"/>
          <w:right w:w="28" w:type="dxa"/>
        </w:tblCellMar>
      </w:tblPr>
      <w:tblGrid>
        <w:gridCol w:w="970"/>
        <w:gridCol w:w="856"/>
        <w:gridCol w:w="858"/>
        <w:gridCol w:w="313"/>
        <w:gridCol w:w="1070"/>
        <w:gridCol w:w="161"/>
        <w:gridCol w:w="109"/>
        <w:gridCol w:w="109"/>
        <w:gridCol w:w="109"/>
        <w:gridCol w:w="300"/>
        <w:gridCol w:w="1026"/>
        <w:gridCol w:w="219"/>
      </w:tblGrid>
      <w:tr>
        <w:tc>
          <w:tcPr>
            <w:tcW w:w="9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People’s Republic of China</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Vietnam</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Mexico</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tangible assets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PP&amp;E are shown net of accumulated depreciation of $172.2 million and $163.7 million at September 30, 2026 and December 31,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$1.6 million and $2.2 million for the three months ended September 30, 2026 and 2025, respectively.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expense was $5.4 million and $7.3 million for the nine months ended September 30, 2026 and 2025, respectively.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 Intangible Assets, Net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before="0" w:after="0"/>
        <w:jc w:val="both"/>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intangible assets, net were as follows:</w:t>
      </w:r>
    </w:p>
    <w:tbl>
      <w:tblPr>
        <w:tblW w:w="10205" w:type="dxa"/>
        <w:jc w:val="left"/>
        <w:tblInd w:w="0" w:type="dxa"/>
        <w:tblLayout w:type="fixed"/>
        <w:tblCellMar>
          <w:top w:w="28" w:type="dxa"/>
          <w:left w:w="28" w:type="dxa"/>
          <w:bottom w:w="28" w:type="dxa"/>
          <w:right w:w="28" w:type="dxa"/>
        </w:tblCellMar>
      </w:tblPr>
      <w:tblGrid>
        <w:gridCol w:w="745"/>
        <w:gridCol w:w="656"/>
        <w:gridCol w:w="663"/>
        <w:gridCol w:w="211"/>
        <w:gridCol w:w="721"/>
        <w:gridCol w:w="109"/>
        <w:gridCol w:w="109"/>
        <w:gridCol w:w="109"/>
        <w:gridCol w:w="109"/>
        <w:gridCol w:w="220"/>
        <w:gridCol w:w="812"/>
        <w:gridCol w:w="113"/>
        <w:gridCol w:w="109"/>
        <w:gridCol w:w="109"/>
        <w:gridCol w:w="109"/>
        <w:gridCol w:w="211"/>
        <w:gridCol w:w="721"/>
        <w:gridCol w:w="109"/>
        <w:gridCol w:w="109"/>
        <w:gridCol w:w="109"/>
        <w:gridCol w:w="109"/>
        <w:gridCol w:w="211"/>
        <w:gridCol w:w="721"/>
        <w:gridCol w:w="109"/>
        <w:gridCol w:w="109"/>
        <w:gridCol w:w="109"/>
        <w:gridCol w:w="109"/>
        <w:gridCol w:w="220"/>
        <w:gridCol w:w="812"/>
        <w:gridCol w:w="113"/>
        <w:gridCol w:w="109"/>
        <w:gridCol w:w="109"/>
        <w:gridCol w:w="109"/>
        <w:gridCol w:w="211"/>
        <w:gridCol w:w="721"/>
        <w:gridCol w:w="161"/>
      </w:tblGrid>
      <w:tr>
        <w:tc>
          <w:tcPr>
            <w:tcW w:w="74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Gross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pPr>
            <w:r>
              <w:rPr>
                <w:rFonts w:ascii="Times New Roman;serif" w:hAnsi="Times New Roman;serif"/>
                <w:b/>
                <w:color w:val="000000"/>
                <w:sz w:val="16"/>
              </w:rPr>
              <w:t xml:space="preserve">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r>
      <w:t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Customer relationships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Developed and core technology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(23,799)</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This table excludes the gross value of fully amortized intangible assets totaling $53.5 million and $52.5 million at September 30, 2026 and December 31, 2025, respectively.</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is recorded in selling, general and administrative expenses, except amortization expense related to capitalized software development costs, which is recorded in cost of sales. Amortization expense by statement of operations caption was as follows: </w:t>
      </w:r>
    </w:p>
    <w:tbl>
      <w:tblPr>
        <w:tblW w:w="9382" w:type="dxa"/>
        <w:jc w:val="left"/>
        <w:tblInd w:w="0" w:type="dxa"/>
        <w:tblLayout w:type="fixed"/>
        <w:tblCellMar>
          <w:top w:w="28" w:type="dxa"/>
          <w:left w:w="28" w:type="dxa"/>
          <w:bottom w:w="28" w:type="dxa"/>
          <w:right w:w="28" w:type="dxa"/>
        </w:tblCellMar>
      </w:tblPr>
      <w:tblGrid>
        <w:gridCol w:w="1348"/>
        <w:gridCol w:w="1189"/>
        <w:gridCol w:w="1198"/>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c>
          <w:tcPr>
            <w:tcW w:w="134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37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735" w:type="dxa"/>
            <w:gridSpan w:val="3"/>
            <w:vMerge w:val="continue"/>
            <w:tcBorders/>
            <w:tcMar>
              <w:top w:w="0" w:type="dxa"/>
              <w:left w:w="0" w:type="dxa"/>
              <w:bottom w:w="0" w:type="dxa"/>
              <w:right w:w="0" w:type="dxa"/>
            </w:tcMar>
            <w:vAlign w:val="center"/>
          </w:tcPr>
          <w:p>
            <w:pPr>
              <w:pStyle w:val="Normal"/>
              <w:bidi w:val="0"/>
              <w:jc w:val="left"/>
            </w:p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Estimated future annual amortization expense related to our intangible assets at September 30, 2026, was as follows:</w:t>
      </w:r>
    </w:p>
    <w:tbl>
      <w:tblPr>
        <w:tblW w:w="3410" w:type="dxa"/>
        <w:jc w:val="left"/>
        <w:tblInd w:w="0" w:type="dxa"/>
        <w:tblLayout w:type="fixed"/>
        <w:tblCellMar>
          <w:top w:w="28" w:type="dxa"/>
          <w:left w:w="28" w:type="dxa"/>
          <w:bottom w:w="28" w:type="dxa"/>
          <w:right w:w="28" w:type="dxa"/>
        </w:tblCellMar>
      </w:tblPr>
      <w:tblGrid>
        <w:gridCol w:w="840"/>
        <w:gridCol w:w="741"/>
        <w:gridCol w:w="743"/>
        <w:gridCol w:w="211"/>
        <w:gridCol w:w="721"/>
        <w:gridCol w:w="154"/>
      </w:tblGrid>
      <w:t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3 months)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 Leases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operating lease agreements for automobiles, offices and manufacturing facilities throughout the world. At September 30, 2026, our operating leases had remaining lease terms of up to 34 years, including any reasonably probable extensions.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Lease balances within our consolidated balance sheets were as follows:</w:t>
      </w:r>
    </w:p>
    <w:tbl>
      <w:tblPr>
        <w:tblW w:w="6642" w:type="dxa"/>
        <w:jc w:val="center"/>
        <w:tblInd w:w="0" w:type="dxa"/>
        <w:tblLayout w:type="fixed"/>
        <w:tblCellMar>
          <w:top w:w="28" w:type="dxa"/>
          <w:left w:w="28" w:type="dxa"/>
          <w:bottom w:w="28" w:type="dxa"/>
          <w:right w:w="28" w:type="dxa"/>
        </w:tblCellMar>
      </w:tblPr>
      <w:tblGrid>
        <w:gridCol w:w="1166"/>
        <w:gridCol w:w="1028"/>
        <w:gridCol w:w="1031"/>
        <w:gridCol w:w="348"/>
        <w:gridCol w:w="1017"/>
        <w:gridCol w:w="180"/>
        <w:gridCol w:w="109"/>
        <w:gridCol w:w="109"/>
        <w:gridCol w:w="109"/>
        <w:gridCol w:w="300"/>
        <w:gridCol w:w="1026"/>
        <w:gridCol w:w="219"/>
      </w:tblGrid>
      <w:tr>
        <w:tc>
          <w:tcPr>
            <w:tcW w:w="1166"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obligations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9,406 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expense, operating lease cash flows and supplemental cash flow information were as follows:</w:t>
      </w:r>
    </w:p>
    <w:p>
      <w:pPr>
        <w:pStyle w:val="TextBody"/>
        <w:bidi w:val="0"/>
        <w:spacing w:before="0" w:after="0"/>
        <w:jc w:val="both"/>
      </w:pPr>
      <w:r/>
    </w:p>
    <w:tbl>
      <w:tblPr>
        <w:tblW w:w="10205" w:type="dxa"/>
        <w:jc w:val="center"/>
        <w:tblInd w:w="0" w:type="dxa"/>
        <w:tblLayout w:type="fixed"/>
        <w:tblCellMar>
          <w:top w:w="28" w:type="dxa"/>
          <w:left w:w="28" w:type="dxa"/>
          <w:bottom w:w="28" w:type="dxa"/>
          <w:right w:w="28" w:type="dxa"/>
        </w:tblCellMar>
      </w:tblPr>
      <w:tblGrid>
        <w:gridCol w:w="1741"/>
        <w:gridCol w:w="1535"/>
        <w:gridCol w:w="1547"/>
        <w:gridCol w:w="242"/>
        <w:gridCol w:w="710"/>
        <w:gridCol w:w="125"/>
        <w:gridCol w:w="125"/>
        <w:gridCol w:w="125"/>
        <w:gridCol w:w="125"/>
        <w:gridCol w:w="242"/>
        <w:gridCol w:w="710"/>
        <w:gridCol w:w="125"/>
        <w:gridCol w:w="109"/>
        <w:gridCol w:w="109"/>
        <w:gridCol w:w="109"/>
        <w:gridCol w:w="236"/>
        <w:gridCol w:w="691"/>
        <w:gridCol w:w="122"/>
        <w:gridCol w:w="122"/>
        <w:gridCol w:w="122"/>
        <w:gridCol w:w="122"/>
        <w:gridCol w:w="236"/>
        <w:gridCol w:w="691"/>
        <w:gridCol w:w="184"/>
      </w:tblGrid>
      <w:tr>
        <w:tc>
          <w:tcPr>
            <w:tcW w:w="1741"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c>
          <w:tcPr>
            <w:tcW w:w="48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823" w:type="dxa"/>
            <w:gridSpan w:val="3"/>
            <w:vMerge w:val="continue"/>
            <w:tcBorders/>
            <w:tcMar>
              <w:top w:w="0" w:type="dxa"/>
              <w:left w:w="0" w:type="dxa"/>
              <w:bottom w:w="0" w:type="dxa"/>
              <w:right w:w="0" w:type="dxa"/>
            </w:tcMar>
            <w:vAlign w:val="center"/>
          </w:tcPr>
          <w:p>
            <w:pPr>
              <w:pStyle w:val="Normal"/>
              <w:bidi w:val="0"/>
              <w:jc w:val="left"/>
            </w:p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expense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expenses from variable and short-term lease costs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from operating leases</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3"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liability term and the weighted average discount rate were as follows:</w:t>
      </w:r>
    </w:p>
    <w:tbl>
      <w:tblPr>
        <w:tblW w:w="7362" w:type="dxa"/>
        <w:jc w:val="center"/>
        <w:tblInd w:w="0" w:type="dxa"/>
        <w:tblLayout w:type="fixed"/>
        <w:tblCellMar>
          <w:top w:w="28" w:type="dxa"/>
          <w:left w:w="28" w:type="dxa"/>
          <w:bottom w:w="28" w:type="dxa"/>
          <w:right w:w="28" w:type="dxa"/>
        </w:tblCellMar>
      </w:tblPr>
      <w:tblGrid>
        <w:gridCol w:w="1430"/>
        <w:gridCol w:w="1253"/>
        <w:gridCol w:w="1262"/>
        <w:gridCol w:w="344"/>
        <w:gridCol w:w="344"/>
        <w:gridCol w:w="857"/>
        <w:gridCol w:w="109"/>
        <w:gridCol w:w="109"/>
        <w:gridCol w:w="109"/>
        <w:gridCol w:w="314"/>
        <w:gridCol w:w="314"/>
        <w:gridCol w:w="917"/>
      </w:tblGrid>
      <w:tr>
        <w:tc>
          <w:tcPr>
            <w:tcW w:w="1430"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lease liability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r>
      <w:t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undiscounted cash flows for each of the next five years and thereafter to the operating lease liabilities recognized in our consolidated balance sheets at September 30, 2026. The reconciliation excludes short-term leases that are not recorded in our consolidated balance sheets. </w:t>
      </w:r>
    </w:p>
    <w:tbl>
      <w:tblPr>
        <w:tblW w:w="3914" w:type="dxa"/>
        <w:jc w:val="center"/>
        <w:tblInd w:w="0" w:type="dxa"/>
        <w:tblLayout w:type="fixed"/>
        <w:tblCellMar>
          <w:top w:w="28" w:type="dxa"/>
          <w:left w:w="28" w:type="dxa"/>
          <w:bottom w:w="28" w:type="dxa"/>
          <w:right w:w="28" w:type="dxa"/>
        </w:tblCellMar>
      </w:tblPr>
      <w:tblGrid>
        <w:gridCol w:w="840"/>
        <w:gridCol w:w="741"/>
        <w:gridCol w:w="743"/>
        <w:gridCol w:w="342"/>
        <w:gridCol w:w="999"/>
        <w:gridCol w:w="249"/>
      </w:tblGrid>
      <w:tr>
        <w:tc>
          <w:tcPr>
            <w:tcW w:w="84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 3 months)</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10,063 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2026, we did not have any operating leases that had not yet commenced.</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 Lines of Credit</w:t>
      </w:r>
    </w:p>
    <w:p>
      <w:pPr>
        <w:pStyle w:val="TextBody"/>
        <w:bidi w:val="0"/>
        <w:spacing w:before="0" w:after="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 Line of Credit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Third Amended and Restated Credit Agreement, as amended ("Third Amended Credit Agreement") with U.S. Bank National Association ("U.S. Bank") provides for a revolving line of credit ("U.S. Credit Line") through September 30, 2027. The U.S. Credit Line may be used for working capital and other general corporate purposes including acquisitions, share repurchases and capital expenditures.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of up to $60.0 million, subject to meeting certain financial conditions. Availability is based on "Borrowing Base", which is defined as 75% of accounts receivable aged less than 120 days following their invoice date, less reserves for doubtful accounts and returns. The Borrowing Base is calculated monthly. At September 30, 2026, the U.S. Credit Line total availability was $47.9 million. At November 4, 2026, the U.S. Credit Line total availability was $45.2 million.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was $1.9 million at September 30, 2026 and $0.5 million at December 31, 2025. On October 9, 2026, we entered into an additional letter of credit for $0.7 million.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U.S. Credit Line are secured by substantially all of our U.S. personal property and tangible and intangible assets, as well as a guaranty of the U.S. Credit Line by our wholly-owned subsidiary, Universal Electronics BV.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Third Amended Credit Agreement, we pay interest on the U.S. Credit Line based on the Secured Overnight Financing Rate ("SOFR") plus a 3.00% margin. The Third Amended Credit Agreement also contains a facility fee of 0.25%. The interest rates in effect at September 30, 2026 and December 31, 2025 were 6.75% and 6.65%,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Third Amended Credit Agreement includes financial covenants and contains other customary affirmative and negative covenants and events of default. Our covenants are based upon a minimum fixed charge coverage ratio and a maximum cash flow leverage ratio. We were in compliance with the covenants and conditions of the Third Amended Credit Agreement at September 30, 2026.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we had $0.0 million and $5.5 million outstanding under the U.S. Credit Line, respectively. At September 30, 2026, our remaining availability under our U.S. Credit Line was $46.0 million. Our total interest expense on borrowings under the U.S. Credit Line was $0.0 million and $0.4 million during the three months ended September 30, 2026 and 2025, respectively. Our total interest expense on borrowings under the U.S. Credit Line was $0.4 million and $1.4 million during the nine months ended September 30, 2026 and 2025, respectively. Our total facility fee expense under the U.S. Credit Line was $38 thousand and $48 thousand during the three months ended September 30, 2026 and 2025, respectively. Our total facility fee expense under the U.S. Credit Line was $0.1 million and $0.1 million during the nine months ended September 30, 2026 and 2025, respectively.</w:t>
      </w:r>
    </w:p>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China Line of Credit</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August 2024, our subsidiary, Gemstar Technology (Yangzhou) Co. Ltd. ("GTY"), executed a Line of Credit Agreement (the "Line of Credit Agreement") with the Bank of China, which provides for a revolving line of credit (the "China Credit Line"). As a continuation of the agreement, on July 30, 2025, we executed an amendment to the Line of Credit Agreement, which extends the term of the China Credit Line to July 16, 2026. As a continuation of the agreement, on July 15, 2026, we executed an amendment to the Line of Credit Agreement, which extends the term of the China Credit Line to July 9, 2027. The China Credit Line may be used for working capital purposes.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China Credit Line had a maximum availability of up to RMB 130.0 million (approximately $19.4 million), subject to meeting certain financial conditions.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China Credit Line are reduced by the balance of any outstanding letters of credit, of which there were none at September 30, 2026 and December 31,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China Credit Line are secured by GTY's buildings and land use rights.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Line of Credit Agreement, we pay interest on the China Credit Line based on the one-year rate from the National Interbank Funding Center less a 0.1% margin. There are no associated commitment fees on the China Credit Line. The interest rates in effect at September 30, 2026 and December 31, 2025 were 2.86% and 2.92%,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Line of Credit Agreement includes financial covenants and contains other customary affirmative and negative covenants and events of default. Our covenants are based on a debt to asset ratio and a dividends paid to net income ratio. We were in compliance with the covenants and conditions of the Line of Credit Agreement at and during the three months ended September 30, 2026.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we had RMB 130.0 million (approximately $19.4 million) and RMB 130.0 million (approximately $18.6 million), respectively, outstanding under the China Credit Line. At September 30, 2026, we had RMB 0.0 million (approximately 0.0 million) of availability under our China Credit Line. Our total interest expense on borrowings under the China Credit Line was RMB 0.9 million (approximately $0.1 million) and RMB 0.8 million (approximately $0.1 million) during the three months ended September 30, 2026 and 2025, respectively. Our total interest expense on borrowings under the China Credit Line was RMB 2.7 million (approximately $0.4 million) and RMB 2.1 million (approximately $0.3 million) during the nine months ended September 30, 2026 and 2025, respectively.</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Monetization of IEEPA Tariff Refund Claims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9, 2026, the Company entered into a Claim Sale and Purchase Agreement (the "Tariff Claim Agreement") with a third party financial institution ("Buyer") pursuant to which the Company agreed to sell, grant and convey to Buyer all of the Company’s and its affiliates’ claims, interests and causes of action, and all related rights, distributions, amounts, payments related thereto and other proceeds thereof, including without limitation any interest thereon and other amounts paid or reimbursed in relation thereto, directly arising from or relating to tariffs previously paid by the Company or its affiliates to Customs and Border Protection (“CBP”) in connection with tariffs originally invoked under the International Emergency Economics Powers Act (“IEEPA”), for which such tariffs were ruled unlawful by the United States Supreme Court on February 20, 2026 (the "Claims"), in consideration for a payment of approximately $7.6 million (the "Purchase Price"). The Purchase Price reflects a discount to the aggregate amount payable by CBP pursuant to the Claims as mutually agreed between the Company and Buyer and is subject to full or partial refund, together with interest, under certain circumstances in which the Claims may be impaired. The Company is subject to certain post-closing cooperation obligations with Buyer with respect to the Claims.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a total of $9.0 million, including interest, from CBP as of September 30, 2026.</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monetization of the Company`s tariff refund claims were accounted for in accordance with FASB ASC 470 – Debt and presented as a short-term financing on the consolidated balance sheet. As of September 30, 2026, the unamortized financing costs amounted to $46 thousand. The costs are being amortized through the expected settlement date of the claim and recorded in Interest income (expense) on the consolidated statements of operations. Refer to “Note 1. Basis of Preparation" for related accounting policy update on tariff refund claims.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expected recovery of IEEPA tariffs, the Company evaluated its contractual and customary business practices with customers and concluded that a portion of the expected recovery is likely to be refunded to certain customers. These anticipated customer refunds represent consideration payable to customers under ASC 606, Revenue from Contracts with Customers, and therefore reduce the transaction price associated with the related customer contracts. Accordingly, the Company recorded an estimated liability of approximately $3.9 million as of June 30, 2026 for expected tariff refunds payable to customers, with a corresponding reduction of net sales in the period. As of September 30, 2026, the balance of this estimated liability is $3.1 million.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 Income Taxes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$1.4 million and $2.6 million for the three months ended September 30, 2026 and 2025, respectively. We recorded income tax expense of $6.1 million and $6.6 million for the nine months ended September 30, 2026 and 2025, respectively. The difference between the Company’s effective tax rate and the 21.0% U.S. federal statutory rate for the three months ended September 30, 2026 primarily related to the mix of pre-tax income and loss among jurisdictions and permanent tax items including a tax on net controlled foreign corporation tested income. The Company's income tax provision can be affected by other factors, including changes in tax laws and regulations in the jurisdictions in which we operate, changes in the valuation allowances on deferred tax assets, and other discrete items.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December 31, 2025, we assessed the realizability of the Company's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the scheduled reversal of deferred tax liabilities, tax planning strategies, and projected future income in making this assessment. At December 31, 2025, we had a three-year world wide cumulative pre-tax loss and have accordingly provided a full valuation allowance on our U.S. federal and state deferred tax assets and on certain foreign deferred tax assets. During the three months ended September 30, 2026, we recorded an additional valuation allowance of approximately $0.1 million against deferred tax assets of our Brazil subsidiary. There were no other significant changes to our valuation allowance position.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Uncertain Tax Positions</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we had gross unrecognized tax benefits of approximately $3.8 million including interest and penalties, which, if not for the valuation allowance recorded against the state Research and Experimentation income tax credit, would affect the annual effective tax rate if the tax benefits are realized. We have classified uncertain tax positions as non-current income tax liabilities unless they are expected to be paid within one year.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Interest and penalties</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elected to classify interest and penalties as a component of tax expense. Accrued interest and penalties are immaterial at September 30, 2026 and December 31, 2025 and are included in the unrecognized tax benefits.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Enactment of H.R.1</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H.R. 1, commonly referred to as the One Big Beautiful Bill Act, was enacted in the United States H.R. 1 includes significant provisions, including the permanent extension of certain expiring provisions of the Tax Cuts and Jobs Act of 2017, modifications to the U.S. international tax framework, and the restoration of favorable tax treatment for certain business provisions. This legislation has multiple effective dates, with certain provisions that became effective in 2025 and others to be implemented in 2026 and 2027. Due to the U.S. valuation allowance position, the legislation is not expected to have a material impact on the Company's estimated annual effective tax rate or cash tax position.</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 Accrued Compensation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accrued compensation were as follows:</w:t>
      </w:r>
    </w:p>
    <w:tbl>
      <w:tblPr>
        <w:tblW w:w="5845" w:type="dxa"/>
        <w:jc w:val="left"/>
        <w:tblInd w:w="0" w:type="dxa"/>
        <w:tblLayout w:type="fixed"/>
        <w:tblCellMar>
          <w:top w:w="28" w:type="dxa"/>
          <w:left w:w="28" w:type="dxa"/>
          <w:bottom w:w="28" w:type="dxa"/>
          <w:right w:w="28" w:type="dxa"/>
        </w:tblCellMar>
      </w:tblPr>
      <w:tblGrid>
        <w:gridCol w:w="878"/>
        <w:gridCol w:w="775"/>
        <w:gridCol w:w="776"/>
        <w:gridCol w:w="313"/>
        <w:gridCol w:w="1070"/>
        <w:gridCol w:w="161"/>
        <w:gridCol w:w="109"/>
        <w:gridCol w:w="109"/>
        <w:gridCol w:w="109"/>
        <w:gridCol w:w="300"/>
        <w:gridCol w:w="1026"/>
        <w:gridCol w:w="219"/>
      </w:tblGrid>
      <w:tr>
        <w:tc>
          <w:tcPr>
            <w:tcW w:w="87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Accrued salary/wages </w:t>
            </w:r>
            <w:r>
              <w:rPr>
                <w:rFonts w:ascii="Times New Roman;serif" w:hAnsi="Times New Roman;serif"/>
                <w:b w:val="false"/>
                <w:color w:val="000000"/>
                <w:sz w:val="13"/>
              </w:rPr>
              <w:t>(1)</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Accrued social insurance </w:t>
            </w:r>
            <w:r>
              <w:rPr>
                <w:rFonts w:ascii="Times New Roman;serif" w:hAnsi="Times New Roman;serif"/>
                <w:b w:val="false"/>
                <w:color w:val="000000"/>
                <w:sz w:val="13"/>
              </w:rPr>
              <w:t>(2)</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vacation/holiday</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compensation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compensation</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100" w:after="60"/>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As of December 31, 2025, this includes $0.8 million of accrued severance expenses related to our 2025 restructuring plan and global reduction in force. As of September 30, 2026, this includes $0.1 million of accrued severance expenses related to our 2025 restructuring plan and global reduction in force. </w:t>
      </w:r>
    </w:p>
    <w:p>
      <w:pPr>
        <w:pStyle w:val="TextBody"/>
        <w:bidi w:val="0"/>
        <w:spacing w:lineRule="auto" w:line="288" w:before="0" w:after="0"/>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PRC employers are required by law to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September 30, 2026, and December 31, 2025.</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 Other Accrued Liabilities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other accrued liabilities were as follows:</w:t>
      </w:r>
    </w:p>
    <w:tbl>
      <w:tblPr>
        <w:tblW w:w="8245" w:type="dxa"/>
        <w:jc w:val="left"/>
        <w:tblInd w:w="0" w:type="dxa"/>
        <w:tblLayout w:type="fixed"/>
        <w:tblCellMar>
          <w:top w:w="28" w:type="dxa"/>
          <w:left w:w="28" w:type="dxa"/>
          <w:bottom w:w="28" w:type="dxa"/>
          <w:right w:w="28" w:type="dxa"/>
        </w:tblCellMar>
      </w:tblPr>
      <w:tblGrid>
        <w:gridCol w:w="1746"/>
        <w:gridCol w:w="1540"/>
        <w:gridCol w:w="1543"/>
        <w:gridCol w:w="313"/>
        <w:gridCol w:w="1070"/>
        <w:gridCol w:w="161"/>
        <w:gridCol w:w="109"/>
        <w:gridCol w:w="109"/>
        <w:gridCol w:w="109"/>
        <w:gridCol w:w="300"/>
        <w:gridCol w:w="1026"/>
        <w:gridCol w:w="219"/>
      </w:tblGrid>
      <w:tr>
        <w:tc>
          <w:tcPr>
            <w:tcW w:w="1746"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Duties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associated with fulfilled performance obligations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and handling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warranty claims costs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value added taxes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accrued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Includes $0.1 million and $0.2 million at September 30, 2026 and December 31, 2025, respectively, associated with the purchase of property, plant and equipment.</w:t>
      </w:r>
    </w:p>
    <w:p>
      <w:pPr>
        <w:pStyle w:val="TextBody"/>
        <w:bidi w:val="0"/>
        <w:spacing w:before="20" w:after="283"/>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 Commitments and Contingencies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Commitments </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entered into various inventory and property, plant and equipment related purchase agreements with suppliers. Certain of these agreements have provisions for a binding forecast (inventory) or non-cancellable purchase orders (inventory and PP&amp;E).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non-cancellable purchase commitments were as follows:</w:t>
      </w:r>
    </w:p>
    <w:p>
      <w:pPr>
        <w:pStyle w:val="TextBody"/>
        <w:bidi w:val="0"/>
        <w:spacing w:before="0" w:after="0"/>
        <w:jc w:val="both"/>
      </w:pPr>
      <w:r/>
    </w:p>
    <w:tbl>
      <w:tblPr>
        <w:tblW w:w="6234" w:type="dxa"/>
        <w:jc w:val="left"/>
        <w:tblInd w:w="0" w:type="dxa"/>
        <w:tblLayout w:type="fixed"/>
        <w:tblCellMar>
          <w:top w:w="28" w:type="dxa"/>
          <w:left w:w="28" w:type="dxa"/>
          <w:bottom w:w="28" w:type="dxa"/>
          <w:right w:w="28" w:type="dxa"/>
        </w:tblCellMar>
      </w:tblPr>
      <w:tblGrid>
        <w:gridCol w:w="1018"/>
        <w:gridCol w:w="897"/>
        <w:gridCol w:w="904"/>
        <w:gridCol w:w="313"/>
        <w:gridCol w:w="1070"/>
        <w:gridCol w:w="161"/>
        <w:gridCol w:w="109"/>
        <w:gridCol w:w="109"/>
        <w:gridCol w:w="109"/>
        <w:gridCol w:w="332"/>
        <w:gridCol w:w="970"/>
        <w:gridCol w:w="242"/>
      </w:tblGrid>
      <w:tr>
        <w:tc>
          <w:tcPr>
            <w:tcW w:w="101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 commitments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PP&amp;E purchase commitments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amounts are expected to be paid within the next twelve months.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Warranties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Changes in the liability for product warranty claims costs were as follows:</w:t>
      </w:r>
    </w:p>
    <w:tbl>
      <w:tblPr>
        <w:tblW w:w="6373" w:type="dxa"/>
        <w:jc w:val="left"/>
        <w:tblInd w:w="0" w:type="dxa"/>
        <w:tblLayout w:type="fixed"/>
        <w:tblCellMar>
          <w:top w:w="28" w:type="dxa"/>
          <w:left w:w="28" w:type="dxa"/>
          <w:bottom w:w="28" w:type="dxa"/>
          <w:right w:w="28" w:type="dxa"/>
        </w:tblCellMar>
      </w:tblPr>
      <w:tblGrid>
        <w:gridCol w:w="1350"/>
        <w:gridCol w:w="1191"/>
        <w:gridCol w:w="1194"/>
        <w:gridCol w:w="321"/>
        <w:gridCol w:w="549"/>
        <w:gridCol w:w="166"/>
        <w:gridCol w:w="166"/>
        <w:gridCol w:w="166"/>
        <w:gridCol w:w="166"/>
        <w:gridCol w:w="321"/>
        <w:gridCol w:w="549"/>
        <w:gridCol w:w="234"/>
      </w:tblGrid>
      <w:tr>
        <w:tc>
          <w:tcPr>
            <w:tcW w:w="135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c>
          <w:tcPr>
            <w:tcW w:w="37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735" w:type="dxa"/>
            <w:gridSpan w:val="3"/>
            <w:vMerge w:val="continue"/>
            <w:tcBorders/>
            <w:tcMar>
              <w:top w:w="0" w:type="dxa"/>
              <w:left w:w="0" w:type="dxa"/>
              <w:bottom w:w="0" w:type="dxa"/>
              <w:right w:w="0" w:type="dxa"/>
            </w:tcMar>
            <w:vAlign w:val="center"/>
          </w:tcPr>
          <w:p>
            <w:pPr>
              <w:pStyle w:val="Normal"/>
              <w:bidi w:val="0"/>
              <w:jc w:val="left"/>
            </w:p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(reductions) to costs and expenses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(in cash or in kind)</w:t>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Activities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we ceased production activities and completed the wind-down of our manufacturing facility in Mexico. We recognized cumulative restructuring charges of $4.2 million in connection with the wind-down of the facility and do not expect to incur additional material restructuring charges related to the shutdown.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liabilities are included in accrued compensation, accounts payable and other accrued liabilities on our consolidated balance sheets. Ending balances for these restructuring liabilities were $0.2 million at September 30, 2026 and $0.4 million at December 31, 2025, respectively.</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Roku Matters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UEI and Roku Inc. ("Roku") and certain of its customers have been in litigation in various forums since 2018—i.e., two actions in the Central District of California ("CDCA") beginning in 2018 and 2020 including related cases against certain of Roku's customers (collectively, the "CDCA cases"), the International Trade Commission ("ITC"), the Patent and Trademark Office ("PTO") (</w:t>
      </w:r>
      <w:r>
        <w:rPr>
          <w:rFonts w:ascii="Times New Roman;serif" w:hAnsi="Times New Roman;serif"/>
          <w:b w:val="false"/>
          <w:i/>
          <w:color w:val="000000"/>
          <w:sz w:val="20"/>
        </w:rPr>
        <w:t xml:space="preserve">ex parte </w:t>
      </w:r>
      <w:r>
        <w:rPr>
          <w:rFonts w:ascii="Times New Roman;serif" w:hAnsi="Times New Roman;serif"/>
          <w:b w:val="false"/>
          <w:color w:val="000000"/>
          <w:sz w:val="20"/>
        </w:rPr>
        <w:t xml:space="preserve">reexams) and the Patent and Trademark Appeals Board ("PTAB"). The CDCA cases were all stayed on various grounds. The 2018 case was stayed in November 2019 pending resolution of Roku-initiated PTO and PTAB matters, all of which have since been resolved.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 xml:space="preserve">The 2020 case was also immediately stayed due to UEI's related ITC action against Roku, in which UEI ultimately prevailed when in July 2021, the Administrative Law Judge ("ALJ") issued an initial determination finding Roku in violation of Section 337. The Commission issued a final determination in November 2021, affirming the ALJ’s finding. The Commission then issued a limited exclusion order and cease and desist order against Roku, which went into effect following the expiration of the Presidential Review Period in January 2022. The Federal Circuit affirmed in January 2024. Following UEI's win and affirmance by the Federal Circuit, Roku sought rehearing </w:t>
      </w:r>
      <w:r>
        <w:rPr>
          <w:rFonts w:ascii="Times New Roman;serif" w:hAnsi="Times New Roman;serif"/>
          <w:b w:val="false"/>
          <w:i/>
          <w:color w:val="000000"/>
          <w:sz w:val="20"/>
        </w:rPr>
        <w:t>en banc</w:t>
      </w:r>
      <w:r>
        <w:rPr>
          <w:color w:val="000000"/>
        </w:rPr>
        <w:t xml:space="preserve"> </w:t>
      </w:r>
      <w:r>
        <w:rPr>
          <w:rFonts w:ascii="Times New Roman;serif" w:hAnsi="Times New Roman;serif"/>
          <w:b w:val="false"/>
          <w:color w:val="000000"/>
          <w:sz w:val="20"/>
        </w:rPr>
        <w:t xml:space="preserve">and sought cert from the Supreme Court on a domestic industry question. In January 2025, the Supreme Court denied cert.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color w:val="000000"/>
          <w:sz w:val="20"/>
        </w:rPr>
        <w:t>While this ITC matter has been finally resolved and Roku has no more ability to appeal, we agreed to continue the stay of the CDCA cases pending the outcome of one final PTAB action involving one of our patents. UEI and Roku participated in a hearing in July 2025 regarding the consolidation of the 2018 and 2020 cases, the stay of the cases, and amending the claims that UEI would be allowed to move forward with a consolidated case by the court if unstayed. On July 29, 2025, the Judge issued an order lifting the stay, consolidating the cases and allowing UEI to move forward on 25 claims in the case. O</w:t>
      </w:r>
      <w:r>
        <w:rPr>
          <w:rFonts w:ascii="Times New Roman;serif" w:hAnsi="Times New Roman;serif"/>
          <w:b w:val="false"/>
          <w:color w:val="212121"/>
          <w:sz w:val="20"/>
        </w:rPr>
        <w:t>n September 4, 2025, the Court set various dates and deadlines for the case, including a trial date beginning in March 2027, which date has now been rescheduled to a date beginning in May 2027 pursuant to mutual agreement of UEI and Roku. On December 15, 2025, UEI filed a second amended complaint in the consolidated case.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Roku also filed its own retaliatory ITC action against UEI and certain of our customers on two patents it purchased for this purpose. Roku’s action failed when in June 2022, the ALJ found one of Roku’s patents to be invalid as indefinite. Thereafter, in June 2022, the ALJ issued its initial determination ("ID") fully exonerating us and our customers, finding Roku’s second patent invalid and that Roku failed to establish the requisite domestic industry and thus no violation of the Tariff Act. Roku and UEI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filed petitions to appeal certain portions of the ID. In October 2022, the full ITC issued its final determination affirming the ID, ruling there was no violation of the Tariff Act and terminating the investigation. In December 2022, Roku filed an appeal. Further, in October 2023, the PTAB issued its Final Written Decision invalidating all of Roku's infringement claims. Roku also filed an appeal of this decision. On June 17, 2025, the Federal Circuit affirmed the PTAB decision that invalidated the Roku patent and also remanded the case to the PTAB with respect to one remaining claim. On January 21, 2026, the PTAB issued a ruling invalidating the remaining claim, and thus all claims of both asserted patents have been invalidated. As a companion to its ITC request, on April 8, 2021, Roku also filed a lawsuit against us in Federal CDCA alleging that we are infringing the same two patents they alleged were infringed in the ITC investigation explained above. On February 27, 2026, Roku voluntarily dismissed this District Court case.</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Amazon Litigation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UEI filed a complaint in the CDCA against Amazon.com, Inc., Amazon Web Services Inc. and Amazon.com Services, LLC (collectively, “Amazon”) alleging infringement of five UEI patents. On October 9, 2026, Amazon filed a motion to dismiss three of the asserted patents.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Court of International Trade Action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18, 2026, we filed a complaint in the Court of International Trade (the "CIT") against the United States of America, U.S. Customs &amp; Border Protection and Rodney S. Scott, U.S. Customs &amp; Border Protection Commissioner, challenging both the substantive and procedural processes related to instituting tariffs under the International Emergency Economic Powers Act (“IEEPA”) and seeking declaratory and permanent injunctive relief related to refunding of all IEEPA duties paid by UEI.</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Litigation Matters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other material pending legal proceedings to which we or any of our subsidiaries are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maintain directors' and officers' liability insurance which insures our individual directors and officers against certain claims, as well as attorney's fees and related expenses incurred in connection with the defense of such claims.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13 — Treasury Stock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our Board of Directors authorizes management to repurchase shares of our issued and outstanding common stock. On October 26, 2023, our Board of Directors approved a share repurchase program with an effective date of November 7, 2023 (as subsequently amended, the "Share Repurchase Program"). Pursuant to the Share Repurchase Program, we are authorized to repurchase up to 1,000,000 shares of our common stock and to date, we have repurchased 986,444 shares of our common stock. On March 11, 2026, the Board of Directors authorized an amendment to the Share Repurchase Program to authorize the repurchase, from time to time, of up to an additional 1,000,000 shares of the Company's outstanding common stock, or a total of 1,013,556 shares (including the 13,556 shares remaining available under the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 We also repurchase shares of our issued and outstanding common stock to satisfy income tax withholding obligations relating to the stock-based compensation of our employees and directors and/or the cost of stock option exercises. There have been no shares repurchased for the three and nine months ended September 30, 2026.</w:t>
      </w:r>
    </w:p>
    <w:p>
      <w:pPr>
        <w:pStyle w:val="TextBody"/>
        <w:bidi w:val="0"/>
        <w:spacing w:before="0" w:after="0"/>
        <w:jc w:val="both"/>
      </w:pPr>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Repurchased shares of our common stock were as follows: </w:t>
      </w:r>
    </w:p>
    <w:tbl>
      <w:tblPr>
        <w:tblW w:w="7690" w:type="dxa"/>
        <w:jc w:val="left"/>
        <w:tblInd w:w="0" w:type="dxa"/>
        <w:tblLayout w:type="fixed"/>
        <w:tblCellMar>
          <w:top w:w="28" w:type="dxa"/>
          <w:left w:w="28" w:type="dxa"/>
          <w:bottom w:w="28" w:type="dxa"/>
          <w:right w:w="28" w:type="dxa"/>
        </w:tblCellMar>
      </w:tblPr>
      <w:tblGrid>
        <w:gridCol w:w="1827"/>
        <w:gridCol w:w="1612"/>
        <w:gridCol w:w="1616"/>
        <w:gridCol w:w="295"/>
        <w:gridCol w:w="569"/>
        <w:gridCol w:w="152"/>
        <w:gridCol w:w="152"/>
        <w:gridCol w:w="152"/>
        <w:gridCol w:w="152"/>
        <w:gridCol w:w="295"/>
        <w:gridCol w:w="653"/>
        <w:gridCol w:w="215"/>
      </w:tblGrid>
      <w:tr>
        <w:tc>
          <w:tcPr>
            <w:tcW w:w="182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market shares repurchased</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shares repurchased</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repurchased</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open market shares repurchased</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stock-based compensation related shares repurchased</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shares repurchased</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Repurchased shares are recorded as shares held in treasury at cost. We hold these shares for future use as management and the Board of Directors deem appropriate.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Note 14 — Stock-Based Compensation</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for each employee and director is presented in the same statement of operations caption as their cash compensation. Stock-based compensation expense by statement of operations caption and the related income tax benefit were as follows:</w:t>
      </w:r>
    </w:p>
    <w:tbl>
      <w:tblPr>
        <w:tblW w:w="10205" w:type="dxa"/>
        <w:jc w:val="left"/>
        <w:tblInd w:w="0" w:type="dxa"/>
        <w:tblLayout w:type="fixed"/>
        <w:tblCellMar>
          <w:top w:w="28" w:type="dxa"/>
          <w:left w:w="28" w:type="dxa"/>
          <w:bottom w:w="28" w:type="dxa"/>
          <w:right w:w="28" w:type="dxa"/>
        </w:tblCellMar>
      </w:tblPr>
      <w:tblGrid>
        <w:gridCol w:w="1716"/>
        <w:gridCol w:w="1497"/>
        <w:gridCol w:w="1513"/>
        <w:gridCol w:w="285"/>
        <w:gridCol w:w="631"/>
        <w:gridCol w:w="147"/>
        <w:gridCol w:w="147"/>
        <w:gridCol w:w="147"/>
        <w:gridCol w:w="147"/>
        <w:gridCol w:w="285"/>
        <w:gridCol w:w="631"/>
        <w:gridCol w:w="147"/>
        <w:gridCol w:w="109"/>
        <w:gridCol w:w="109"/>
        <w:gridCol w:w="109"/>
        <w:gridCol w:w="242"/>
        <w:gridCol w:w="708"/>
        <w:gridCol w:w="125"/>
        <w:gridCol w:w="125"/>
        <w:gridCol w:w="125"/>
        <w:gridCol w:w="125"/>
        <w:gridCol w:w="242"/>
        <w:gridCol w:w="708"/>
        <w:gridCol w:w="185"/>
      </w:tblGrid>
      <w:tr>
        <w:tc>
          <w:tcPr>
            <w:tcW w:w="171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4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Employees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Outside directors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employee and director stock-based compensation expense</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8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before="0" w:after="0"/>
        <w:jc w:val="both"/>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restricted stock award activity was as follows:</w:t>
      </w:r>
    </w:p>
    <w:tbl>
      <w:tblPr>
        <w:tblW w:w="7585"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776"/>
        <w:gridCol w:w="1881"/>
        <w:gridCol w:w="568"/>
      </w:tblGrid>
      <w:t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expect to recognize $1.7 million of total unrecognized pre-tax stock-based compensation expense related to non-vested restricted stock awards over a weighted-average life of 1.9 years.</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Performance Stock</w:t>
      </w:r>
    </w:p>
    <w:p>
      <w:pPr>
        <w:pStyle w:val="TextBody"/>
        <w:bidi w:val="0"/>
        <w:spacing w:before="0" w:after="0"/>
        <w:jc w:val="both"/>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Non-vested performance stock award activity was as follows:</w:t>
      </w:r>
    </w:p>
    <w:tbl>
      <w:tblPr>
        <w:tblW w:w="7585" w:type="dxa"/>
        <w:jc w:val="left"/>
        <w:tblInd w:w="0" w:type="dxa"/>
        <w:tblLayout w:type="fixed"/>
        <w:tblCellMar>
          <w:top w:w="28" w:type="dxa"/>
          <w:left w:w="28" w:type="dxa"/>
          <w:bottom w:w="28" w:type="dxa"/>
          <w:right w:w="28" w:type="dxa"/>
        </w:tblCellMar>
      </w:tblPr>
      <w:tblGrid>
        <w:gridCol w:w="1055"/>
        <w:gridCol w:w="926"/>
        <w:gridCol w:w="928"/>
        <w:gridCol w:w="374"/>
        <w:gridCol w:w="374"/>
        <w:gridCol w:w="376"/>
        <w:gridCol w:w="109"/>
        <w:gridCol w:w="109"/>
        <w:gridCol w:w="109"/>
        <w:gridCol w:w="776"/>
        <w:gridCol w:w="1881"/>
        <w:gridCol w:w="568"/>
      </w:tblGrid>
      <w:tr>
        <w:tc>
          <w:tcPr>
            <w:tcW w:w="105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Non-vested at September 30, 2026</w:t>
            </w:r>
          </w:p>
        </w:tc>
        <w:tc>
          <w:tcPr>
            <w:tcW w:w="7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Monte Carlo simulation model and the resulting weighted average fair value of performance stock grants were the following:</w:t>
      </w:r>
    </w:p>
    <w:tbl>
      <w:tblPr>
        <w:tblW w:w="8795" w:type="dxa"/>
        <w:jc w:val="left"/>
        <w:tblInd w:w="0" w:type="dxa"/>
        <w:tblLayout w:type="fixed"/>
        <w:tblCellMar>
          <w:top w:w="28" w:type="dxa"/>
          <w:left w:w="28" w:type="dxa"/>
          <w:bottom w:w="28" w:type="dxa"/>
          <w:right w:w="28" w:type="dxa"/>
        </w:tblCellMar>
      </w:tblPr>
      <w:tblGrid>
        <w:gridCol w:w="1142"/>
        <w:gridCol w:w="1001"/>
        <w:gridCol w:w="1007"/>
        <w:gridCol w:w="256"/>
        <w:gridCol w:w="621"/>
        <w:gridCol w:w="329"/>
        <w:gridCol w:w="132"/>
        <w:gridCol w:w="132"/>
        <w:gridCol w:w="132"/>
        <w:gridCol w:w="256"/>
        <w:gridCol w:w="493"/>
        <w:gridCol w:w="329"/>
        <w:gridCol w:w="109"/>
        <w:gridCol w:w="109"/>
        <w:gridCol w:w="109"/>
        <w:gridCol w:w="236"/>
        <w:gridCol w:w="572"/>
        <w:gridCol w:w="303"/>
        <w:gridCol w:w="122"/>
        <w:gridCol w:w="122"/>
        <w:gridCol w:w="122"/>
        <w:gridCol w:w="236"/>
        <w:gridCol w:w="572"/>
        <w:gridCol w:w="353"/>
      </w:tblGrid>
      <w:t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3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54.00 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58.00 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expect to recognize $1.4 million of total unrecognized pre-tax stock-based compensation expense related to non-vested performance stock awards over a weighted-average period of 3.1 years.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Stock option activity was as follows:    </w:t>
      </w:r>
    </w:p>
    <w:tbl>
      <w:tblPr>
        <w:tblW w:w="10205" w:type="dxa"/>
        <w:jc w:val="left"/>
        <w:tblInd w:w="0" w:type="dxa"/>
        <w:tblLayout w:type="fixed"/>
        <w:tblCellMar>
          <w:top w:w="28" w:type="dxa"/>
          <w:left w:w="28" w:type="dxa"/>
          <w:bottom w:w="28" w:type="dxa"/>
          <w:right w:w="28" w:type="dxa"/>
        </w:tblCellMar>
      </w:tblPr>
      <w:tblGrid>
        <w:gridCol w:w="938"/>
        <w:gridCol w:w="801"/>
        <w:gridCol w:w="802"/>
        <w:gridCol w:w="363"/>
        <w:gridCol w:w="363"/>
        <w:gridCol w:w="365"/>
        <w:gridCol w:w="109"/>
        <w:gridCol w:w="109"/>
        <w:gridCol w:w="109"/>
        <w:gridCol w:w="425"/>
        <w:gridCol w:w="1245"/>
        <w:gridCol w:w="221"/>
        <w:gridCol w:w="109"/>
        <w:gridCol w:w="109"/>
        <w:gridCol w:w="109"/>
        <w:gridCol w:w="779"/>
        <w:gridCol w:w="779"/>
        <w:gridCol w:w="780"/>
        <w:gridCol w:w="109"/>
        <w:gridCol w:w="109"/>
        <w:gridCol w:w="109"/>
        <w:gridCol w:w="343"/>
        <w:gridCol w:w="759"/>
        <w:gridCol w:w="261"/>
      </w:tblGrid>
      <w:tr>
        <w:tc>
          <w:tcPr>
            <w:tcW w:w="93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Contractual 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br/>
              <w:t>(in thousands)</w:t>
            </w:r>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Forfeited/canceled/expired</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Outstanding at September 30, 2026</w:t>
            </w:r>
            <w:r>
              <w:rPr>
                <w:color w:val="000000"/>
              </w:rPr>
              <w:t xml:space="preserve"> </w:t>
            </w:r>
            <w:r>
              <w:rPr>
                <w:rFonts w:ascii="Times New Roman;serif" w:hAnsi="Times New Roman;serif"/>
                <w:b w:val="false"/>
                <w:color w:val="000000"/>
                <w:sz w:val="13"/>
              </w:rPr>
              <w:t>(1)</w:t>
            </w:r>
          </w:p>
        </w:tc>
        <w:tc>
          <w:tcPr>
            <w:tcW w:w="7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Vested and expected to vest at September 30, 2026</w:t>
            </w:r>
            <w:r>
              <w:rPr>
                <w:color w:val="000000"/>
              </w:rPr>
              <w:t xml:space="preserve"> </w:t>
            </w:r>
            <w:r>
              <w:rPr>
                <w:rFonts w:ascii="Times New Roman;serif" w:hAnsi="Times New Roman;serif"/>
                <w:b w:val="false"/>
                <w:color w:val="000000"/>
                <w:sz w:val="13"/>
              </w:rPr>
              <w:t>(1)</w:t>
            </w:r>
          </w:p>
        </w:tc>
        <w:tc>
          <w:tcPr>
            <w:tcW w:w="72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3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Exercisable at September 30, 2026</w:t>
            </w:r>
            <w:r>
              <w:rPr>
                <w:color w:val="000000"/>
              </w:rPr>
              <w:t xml:space="preserve"> </w:t>
            </w:r>
            <w:r>
              <w:rPr>
                <w:rFonts w:ascii="Times New Roman;serif" w:hAnsi="Times New Roman;serif"/>
                <w:b w:val="false"/>
                <w:color w:val="000000"/>
                <w:sz w:val="13"/>
              </w:rPr>
              <w:t>(1)</w:t>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 xml:space="preserve">The aggregate intrinsic value represents the total pre-tax value (the difference between our closing stock price on the last trading day of the first quarter of 2026 and the exercise price, multiplied by the number of in-the-money options) that would have been received by the option holders had they all exercised their options on September 30, 2026. This amount will change based on the fair market value of our stock.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assumptions we utilized in the Black-Scholes pricing model and the resulting weighted average fair value of stock option grants were the following:</w:t>
      </w:r>
    </w:p>
    <w:tbl>
      <w:tblPr>
        <w:tblW w:w="8793" w:type="dxa"/>
        <w:jc w:val="left"/>
        <w:tblInd w:w="0" w:type="dxa"/>
        <w:tblLayout w:type="fixed"/>
        <w:tblCellMar>
          <w:top w:w="28" w:type="dxa"/>
          <w:left w:w="28" w:type="dxa"/>
          <w:bottom w:w="28" w:type="dxa"/>
          <w:right w:w="28" w:type="dxa"/>
        </w:tblCellMar>
      </w:tblPr>
      <w:tblGrid>
        <w:gridCol w:w="1142"/>
        <w:gridCol w:w="1001"/>
        <w:gridCol w:w="1007"/>
        <w:gridCol w:w="256"/>
        <w:gridCol w:w="621"/>
        <w:gridCol w:w="329"/>
        <w:gridCol w:w="132"/>
        <w:gridCol w:w="132"/>
        <w:gridCol w:w="132"/>
        <w:gridCol w:w="256"/>
        <w:gridCol w:w="493"/>
        <w:gridCol w:w="329"/>
        <w:gridCol w:w="109"/>
        <w:gridCol w:w="109"/>
        <w:gridCol w:w="109"/>
        <w:gridCol w:w="247"/>
        <w:gridCol w:w="599"/>
        <w:gridCol w:w="317"/>
        <w:gridCol w:w="127"/>
        <w:gridCol w:w="127"/>
        <w:gridCol w:w="127"/>
        <w:gridCol w:w="247"/>
        <w:gridCol w:w="475"/>
        <w:gridCol w:w="370"/>
      </w:tblGrid>
      <w:tr>
        <w:tc>
          <w:tcPr>
            <w:tcW w:w="114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fair value of grants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54.11 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we expect to recognize $0.2 million of total unrecognized pre-tax stock-based compensation expense related to non-vested stock options over a remaining weighted-average life of 2.7 years.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15 — Other Income (Expense), Net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Central Bank of Argentina maintains certain currency controls that limit the amount of U.S. Dollars that may be remitted from Argentine entities, including certain of our customers. As a result of these controls, an indirect foreign exchange mechanism known as a Blue Chip Swap ("BCS") emerged in Argentina, which allows entities to remit U.S. Dollars from Argentina through the purchase and sale of BCS securities. During the nine months ended September 30, 2025, in order to collect an open accounts receivable balance with an Argentine customer, we purchased $2.5 million and sold BCS securities of $2.3 million and incurred a loss on the transactions of $0.2 million which is recorded in other income (expense) on our consolidated statements of operations. There has been no activity for the three and nine months ended September 30, 2026.</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60"/>
        <w:jc w:val="left"/>
      </w:pPr>
      <w:r>
        <w:rPr>
          <w:rFonts w:ascii="Times New Roman;serif" w:hAnsi="Times New Roman;serif"/>
          <w:b w:val="false"/>
          <w:color w:val="000000"/>
          <w:sz w:val="20"/>
        </w:rPr>
        <w:t>Other income (expense), net consisted of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666"/>
        <w:gridCol w:w="1460"/>
        <w:gridCol w:w="1464"/>
        <w:gridCol w:w="239"/>
        <w:gridCol w:w="783"/>
        <w:gridCol w:w="123"/>
        <w:gridCol w:w="123"/>
        <w:gridCol w:w="123"/>
        <w:gridCol w:w="123"/>
        <w:gridCol w:w="239"/>
        <w:gridCol w:w="783"/>
        <w:gridCol w:w="123"/>
        <w:gridCol w:w="109"/>
        <w:gridCol w:w="109"/>
        <w:gridCol w:w="109"/>
        <w:gridCol w:w="231"/>
        <w:gridCol w:w="756"/>
        <w:gridCol w:w="119"/>
        <w:gridCol w:w="119"/>
        <w:gridCol w:w="119"/>
        <w:gridCol w:w="119"/>
        <w:gridCol w:w="231"/>
        <w:gridCol w:w="756"/>
        <w:gridCol w:w="179"/>
      </w:tblGrid>
      <w:tr>
        <w:tc>
          <w:tcPr>
            <w:tcW w:w="166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Net gain (loss) on foreign currency exchange contracts </w:t>
            </w:r>
            <w:r>
              <w:rPr>
                <w:rFonts w:ascii="Times New Roman;serif" w:hAnsi="Times New Roman;serif"/>
                <w:b w:val="false"/>
                <w:color w:val="000000"/>
                <w:sz w:val="13"/>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foreign currency exchange transactions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income (expense)</w:t>
            </w:r>
            <w:r>
              <w:rPr>
                <w:color w:val="000000"/>
              </w:rPr>
              <w:t xml:space="preserve"> </w:t>
            </w:r>
            <w:r>
              <w:rPr>
                <w:rFonts w:ascii="Times New Roman;serif" w:hAnsi="Times New Roman;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This represents the gains (losses) incurred on foreign currency hedging derivatives (see Note 17 for further details).</w:t>
      </w:r>
    </w:p>
    <w:p>
      <w:pPr>
        <w:pStyle w:val="TextBody"/>
        <w:bidi w:val="0"/>
        <w:spacing w:lineRule="auto" w:line="288" w:before="60" w:after="283"/>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 xml:space="preserve">Included in this amount is $0.2 million of loss related to BCS security transactions during the nine months ended September 30, 2025. Included in this amount is $0.6 million of loss on assets held for sale for the three and nine months ended September 30, 2026.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 Earnings (Loss) Per Share</w:t>
      </w:r>
    </w:p>
    <w:p>
      <w:pPr>
        <w:pStyle w:val="TextBody"/>
        <w:bidi w:val="0"/>
        <w:spacing w:before="0" w:after="0"/>
        <w:jc w:val="left"/>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Earnings (loss) per share was calculated as follows:</w:t>
      </w:r>
    </w:p>
    <w:tbl>
      <w:tblPr>
        <w:tblW w:w="10205" w:type="dxa"/>
        <w:jc w:val="left"/>
        <w:tblInd w:w="0" w:type="dxa"/>
        <w:tblLayout w:type="fixed"/>
        <w:tblCellMar>
          <w:top w:w="28" w:type="dxa"/>
          <w:left w:w="28" w:type="dxa"/>
          <w:bottom w:w="28" w:type="dxa"/>
          <w:right w:w="28" w:type="dxa"/>
        </w:tblCellMar>
      </w:tblPr>
      <w:tblGrid>
        <w:gridCol w:w="1901"/>
        <w:gridCol w:w="1461"/>
        <w:gridCol w:w="1466"/>
        <w:gridCol w:w="238"/>
        <w:gridCol w:w="642"/>
        <w:gridCol w:w="123"/>
        <w:gridCol w:w="123"/>
        <w:gridCol w:w="123"/>
        <w:gridCol w:w="123"/>
        <w:gridCol w:w="238"/>
        <w:gridCol w:w="761"/>
        <w:gridCol w:w="123"/>
        <w:gridCol w:w="109"/>
        <w:gridCol w:w="109"/>
        <w:gridCol w:w="109"/>
        <w:gridCol w:w="218"/>
        <w:gridCol w:w="697"/>
        <w:gridCol w:w="113"/>
        <w:gridCol w:w="113"/>
        <w:gridCol w:w="113"/>
        <w:gridCol w:w="113"/>
        <w:gridCol w:w="218"/>
        <w:gridCol w:w="806"/>
        <w:gridCol w:w="165"/>
      </w:tblGrid>
      <w:tr>
        <w:tc>
          <w:tcPr>
            <w:tcW w:w="190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4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per-share amounts)</w:t>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88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12,904 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loss per share </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for basic</w:t>
            </w:r>
          </w:p>
        </w:tc>
        <w:tc>
          <w:tcPr>
            <w:tcW w:w="8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12,904 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performance stock awards and stock options</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on a diluted basis</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loss per share </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number of stock options, shares of restricted stock and shares of performance stock were excluded from the computation of diluted loss per common share as their inclusion would have been anti-dilutive: </w:t>
      </w:r>
    </w:p>
    <w:tbl>
      <w:tblPr>
        <w:tblW w:w="7849" w:type="dxa"/>
        <w:jc w:val="left"/>
        <w:tblInd w:w="0" w:type="dxa"/>
        <w:tblLayout w:type="fixed"/>
        <w:tblCellMar>
          <w:top w:w="28" w:type="dxa"/>
          <w:left w:w="28" w:type="dxa"/>
          <w:bottom w:w="28" w:type="dxa"/>
          <w:right w:w="28" w:type="dxa"/>
        </w:tblCellMar>
      </w:tblPr>
      <w:tblGrid>
        <w:gridCol w:w="797"/>
        <w:gridCol w:w="703"/>
        <w:gridCol w:w="704"/>
        <w:gridCol w:w="298"/>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c>
          <w:tcPr>
            <w:tcW w:w="797"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w:t>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w:t>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17 — Derivatives</w:t>
      </w:r>
    </w:p>
    <w:p>
      <w:pPr>
        <w:pStyle w:val="TextBody"/>
        <w:bidi w:val="0"/>
        <w:spacing w:before="0" w:after="0"/>
        <w:jc w:val="left"/>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total net fair value of derivatives:</w:t>
      </w:r>
    </w:p>
    <w:tbl>
      <w:tblPr>
        <w:tblW w:w="10205" w:type="dxa"/>
        <w:jc w:val="center"/>
        <w:tblInd w:w="0" w:type="dxa"/>
        <w:tblLayout w:type="fixed"/>
        <w:tblCellMar>
          <w:top w:w="28" w:type="dxa"/>
          <w:left w:w="28" w:type="dxa"/>
          <w:bottom w:w="28" w:type="dxa"/>
          <w:right w:w="28" w:type="dxa"/>
        </w:tblCellMar>
      </w:tblPr>
      <w:tblGrid>
        <w:gridCol w:w="559"/>
        <w:gridCol w:w="454"/>
        <w:gridCol w:w="455"/>
        <w:gridCol w:w="109"/>
        <w:gridCol w:w="109"/>
        <w:gridCol w:w="109"/>
        <w:gridCol w:w="211"/>
        <w:gridCol w:w="406"/>
        <w:gridCol w:w="109"/>
        <w:gridCol w:w="109"/>
        <w:gridCol w:w="109"/>
        <w:gridCol w:w="109"/>
        <w:gridCol w:w="211"/>
        <w:gridCol w:w="391"/>
        <w:gridCol w:w="109"/>
        <w:gridCol w:w="109"/>
        <w:gridCol w:w="109"/>
        <w:gridCol w:w="109"/>
        <w:gridCol w:w="211"/>
        <w:gridCol w:w="406"/>
        <w:gridCol w:w="109"/>
        <w:gridCol w:w="109"/>
        <w:gridCol w:w="109"/>
        <w:gridCol w:w="109"/>
        <w:gridCol w:w="236"/>
        <w:gridCol w:w="444"/>
        <w:gridCol w:w="122"/>
        <w:gridCol w:w="109"/>
        <w:gridCol w:w="109"/>
        <w:gridCol w:w="109"/>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32"/>
        <w:gridCol w:w="512"/>
        <w:gridCol w:w="174"/>
      </w:tblGrid>
      <w:tr>
        <w:tc>
          <w:tcPr>
            <w:tcW w:w="55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 Using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Balance</w:t>
            </w:r>
          </w:p>
        </w:tc>
      </w:tr>
      <w:t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pPr>
            <w:r/>
          </w:p>
        </w:tc>
      </w:tr>
      <w:t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held foreign currency exchange contracts, which resulted in a net pre-tax gain of $15.0 thousand and net pre-tax loss $0.2 million for the three months ended September 30, 2026, and 2025, respectively.</w:t>
      </w:r>
    </w:p>
    <w:p>
      <w:pPr>
        <w:pStyle w:val="TextBody"/>
        <w:bidi w:val="0"/>
        <w:spacing w:before="0" w:after="0"/>
        <w:jc w:val="both"/>
      </w:p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Details of foreign currency exchange contracts held were as follows: </w:t>
      </w:r>
    </w:p>
    <w:tbl>
      <w:tblPr>
        <w:tblW w:w="10205" w:type="dxa"/>
        <w:jc w:val="left"/>
        <w:tblInd w:w="0" w:type="dxa"/>
        <w:tblLayout w:type="fixed"/>
        <w:tblCellMar>
          <w:top w:w="28" w:type="dxa"/>
          <w:left w:w="28" w:type="dxa"/>
          <w:bottom w:w="28" w:type="dxa"/>
          <w:right w:w="28" w:type="dxa"/>
        </w:tblCellMar>
      </w:tblPr>
      <w:tblGrid>
        <w:gridCol w:w="445"/>
        <w:gridCol w:w="392"/>
        <w:gridCol w:w="401"/>
        <w:gridCol w:w="109"/>
        <w:gridCol w:w="109"/>
        <w:gridCol w:w="109"/>
        <w:gridCol w:w="281"/>
        <w:gridCol w:w="281"/>
        <w:gridCol w:w="283"/>
        <w:gridCol w:w="109"/>
        <w:gridCol w:w="109"/>
        <w:gridCol w:w="109"/>
        <w:gridCol w:w="274"/>
        <w:gridCol w:w="274"/>
        <w:gridCol w:w="275"/>
        <w:gridCol w:w="109"/>
        <w:gridCol w:w="109"/>
        <w:gridCol w:w="109"/>
        <w:gridCol w:w="243"/>
        <w:gridCol w:w="589"/>
        <w:gridCol w:w="125"/>
        <w:gridCol w:w="109"/>
        <w:gridCol w:w="109"/>
        <w:gridCol w:w="109"/>
        <w:gridCol w:w="379"/>
        <w:gridCol w:w="354"/>
        <w:gridCol w:w="295"/>
        <w:gridCol w:w="109"/>
        <w:gridCol w:w="109"/>
        <w:gridCol w:w="109"/>
        <w:gridCol w:w="591"/>
        <w:gridCol w:w="1307"/>
        <w:gridCol w:w="307"/>
        <w:gridCol w:w="109"/>
        <w:gridCol w:w="109"/>
        <w:gridCol w:w="109"/>
        <w:gridCol w:w="332"/>
        <w:gridCol w:w="332"/>
        <w:gridCol w:w="483"/>
      </w:tblGrid>
      <w:t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b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Forward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Unrealized Gain/(Loss) Recorded at September 30, 2026 </w:t>
            </w:r>
          </w:p>
          <w:p>
            <w:pPr>
              <w:pStyle w:val="TableContents"/>
              <w:bidi w:val="0"/>
              <w:spacing w:lineRule="auto" w:line="240" w:before="0" w:after="0"/>
              <w:jc w:val="center"/>
            </w:pPr>
            <w:r>
              <w:rPr>
                <w:rFonts w:ascii="Times New Roman;serif" w:hAnsi="Times New Roman;serif"/>
                <w:b/>
                <w:color w:val="000000"/>
                <w:sz w:val="16"/>
              </w:rPr>
              <w:t>(in thousands)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Settlement Date</w:t>
            </w:r>
          </w:p>
        </w:tc>
      </w:tr>
      <w:tr>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6.6924 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29, 2026</w:t>
            </w:r>
          </w:p>
        </w:tc>
      </w:tr>
      <w:t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29, 2026</w:t>
            </w:r>
          </w:p>
        </w:tc>
      </w:tr>
      <w:tr>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6.9884 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USD/EUR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1.8110 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29, 2026</w:t>
            </w:r>
          </w:p>
        </w:tc>
      </w:tr>
      <w:tr>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Unrealized gains on foreign currency exchange contracts are recorded in other current assets. Unrealized losses on foreign currency exchange contracts are recorded in other accrued liabilities.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18 — Reportable Segment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chief operating decision maker, our chief executive officer, reviews financial information presented on a consolidated basis, including consolidated net income and its components, as reported on our consolidated statements of operations, accompanied by disaggregated information about revenues, for purposes of making operating decisions and assessing financial performance of our single consolidated segment, primarily by monitoring actual results versus our internal budget and forecasts. </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reported segment revenue, segment profit or loss, and significant segment expenses were as follows:</w:t>
      </w:r>
    </w:p>
    <w:p>
      <w:pPr>
        <w:pStyle w:val="TextBody"/>
        <w:bidi w:val="0"/>
        <w:spacing w:before="0" w:after="0"/>
        <w:jc w:val="left"/>
      </w:pPr>
      <w:r/>
    </w:p>
    <w:tbl>
      <w:tblPr>
        <w:tblW w:w="9976" w:type="dxa"/>
        <w:jc w:val="left"/>
        <w:tblInd w:w="0" w:type="dxa"/>
        <w:tblLayout w:type="fixed"/>
        <w:tblCellMar>
          <w:top w:w="28" w:type="dxa"/>
          <w:left w:w="28" w:type="dxa"/>
          <w:bottom w:w="28" w:type="dxa"/>
          <w:right w:w="28" w:type="dxa"/>
        </w:tblCellMar>
      </w:tblPr>
      <w:tblGrid>
        <w:gridCol w:w="1553"/>
        <w:gridCol w:w="1370"/>
        <w:gridCol w:w="1381"/>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c>
          <w:tcPr>
            <w:tcW w:w="1553"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val="false"/>
                <w:color w:val="000000"/>
                <w:sz w:val="20"/>
              </w:rPr>
              <w:t xml:space="preserve">Adjusted cost of sales </w:t>
            </w:r>
            <w:r>
              <w:rPr>
                <w:rFonts w:ascii="Times New Roman;serif" w:hAnsi="Times New Roman;serif"/>
                <w:b w:val="false"/>
                <w:color w:val="000000"/>
                <w:sz w:val="13"/>
              </w:rPr>
              <w:t>(1)</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val="false"/>
                <w:color w:val="000000"/>
                <w:sz w:val="20"/>
              </w:rPr>
              <w:t xml:space="preserve">Adjusted research and development expenses </w:t>
            </w:r>
            <w:r>
              <w:rPr>
                <w:rFonts w:ascii="Times New Roman;serif" w:hAnsi="Times New Roman;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val="false"/>
                <w:color w:val="000000"/>
                <w:sz w:val="20"/>
              </w:rPr>
              <w:t xml:space="preserve">Adjusted operating expenses </w:t>
            </w:r>
            <w:r>
              <w:rPr>
                <w:rFonts w:ascii="Times New Roman;serif" w:hAnsi="Times New Roman;serif"/>
                <w:b w:val="false"/>
                <w:color w:val="000000"/>
                <w:sz w:val="13"/>
              </w:rPr>
              <w:t>(3)</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color w:val="000000"/>
              </w:rPr>
              <w:t>     </w:t>
            </w: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(4)</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(17,515)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Cost of sales from the consolidated statements of operations, adjusted to exclude stock-based compensation and impairment expenses.</w:t>
      </w:r>
    </w:p>
    <w:p>
      <w:pPr>
        <w:pStyle w:val="TextBody"/>
        <w:bidi w:val="0"/>
        <w:spacing w:lineRule="auto" w:line="288" w:before="60" w:after="283"/>
        <w:ind w:left="0" w:right="0" w:hanging="360"/>
        <w:jc w:val="both"/>
      </w:pPr>
      <w:r>
        <w:rPr>
          <w:rFonts w:ascii="Times New Roman;serif" w:hAnsi="Times New Roman;serif"/>
          <w:b w:val="false"/>
          <w:color w:val="000000"/>
          <w:sz w:val="13"/>
        </w:rPr>
        <w:t>(2)</w:t>
      </w:r>
      <w:r>
        <w:rPr>
          <w:rFonts w:ascii="Times New Roman;serif" w:hAnsi="Times New Roman;serif"/>
          <w:b w:val="false"/>
          <w:color w:val="000000"/>
          <w:sz w:val="20"/>
        </w:rPr>
        <w:t>R&amp;D expenses from the consolidated statements of operations, adjusted to exclude stock-based compensation expense.</w:t>
      </w:r>
    </w:p>
    <w:p>
      <w:pPr>
        <w:pStyle w:val="TextBody"/>
        <w:bidi w:val="0"/>
        <w:spacing w:lineRule="auto" w:line="288" w:before="60" w:after="283"/>
        <w:ind w:left="0" w:right="0" w:hanging="360"/>
        <w:jc w:val="both"/>
      </w:pPr>
      <w:r>
        <w:rPr>
          <w:rFonts w:ascii="Times New Roman;serif" w:hAnsi="Times New Roman;serif"/>
          <w:b w:val="false"/>
          <w:color w:val="000000"/>
          <w:sz w:val="13"/>
        </w:rPr>
        <w:t>(3)</w:t>
      </w:r>
      <w:r>
        <w:rPr>
          <w:rFonts w:ascii="Times New Roman;serif" w:hAnsi="Times New Roman;serif"/>
          <w:b w:val="false"/>
          <w:color w:val="000000"/>
          <w:sz w:val="20"/>
        </w:rPr>
        <w:t>Operating expenses less R&amp;D expenses from the consolidated statements of operations, adjusted to exclude stock-based compensation, amortization of acquired intangible assets, factory restructuring charges, severance, lease abandonment costs and costs associated with our litigation settlement costs.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UNIVERSAL ELECTRONICS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60" w:after="283"/>
        <w:ind w:left="0" w:right="0" w:hanging="360"/>
        <w:jc w:val="both"/>
      </w:pPr>
      <w:r>
        <w:rPr>
          <w:rFonts w:ascii="Times New Roman;serif" w:hAnsi="Times New Roman;serif"/>
          <w:b w:val="false"/>
          <w:color w:val="000000"/>
          <w:sz w:val="13"/>
        </w:rPr>
        <w:t>(4)</w:t>
      </w:r>
      <w:r>
        <w:rPr>
          <w:rFonts w:ascii="Times New Roman;serif" w:hAnsi="Times New Roman;serif"/>
          <w:b w:val="false"/>
          <w:color w:val="000000"/>
          <w:sz w:val="20"/>
        </w:rPr>
        <w:t>Other segment items include the adjustments described in the notes above; as well as interest income (expense), net; other income (expense), net; and provision for income taxes.</w:t>
      </w:r>
    </w:p>
    <w:p>
      <w:pPr>
        <w:pStyle w:val="TextBody"/>
        <w:bidi w:val="0"/>
        <w:spacing w:before="60" w:after="283"/>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 of segment assets is reported on our consolidated balance sheets as consolidated total assets. Long-lived assets by geographic areas are disclosed in Note 5. The measure of revenues from external customers is reported on the consolidated statements of operations as net sales. Revenues by sales channel, geographic region and information about major customers are disclosed in Note 3. Depreciation expense is disclosed in Note 5. Amortization expense is disclosed in Note 6. Interest expense is disclosed in Note 8 and income taxes are disclosed in Note 9.</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19 — Long-Lived Assets Classified as Held For Sale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re-acquired $1.2 million of certain manufacturing equipment within Mexico previously sold in December 2025 following an amendment to the original sales agreement under which legal title was returned to the Company and all payment obligations were waived. At September 30, 2026, the remaining balance of this manufacturing equipment held for sale was $0.1 million.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20 — Dividend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Special Cash Dividend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Board of Directors authorized and approved a special, one-time cash dividend payable in an amount equal to $0.24 per share to all holders of shares of the Company’s common stock. The special dividend of $3.1 million was paid on October 15, 2026 to the Company’s stockholders of record on August 24, 2026. At September 30, 2026, $3.2 million was accrued at Other Accrued Liabilities, including a $0.1 million accrual in connection with outstanding time-based and performance-based restricted stock unit awards.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21 — Subsequent Event</w:t>
      </w:r>
    </w:p>
    <w:p>
      <w:pPr>
        <w:pStyle w:val="TextBody"/>
        <w:bidi w:val="0"/>
        <w:spacing w:before="0" w:after="0"/>
        <w:jc w:val="left"/>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Brazil Operations Closure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the Company’s Board of Directors approved a plan to close the Company’s manufacturing operations in Brazil as part of the Company’s ongoing efforts to optimize its global manufacturing footprint and cost structure. The Company expects the wind-down of the Brazil operations to be substantially completed during the first quarter of 2027.</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currently estimates that it will incur approximately $4.2 million to $5.0 million in costs associated with the closure, primarily consisting of potential asset impairment, employee severance and other facility closure costs. These costs are expected to be recognized in future periods as the applicable recognition criteria are met. The ultimate amount and timing of the charges may differ from the Company’s current estimates.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the Consolidated Financial Statements and the related notes that appear elsewhere in this report.</w:t>
      </w:r>
    </w:p>
    <w:p>
      <w:pPr>
        <w:pStyle w:val="TextBody"/>
        <w:bidi w:val="0"/>
        <w:spacing w:before="0" w:after="0"/>
        <w:jc w:val="both"/>
      </w:p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Cautionary Statement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statements in this report are made as of the date this Quarterly Report on Form 10-Q is filed with the U.S. Securities and Exchange Commission (the "SEC"). We undertake no obligation to publicly update or revise these statements, whether as a result of new information, future events or otherwise. We make forward-looking statements in Management's Discussion and Analysis of Financial Condition and Results of Operations and elsewhere in this report based on the beliefs and assumptions of our management and on information available to us through the date this Quarterly Report on Form 10-Q is filed with the SEC. Forward-looking statements include: supply chain issues; customer demand for our products and solutions; expectations with respect to the markets in which we operate, including for specific geographic markets; other future demand and recovery trends and expectations; the delay by or failure of our customers to order products from us; expectations related to the shut down of our Mexico manufacturing facility and our operations in Brazil, including related costs and timing; expected benefits of our restructuring and cost-reduction activities; continued availability of cash through borrowing under our revolving lines of credit; risks related to interest rates and foreign currency exchange rates; expectations with respect to tariff recovery, including related refunds to customers; the effects of doing business internationally, including expanded use of tariffs, pertaining to the importation of our products, particularly in light of the recent U.S. presidential administrative actions and the responsive retaliatory actions of foreign governments; our expectations regarding our ability to meet our liquidity requirements; our capital expenditures and other investment spending expectations; our expectations with respect to the impact of changes in tax laws; and other statements that are preceded by, followed by, or include the words "believes," "expects," "anticipates," "intends," "plans," "estimates," "foresees," or similar expressions; and similar statements concerning anticipated future events and expectations that are not historical facts.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caution you that these statements are not guarantees of future performance and are subject to numerous evolving risks and uncertainties that we may not be able to accurately predict or assess, including the risks and uncertainties we describe in our Annual Report on Form 10-K for the fiscal year ended December 31, 2025 (the "2025 Form 10-K"), Part II, Item 1A of this Quarterly Report on Form 10-Q, and other factors we describe from time to time in our periodic filings with the SEC.</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design, develop, manufacture, ship and support climate control solutions, wireless sensor and smart home control products, home entertainment control products, technology and software solutions and audio-video ("AV") accessories, that are used by the world's leading brands in the climate control, security, home automation, home appliance, home entertainment and consumer electronics markets. Our channel offerings include:</w:t>
      </w:r>
    </w:p>
    <w:p>
      <w:pPr>
        <w:pStyle w:val="TextBody"/>
        <w:bidi w:val="0"/>
        <w:spacing w:before="0" w:after="0"/>
        <w:jc w:val="left"/>
      </w:p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Connected home:</w:t>
      </w:r>
    </w:p>
    <w:p>
      <w:pPr>
        <w:pStyle w:val="TextBody"/>
        <w:bidi w:val="0"/>
        <w:spacing w:lineRule="auto" w:line="288" w:before="0" w:after="60"/>
        <w:ind w:left="0" w:right="0" w:hanging="360"/>
        <w:jc w:val="both"/>
      </w:pPr>
      <w:r>
        <w:rPr>
          <w:color w:val="000000"/>
        </w:rPr>
        <w:t>•</w:t>
      </w:r>
      <w:r>
        <w:rPr>
          <w:rFonts w:ascii="Times New Roman;serif" w:hAnsi="Times New Roman;serif"/>
          <w:b/>
          <w:color w:val="000000"/>
          <w:sz w:val="20"/>
        </w:rPr>
        <w:t>Climate Control Solutions:</w:t>
      </w:r>
      <w:r>
        <w:rPr>
          <w:color w:val="000000"/>
        </w:rPr>
        <w:t xml:space="preserve"> </w:t>
      </w:r>
      <w:r>
        <w:rPr>
          <w:rFonts w:ascii="Times New Roman;serif" w:hAnsi="Times New Roman;serif"/>
          <w:b w:val="false"/>
          <w:color w:val="000000"/>
          <w:sz w:val="20"/>
        </w:rPr>
        <w:t>Our innovative climate control solutions include wireless and wired controllers, smart thermostats and connected peripherals for sensing and smart energy management. These products are primarily sold to original equipment manufacturer ("OEM") customers, as well as hotels, utilities and system integrators. Our UEI TIDE Family of Climate Control solutions feature advanced technologies such as Wi-Fi, BLE, Zigbee and Matter, and connect to sensors for temperature, humidity, proximity, occupancy and carbon dioxide sensing.</w:t>
      </w:r>
    </w:p>
    <w:p>
      <w:pPr>
        <w:pStyle w:val="TextBody"/>
        <w:bidi w:val="0"/>
        <w:spacing w:lineRule="auto" w:line="288" w:before="0" w:after="0"/>
        <w:ind w:left="0" w:right="0" w:hanging="360"/>
        <w:jc w:val="both"/>
      </w:pPr>
      <w:r>
        <w:rPr>
          <w:color w:val="000000"/>
        </w:rPr>
        <w:t>•</w:t>
      </w:r>
      <w:r>
        <w:rPr>
          <w:rFonts w:ascii="Times New Roman;serif" w:hAnsi="Times New Roman;serif"/>
          <w:b/>
          <w:color w:val="000000"/>
          <w:sz w:val="20"/>
        </w:rPr>
        <w:t>Smart Home and Security Products:</w:t>
      </w:r>
      <w:r>
        <w:rPr>
          <w:color w:val="000000"/>
        </w:rPr>
        <w:t xml:space="preserve"> </w:t>
      </w:r>
      <w:r>
        <w:rPr>
          <w:rFonts w:ascii="Times New Roman;serif" w:hAnsi="Times New Roman;serif"/>
          <w:b w:val="false"/>
          <w:color w:val="000000"/>
          <w:sz w:val="20"/>
        </w:rPr>
        <w:t xml:space="preserve">We offer proprietary and standards-based radio frequency ("RF") wireless remote controls and sensors designed for residential security, safety and a broad variety of home automation applications, such as smart lighting and motorized shades. </w:t>
      </w:r>
    </w:p>
    <w:p>
      <w:pPr>
        <w:pStyle w:val="TextBody"/>
        <w:bidi w:val="0"/>
        <w:spacing w:before="0" w:after="0"/>
        <w:jc w:val="both"/>
      </w:p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Home entertainment:</w:t>
      </w:r>
    </w:p>
    <w:p>
      <w:pPr>
        <w:pStyle w:val="TextBody"/>
        <w:bidi w:val="0"/>
        <w:spacing w:lineRule="auto" w:line="288" w:before="0" w:after="60"/>
        <w:ind w:left="0" w:right="0" w:hanging="360"/>
        <w:jc w:val="both"/>
      </w:pPr>
      <w:r>
        <w:rPr>
          <w:color w:val="000000"/>
        </w:rPr>
        <w:t>•</w:t>
      </w:r>
      <w:r>
        <w:rPr>
          <w:rFonts w:ascii="Times New Roman;serif" w:hAnsi="Times New Roman;serif"/>
          <w:b/>
          <w:color w:val="000000"/>
          <w:sz w:val="20"/>
        </w:rPr>
        <w:t>Home Entertainment Products:</w:t>
      </w:r>
      <w:r>
        <w:rPr>
          <w:color w:val="000000"/>
        </w:rPr>
        <w:t xml:space="preserve"> </w:t>
      </w:r>
      <w:r>
        <w:rPr>
          <w:rFonts w:ascii="Times New Roman;serif" w:hAnsi="Times New Roman;serif"/>
          <w:b w:val="false"/>
          <w:color w:val="000000"/>
          <w:sz w:val="20"/>
        </w:rPr>
        <w:t>Our industry-leading portfolio includes RF-capable, voice-enabled universal remote control products; low-power RF and energy-harvesting microcontrollers, as well as embedded and Cloud software for AV and Smart Home device and content discovery and control. These solutions are sold primarily to video service providers and consumer electronics OEMs. We also distribute a broad portfolio of replacement remote controls, powerful free-to-air antennae and television and soundbar wall mounts direct to retailers worldwide under the One For All brand.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60"/>
        <w:ind w:left="0" w:right="0" w:hanging="360"/>
        <w:jc w:val="both"/>
      </w:pPr>
      <w:r>
        <w:rPr>
          <w:color w:val="000000"/>
        </w:rPr>
        <w:t>•</w:t>
      </w:r>
      <w:r>
        <w:rPr>
          <w:rFonts w:ascii="Times New Roman;serif" w:hAnsi="Times New Roman;serif"/>
          <w:b/>
          <w:color w:val="000000"/>
          <w:sz w:val="20"/>
        </w:rPr>
        <w:t>Software and Cloud Services:</w:t>
      </w:r>
      <w:r>
        <w:rPr>
          <w:color w:val="000000"/>
        </w:rPr>
        <w:t xml:space="preserve"> </w:t>
      </w:r>
      <w:r>
        <w:rPr>
          <w:rFonts w:ascii="Times New Roman;serif" w:hAnsi="Times New Roman;serif"/>
          <w:b w:val="false"/>
          <w:color w:val="000000"/>
          <w:sz w:val="20"/>
        </w:rPr>
        <w:t>Our software, firmware and technology solutions enable devices such as smart TVs, hybrid set-top boxes, game consoles and other consumer electronic and smart home devices to wirelessly connect and interoperate on the home network. These solutions support control and delivery of home entertainment application services and content, smart home services and device or system information. New features include private, on-premise user presence and occupancy detection to enhance user experiences and extend user engagement on connected devices.</w:t>
      </w:r>
    </w:p>
    <w:p>
      <w:pPr>
        <w:pStyle w:val="TextBody"/>
        <w:bidi w:val="0"/>
        <w:spacing w:lineRule="auto" w:line="288" w:before="0" w:after="0"/>
        <w:ind w:left="0" w:right="0" w:hanging="360"/>
        <w:jc w:val="both"/>
      </w:pPr>
      <w:r>
        <w:rPr>
          <w:color w:val="000000"/>
        </w:rPr>
        <w:t>•</w:t>
      </w:r>
      <w:r>
        <w:rPr>
          <w:rFonts w:ascii="Times New Roman;serif" w:hAnsi="Times New Roman;serif"/>
          <w:b/>
          <w:color w:val="000000"/>
          <w:sz w:val="20"/>
        </w:rPr>
        <w:t>Intellectual Property and Licensing:</w:t>
      </w:r>
      <w:r>
        <w:rPr>
          <w:color w:val="000000"/>
        </w:rPr>
        <w:t xml:space="preserve"> </w:t>
      </w:r>
      <w:r>
        <w:rPr>
          <w:rFonts w:ascii="Times New Roman;serif" w:hAnsi="Times New Roman;serif"/>
          <w:b w:val="false"/>
          <w:color w:val="000000"/>
          <w:sz w:val="20"/>
        </w:rPr>
        <w:t>We license our intellectual property primarily to OEMs and video service providers. Our cloud-enabled software provides reliable firmware update provisioning and digital rights management validation services to major consumer electronics brands. We offer regular control library database and software updates to our licensing customers to ensure their systems are compatible with the latest devices entering the home. Our integrated circuits, on which our software and universal control database is embedded, are sold primarily to OEMs, video service providers, smart home dealers and private label customers.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operate as one business segment. We have one domestic subsidiary and 22 international subsidiaries located in Brazil, France, Germany, Hong Kong (3), India, Italy, Japan, Korea, Mexico (2), the Netherlands, the People's Republic of China (the "PRC") (5), Singapore, Spain, United Kingdom and Vietnam.</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 recap our results for the three months ended September 30, 2026: </w:t>
      </w:r>
    </w:p>
    <w:p>
      <w:pPr>
        <w:pStyle w:val="TextBody"/>
        <w:bidi w:val="0"/>
        <w:spacing w:before="0" w:after="0"/>
        <w:jc w:val="both"/>
      </w:pPr>
      <w:r/>
    </w:p>
    <w:p>
      <w:pPr>
        <w:pStyle w:val="TextBody"/>
        <w:bidi w:val="0"/>
        <w:spacing w:lineRule="auto" w:line="288" w:before="0" w:after="0"/>
        <w:ind w:left="0" w:right="0" w:hanging="360"/>
        <w:jc w:val="both"/>
      </w:pPr>
      <w:r>
        <w:rPr>
          <w:color w:val="000000"/>
        </w:rPr>
        <w:t>•</w:t>
      </w:r>
      <w:r>
        <w:rPr>
          <w:rFonts w:ascii="Times New Roman;serif" w:hAnsi="Times New Roman;serif"/>
          <w:b w:val="false"/>
          <w:color w:val="000000"/>
          <w:sz w:val="20"/>
        </w:rPr>
        <w:t>Net sales decreased 1.2% to $89.4 million for the three months ended September 30, 2026 from $90.6 million for the three months ended September 30, 2025.</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gross margin percentage decreased to 26.3% for the three months ended September 30, 2026 from 27.7% for the three months ended September 30, 2025.</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Operating expenses, as a percentage of net sales, decreased to 23.1% for the three months ended September 30, 2026 from 32.7% for the three months ended September 30, 2025.</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Our operating income was $2.9 million for the three months ended September 30, 2026 compared to operating loss of $4.5 million for the three months ended September 30, 2025. Our operating income percentage was 3.2% for the three months ended September 30, 2026 compared to our operating loss percentage of (5.0)% for the three months ended September 30, 2025.</w:t>
      </w:r>
    </w:p>
    <w:p>
      <w:pPr>
        <w:pStyle w:val="TextBody"/>
        <w:bidi w:val="0"/>
        <w:spacing w:lineRule="auto" w:line="288" w:before="60" w:after="283"/>
        <w:ind w:left="0" w:right="0" w:hanging="360"/>
        <w:jc w:val="both"/>
      </w:pPr>
      <w:r>
        <w:rPr>
          <w:color w:val="000000"/>
        </w:rPr>
        <w:t>•</w:t>
      </w:r>
      <w:r>
        <w:rPr>
          <w:rFonts w:ascii="Times New Roman;serif" w:hAnsi="Times New Roman;serif"/>
          <w:b w:val="false"/>
          <w:color w:val="000000"/>
          <w:sz w:val="20"/>
        </w:rPr>
        <w:t>Income tax expense was $1.4 million for the three months ended September 30, 2026 compared to $2.6 million for the three months ended September 30, 2025.</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Macroeconomic Conditions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negatively impacted and we expect to continue to be negatively impacted by adverse macroeconomic conditions, including tariffs imposed or to be imposed on goods manufactured in Vietnam, Taiwan, the PRC, and Mexico, and reduced consumer spending on durable goods. Economic tensions and changes in international trade policies, including widespread tariffs announced by the U.S. on its major trading partners, higher tariffs on imported goods, actions taken in response (such as retaliatory tariffs or other trade protectionist measures or the renegotiation of free trade agreements), could also further impact the global market for our products. The full impact of these governmental actions on macroeconomic conditions and on our business is uncertain and difficult to predict and may result in lower sales and/or cost increases, which would negatively impact our gross margins and overall financial results. Management will continue to seek ways to lessen the impact these pressures may have on our margins and financial results; however, these mitigation efforts may not be successful and these pressures may have a material adverse effect on our business.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Brazil Operations Closure</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the Company’s Board of Directors approved a plan to close the Company’s manufacturing operations in Brazil as part of the Company’s ongoing efforts to optimize its global manufacturing footprint and cost structure. The Company expects the wind-down of the Brazil operations to be substantially completed during the first quarter of 2027.</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estimates that it will incur approximately $4.2 million to $5.0 million in costs associated with the closure, primarily consisting of employee severance and other facility closure costs. These costs are expected to be recognized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future periods as the applicable recognition criteria are met. The ultimate amount and timing of the charges may differ from the Company’s current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inventory valuation and income taxes. Actual results may differ from these judgments and estimates, and they may be adjusted as more information becomes available. Any adjustment may be significant and may have a material impact on our consolidated financial statements.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accounting estimate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nine months ended September 30, 2026 to the items that we disclosed as our critical accounting policies and estimates in Item 7, "Management's Discussion and Analysis of Financial Condition and Results of Operations" contained in the 2025 Form 10-K.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1 contained in the "Notes to Consolidated Financial Statements" for a discussion of recent accounting pronouncements.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reported results of operations expressed as a percentage of net sales for the periods indicated.</w:t>
      </w:r>
    </w:p>
    <w:tbl>
      <w:tblPr>
        <w:tblW w:w="10205" w:type="dxa"/>
        <w:jc w:val="left"/>
        <w:tblInd w:w="0" w:type="dxa"/>
        <w:tblLayout w:type="fixed"/>
        <w:tblCellMar>
          <w:top w:w="28" w:type="dxa"/>
          <w:left w:w="28" w:type="dxa"/>
          <w:bottom w:w="28" w:type="dxa"/>
          <w:right w:w="28" w:type="dxa"/>
        </w:tblCellMar>
      </w:tblPr>
      <w:tblGrid>
        <w:gridCol w:w="1602"/>
        <w:gridCol w:w="1136"/>
        <w:gridCol w:w="1149"/>
        <w:gridCol w:w="308"/>
        <w:gridCol w:w="308"/>
        <w:gridCol w:w="549"/>
        <w:gridCol w:w="220"/>
        <w:gridCol w:w="220"/>
        <w:gridCol w:w="220"/>
        <w:gridCol w:w="308"/>
        <w:gridCol w:w="308"/>
        <w:gridCol w:w="549"/>
        <w:gridCol w:w="109"/>
        <w:gridCol w:w="109"/>
        <w:gridCol w:w="109"/>
        <w:gridCol w:w="308"/>
        <w:gridCol w:w="308"/>
        <w:gridCol w:w="523"/>
        <w:gridCol w:w="210"/>
        <w:gridCol w:w="210"/>
        <w:gridCol w:w="210"/>
        <w:gridCol w:w="308"/>
        <w:gridCol w:w="308"/>
        <w:gridCol w:w="616"/>
      </w:tblGrid>
      <w:tr>
        <w:tc>
          <w:tcPr>
            <w:tcW w:w="160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Factory restructuring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5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5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Three Months Ended September 30, 2026 versus Three Months Ended September 30, 2025</w:t>
      </w:r>
    </w:p>
    <w:p>
      <w:pPr>
        <w:pStyle w:val="TextBody"/>
        <w:bidi w:val="0"/>
        <w:spacing w:lineRule="auto" w:line="288" w:before="0" w:after="60"/>
        <w:jc w:val="both"/>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three months ended September 30, 2026 were $89.4 million compared to $90.6 million for the three months ended September 30, 2025. Net sales by channel were as follows:</w:t>
      </w:r>
    </w:p>
    <w:tbl>
      <w:tblPr>
        <w:tblW w:w="4496" w:type="dxa"/>
        <w:jc w:val="left"/>
        <w:tblInd w:w="0" w:type="dxa"/>
        <w:tblLayout w:type="fixed"/>
        <w:tblCellMar>
          <w:top w:w="28" w:type="dxa"/>
          <w:left w:w="28" w:type="dxa"/>
          <w:bottom w:w="28" w:type="dxa"/>
          <w:right w:w="28" w:type="dxa"/>
        </w:tblCellMar>
      </w:tblPr>
      <w:tblGrid>
        <w:gridCol w:w="640"/>
        <w:gridCol w:w="564"/>
        <w:gridCol w:w="565"/>
        <w:gridCol w:w="234"/>
        <w:gridCol w:w="802"/>
        <w:gridCol w:w="121"/>
        <w:gridCol w:w="121"/>
        <w:gridCol w:w="121"/>
        <w:gridCol w:w="121"/>
        <w:gridCol w:w="234"/>
        <w:gridCol w:w="802"/>
        <w:gridCol w:w="171"/>
      </w:tblGrid>
      <w:t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33,847 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90,552 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connected home were $33.8 million for the three months ended September 30, 2026 compared to $29.8 million for the three months ended September 30, 2025. This increase is driven primarily by stronger sales in the HVAC market and increased sales of recently launched thermostat products.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in home entertainment were $55.6 million for the three months ended September 30, 2026 compared to $60.8 million for the three months ended September 30, 2025. The decrease was driven primarily by lower demand for subscription broadcasting products, particularly basic remote controls with lower price points and limited or no advanced features. The decline was partially offset by improved performance in our retail sales compared with the prior-year period. </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three months ended September 30, 2026 was $23.6 million compared to $25.1 million for the three months ended September 30, 2025. Gross profit as a percentage of sales decreased to 26.3% for the three months ended September 30, 2026 from 27.7% for the three months ended September 30, 2025. The 140-basis-point decrease in gross margin was primarily driven by higher component costs due to market conditions and the unfavorable impact of a weaker U.S. dollar relative to the Chinese renminbi, which reduced gross margin by approximately 420 basis points and 170 basis points, respectively. These unfavorable impacts were partially offset by a favorable sales mix impact of approximately 140 basis points, approximately 170 basis points of lower labor and manufacturing costs resulting from productivity improvements and the closure of our Mexico manufacturing facility, and approximately 140 basis points from lower tariff rates.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 xml:space="preserve">Research and development ("R&amp;D") expenses. </w:t>
      </w:r>
      <w:r>
        <w:rPr>
          <w:rFonts w:ascii="Times New Roman;serif" w:hAnsi="Times New Roman;serif"/>
          <w:b w:val="false"/>
          <w:color w:val="000000"/>
          <w:sz w:val="20"/>
        </w:rPr>
        <w:t>R&amp;D expenses decreased to $4.3 million for the three months ended September 30, 2026 from $6.7 million for the three months ended September 30, 2025 attributable to reductions in payroll and related personnel expenses following headcount optimization actions.</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to $16.4 million for the three months ended September 30, 2026 from $22.1 million for the three months ended September 30, 2025. The prior-year period included a one-time charge of $1.3 million related to the abandonment of an office lease. Excluding this item, the decrease primarily reflected ongoing cost-reduction initiatives, including organizational rightsizing, which resulted in lower people-related expenses. People-related expenses decreased by $2.2 million, and severance costs associated with headcount reductions decreased by $1.5 million. Discretionary spending, including travel and professional fees, is also under continued cost-control measures, resulting in $0.7 million net savings.</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increased to $0.7 million for the three months ended September 30, 2026 from $0.2 million for the three months ended September 30, 2025. The increase was primarily attributable to $0.7 million of interest expense associated with the accounting for the sale of tariff claims. Interest expense associated with our line of credit was largely offset by interest income earned on higher cash balances resulting from our stronger cash flow position.</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was $1.1 million for the three months ended September 30, 2026 compared to other expense of $1.0 million for the three months ended September 30, 2025. Other expense, net for the 2026 period included a $0.6 million loss on the disposal of fixed assets and foreign currency losses incurred during the period.</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$1.4 million for the three months ended September 30, 2026, relative to a pre-tax income of $1.1 million, compared to income tax expense of $2.6 million for the three months ended September 30, 2025, relative to a pre-tax loss of $5.8 million. Consistent with 2025, we expect the U.S. to be in a pre-tax loss position without benefit for the full year 2026, resulting in an elevated effective tax rate. </w:t>
      </w:r>
    </w:p>
    <w:p>
      <w:pPr>
        <w:pStyle w:val="TextBody"/>
        <w:bidi w:val="0"/>
        <w:spacing w:before="0" w:after="0"/>
        <w:jc w:val="both"/>
      </w:p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Nine Months Ended September 30, 2026 versus Nine Months Ended September 30, 2025</w:t>
      </w:r>
    </w:p>
    <w:p>
      <w:pPr>
        <w:pStyle w:val="TextBody"/>
        <w:bidi w:val="0"/>
        <w:spacing w:before="0" w:after="0"/>
        <w:jc w:val="both"/>
      </w:pPr>
      <w:r/>
    </w:p>
    <w:tbl>
      <w:tblPr>
        <w:tblW w:w="4433" w:type="dxa"/>
        <w:jc w:val="left"/>
        <w:tblInd w:w="0" w:type="dxa"/>
        <w:tblLayout w:type="fixed"/>
        <w:tblCellMar>
          <w:top w:w="28" w:type="dxa"/>
          <w:left w:w="28" w:type="dxa"/>
          <w:bottom w:w="28" w:type="dxa"/>
          <w:right w:w="28" w:type="dxa"/>
        </w:tblCellMar>
      </w:tblPr>
      <w:tblGrid>
        <w:gridCol w:w="640"/>
        <w:gridCol w:w="564"/>
        <w:gridCol w:w="565"/>
        <w:gridCol w:w="211"/>
        <w:gridCol w:w="826"/>
        <w:gridCol w:w="109"/>
        <w:gridCol w:w="109"/>
        <w:gridCol w:w="109"/>
        <w:gridCol w:w="109"/>
        <w:gridCol w:w="211"/>
        <w:gridCol w:w="826"/>
        <w:gridCol w:w="154"/>
      </w:tblGrid>
      <w:t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Connected home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entertainment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 xml:space="preserve">Net sales. </w:t>
      </w:r>
      <w:r>
        <w:rPr>
          <w:rFonts w:ascii="Times New Roman;serif" w:hAnsi="Times New Roman;serif"/>
          <w:b w:val="false"/>
          <w:color w:val="000000"/>
          <w:sz w:val="20"/>
        </w:rPr>
        <w:t>Net sales for the nine months ended September 30, 2026 were $241.7 million compared to $280.5 million for the nine months ended September 30, 2025. Net sales by channel were as follows: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sales in connected home were $87.3 million for the nine months ended September 30, 2026 compared to $95.6 million for the nine months ended September 30, 2025. The decrease was primarily driven by lower demand from our larger connected home customers.</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in home entertainment were $154.4 million for the nine months ended September 30, 2026 compared to $184.9 million for the nine months ended September 30, 2025. The decrease was primarily driven by lower demand for subscription broadcasting products, particularly basic remote controls with lower price points and limited or no advanced features. Sales in our retail business remained essentially flat compared with the prior-year period. </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rPr>
        <w:t>Gross profit</w:t>
      </w:r>
      <w:r>
        <w:rPr>
          <w:rFonts w:ascii="Times New Roman;serif" w:hAnsi="Times New Roman;serif"/>
          <w:b w:val="false"/>
          <w:color w:val="000000"/>
          <w:sz w:val="20"/>
        </w:rPr>
        <w:t>. Gross profit for the nine months ended September 30, 2026 was $70.1 million compared to $80.4 million for the nine months ended September 30, 2025. Gross profit as a percentage of sales increased to 29.0% for the nine months ended September 30, 2026 from 28.7% for the nine months ended September 30, 2025. The improvement in gross margin was primarily driven by the sale of tariff claims and the associated mix impact, together with lower tariff rates, which collectively contributed approximately 260 basis points, and improved management of inbound freight costs, which contributed approximately 60 basis points. These favorable impacts were partially offset by higher component costs resulting from market conditions, and the impact of a weaker U.S. dollar relative to the Chinese Renminbi, which reduced gross margin by approximately 220 basis points and 100 basis points, respectively.</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 xml:space="preserve">Research and development ("R&amp;D") expenses. </w:t>
      </w:r>
      <w:r>
        <w:rPr>
          <w:rFonts w:ascii="Times New Roman;serif" w:hAnsi="Times New Roman;serif"/>
          <w:b w:val="false"/>
          <w:color w:val="000000"/>
          <w:sz w:val="20"/>
        </w:rPr>
        <w:t>R&amp;D expenses decreased to $14.1 million for the nine months ended September 30, 2026 from $20.9 million for the nine months ended September 30, 2025 attributable to reductions in payroll and related personnel expenses following headcount optimization actions.</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rPr>
        <w:t>Selling, general and administrative ("SG&amp;A") expenses.</w:t>
      </w:r>
      <w:r>
        <w:rPr>
          <w:color w:val="000000"/>
        </w:rPr>
        <w:t xml:space="preserve"> </w:t>
      </w:r>
      <w:r>
        <w:rPr>
          <w:rFonts w:ascii="Times New Roman;serif" w:hAnsi="Times New Roman;serif"/>
          <w:b w:val="false"/>
          <w:color w:val="000000"/>
          <w:sz w:val="20"/>
        </w:rPr>
        <w:t>SG&amp;A expenses decreased to $52.2 million for the nine months ended September 30, 2026 from $65.9 million for the nine months ended September 30, 2025. The prior-year period included a one-time charge of $1.3 million related to the abandonment of an office lease. Excluding this item, the decrease primarily reflected ongoing cost-reduction initiatives, including organizational rightsizing. People-related expenses decreased by $8.7 million, and severance costs associated with headcount reductions decreased by $0.9 million. The decrease also reflected $0.6 million in lower volume-driven expenses, consistent with the decline in sales volume, as well as $0.7 million in lower rental expense and $2.0 million in lower discretionary spending, including travel, professional fees and other expenses. These decreases were partially offset by a $0.5 million increase in the reserve for uncollectible accounts receivable.</w:t>
      </w:r>
    </w:p>
    <w:p>
      <w:pPr>
        <w:pStyle w:val="TextBody"/>
        <w:bidi w:val="0"/>
        <w:spacing w:before="0" w:after="0"/>
        <w:jc w:val="left"/>
      </w:pPr>
      <w:r/>
    </w:p>
    <w:p>
      <w:pPr>
        <w:pStyle w:val="TextBody"/>
        <w:bidi w:val="0"/>
        <w:spacing w:lineRule="auto" w:line="288" w:before="0" w:after="0"/>
        <w:jc w:val="both"/>
      </w:pPr>
      <w:r>
        <w:rPr>
          <w:rFonts w:ascii="Times New Roman;serif" w:hAnsi="Times New Roman;serif"/>
          <w:b w:val="false"/>
          <w:i/>
          <w:color w:val="000000"/>
          <w:sz w:val="20"/>
        </w:rPr>
        <w:t xml:space="preserve">Interest income (expense), net. </w:t>
      </w:r>
      <w:r>
        <w:rPr>
          <w:rFonts w:ascii="Times New Roman;serif" w:hAnsi="Times New Roman;serif"/>
          <w:b w:val="false"/>
          <w:color w:val="000000"/>
          <w:sz w:val="20"/>
        </w:rPr>
        <w:t>Interest expense, net decreased to $0.9 million for the nine months ended September 30, 2026 from $1.0 million for the nine months ended September 30, 2025. The 2026 period included $0.8 million of interest expense associated with the sale of tariff claims. This expense was more than offset by lower interest expense on our line of credit, primarily due to a lower average outstanding loan balance and lower interest rates.</w:t>
      </w:r>
    </w:p>
    <w:p>
      <w:pPr>
        <w:pStyle w:val="TextBody"/>
        <w:bidi w:val="0"/>
        <w:spacing w:before="0" w:after="0"/>
        <w:jc w:val="both"/>
      </w:pPr>
      <w:r/>
    </w:p>
    <w:p>
      <w:pPr>
        <w:pStyle w:val="TextBody"/>
        <w:bidi w:val="0"/>
        <w:spacing w:lineRule="auto" w:line="288" w:before="0" w:after="0"/>
        <w:jc w:val="left"/>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expense, net was $2.7 million for the nine months ended September 30, 2026 and for the nine months ended September 30, 2025. The 2026 period includes a $0.6 million increase in losses on the disposal of fixed assets and foreign currency losses incurred during the period.</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Income tax expense was $6.1 million for the nine months ended September 30, 2026, relative to a pre-tax income of $0.1 million, compared to income tax expense of $6.6 million for the nine months ended September 30, 2025, relative to a pre-tax loss of $10.9 million. Consistent with 2025, we expect the U.S. to be in a pre-tax loss position without benefit for the full year 2026, resulting in an elevated effective tax rate. </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of Cash</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we have utilized cash provided from operations as our primary source of liquidity, as internally generated cash flows have typically been sufficient to support our business operations, capital expenditures and discretionary share repurchases. When needed, we have utilized our revolving lines of credit to fund operations, share repurchases and acquisitions. We anticipate that we will continue to utilize both cash flows from operations and our revolving lines of credit to support ongoing business operations, capital expenditures, discretionary share repurchases and potential acquisitions. We believe our current cash balances, anticipated cash flow to be generated from operations and available borrowing resources will be sufficient to cover expected cash outlays for at least the next twelve months and for the foreseeable future thereafter; however, because our cash is located in various jurisdictions throughout the world, we may at times need to increase borrowing from our revolving lines of credit or take on additional debt until we are able to transfer cash among our various entities.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tbl>
      <w:tblPr>
        <w:tblW w:w="6010" w:type="dxa"/>
        <w:jc w:val="left"/>
        <w:tblInd w:w="0" w:type="dxa"/>
        <w:tblLayout w:type="fixed"/>
        <w:tblCellMar>
          <w:top w:w="28" w:type="dxa"/>
          <w:left w:w="28" w:type="dxa"/>
          <w:bottom w:w="28" w:type="dxa"/>
          <w:right w:w="28" w:type="dxa"/>
        </w:tblCellMar>
      </w:tblPr>
      <w:tblGrid>
        <w:gridCol w:w="937"/>
        <w:gridCol w:w="827"/>
        <w:gridCol w:w="830"/>
        <w:gridCol w:w="313"/>
        <w:gridCol w:w="1070"/>
        <w:gridCol w:w="161"/>
        <w:gridCol w:w="109"/>
        <w:gridCol w:w="109"/>
        <w:gridCol w:w="109"/>
        <w:gridCol w:w="300"/>
        <w:gridCol w:w="1026"/>
        <w:gridCol w:w="219"/>
      </w:tblGrid>
      <w:tr>
        <w:tc>
          <w:tcPr>
            <w:tcW w:w="93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 borrowing resources</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On September 30, 2026, we had $13.4 million, $6.7 million, $4.6 million, $4.5 million and $12.2 million of cash and cash equivalents in Europe, the PRC, South America, Asia (excluding the PRC), and North America, respectively. We attempt to mitigate our exposure to liquidity, credit and other relevant risks by placing our cash and cash equivalents with financial institutions we believe are high quality.</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cash balances are held in numerous locations throughout the world. The majority of our cash is held outside of the United States and may be repatriated to the United States but, under current law, may be subject to federal and state income taxes and foreign withholding taxes. Additionally, repatriation of some foreign balances is restricted by local laws. </w:t>
      </w:r>
    </w:p>
    <w:p>
      <w:pPr>
        <w:pStyle w:val="TextBody"/>
        <w:bidi w:val="0"/>
        <w:spacing w:before="0" w:after="0"/>
        <w:jc w:val="both"/>
      </w:pPr>
      <w:r/>
    </w:p>
    <w:p>
      <w:pPr>
        <w:pStyle w:val="TextBody"/>
        <w:bidi w:val="0"/>
        <w:spacing w:lineRule="auto" w:line="288" w:before="0" w:after="0"/>
        <w:ind w:left="0" w:right="0" w:firstLine="720"/>
        <w:jc w:val="left"/>
      </w:pPr>
      <w:r>
        <w:rPr>
          <w:rFonts w:ascii="Times New Roman;serif" w:hAnsi="Times New Roman;serif"/>
          <w:b w:val="false"/>
          <w:i/>
          <w:color w:val="000000"/>
          <w:sz w:val="20"/>
        </w:rPr>
        <w:t>Available Borrowing Resources</w:t>
      </w:r>
      <w:r>
        <w:rPr>
          <w:color w:val="000000"/>
        </w:rPr>
        <w:t xml:space="preserve"> – </w:t>
      </w:r>
      <w:r>
        <w:rPr>
          <w:rFonts w:ascii="Times New Roman;serif" w:hAnsi="Times New Roman;serif"/>
          <w:b w:val="false"/>
          <w:color w:val="000000"/>
          <w:sz w:val="20"/>
        </w:rPr>
        <w:t xml:space="preserve">Our Third Amended and Restated Credit Agreement ("Third Amended Credit Agreement") with U.S. Bank National Association ("U.S. Bank") provides for a revolving line of credit ("U.S. Credit Line") through September 30, 2027. The U.S. Credit Line may be used for working capital and other general corporate purposes including acquisitions, share repurchases and capital expenditures. </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Credit Line has a maximum availability of up to $60.0 million, subject to meeting certain financial conditions. Availability is based on "Borrowing Base", which is defined as 75% of accounts receivable aged less than 120 days following their invoice date, less reserves for doubtful accounts and returns. The Borrowing Base is calculated monthly. At September 30, 2026, the U.S. Credit Line total availability was $47.9 million. At November 4, 2026, the U.S. Credit Line total availability was $45.2 million.</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available for borrowing under the U.S. Credit Line are reduced by the balance of any outstanding letters of credit, of which there were $1.9 million at September 30, 2026 and $0.5 million at December 31, 2025. At September 30, 2026 and December 31, 2025, we had $0.0 million and $5.5 million outstanding under the U.S. Credit Line, respectively. At September 30, 2026, our remaining availability under our U.S. Credit Line was $46.0 million. On October 9, 2026, we entered into an additional letter of credit for $0.7 million.</w:t>
      </w:r>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subsidiary, Gemstar Technology (Yangzhou) Co. Ltd. ("GTY"), has a Line of Credit Agreement ("Line of Credit Agreement") with the Bank of China, which provides for a revolving line of credit ("China Credit Line" and, together with the U.S. Credit Line, "Credit Lines"). As a continuation of the agreement, on July 30, 2025, we executed an amendment to the Line of Credit Agreement, which extends the term of the China Credit Line to July 16, 2026. As a continuation of the agreement, on July 15, 2026, we executed an amendment to the Line of Credit Agreement, which extends the term of the China Credit Line to July 9, 2027. The China Credit Line may be used for working capital purposes.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At September 30, 2026, the China Credit Line had a maximum availability of up to RMB 130.0 million (approximately $19.4 million), subject to meeting certain financial conditions.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China Credit Line may be used for working capital purposes. Amounts available for borrowing under the China Credit Line are reduced by the balance of any outstanding letters of credit, of which there were none at September 30, 2026 and December 31, 2025. At September 30, 2026, we had an outstanding balance of RMB 130.0 million (approximately $19.4 million) on our China Credit Line and RMB 0.0 million (approximately $0.0 million) of availability under our China Credit Line.</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9, 2026, the Company entered into a Claim Sale and Purchase Agreement (the "Tariff Claim Agreement") with a third party financial institution ("Buyer") pursuant to which the Company agreed to sell, grant and convey to Buyer all of the Company’s and its affiliates’ claims, interests and causes of action, and all related rights, distributions, amounts, payments related thereto and other proceeds thereof, including without limitation any interest thereon and other amounts paid or reimbursed in relation thereto, directly arising from or relating to tariffs previously paid by the Company or its affiliates to Customs and Border Protection (“CBP”) in connection with tariffs originally invoked under the International Emergency Economics Powers Act (“IEEPA”), for which such tariffs were ruled unlawful by the United States Supreme Court on February 20, 2026 (the "Claims"), in consideration for a payment of approximately $7.6 million (the "Purchase Price"). The Purchase Price reflects a discount to the aggregate amount payable by CBP pursuant to the Claims as mutually agreed between the Company and Buyer and is subject to full or partial refund, together with interest, under certain circumstances in which the Claims may be impaired. The Company is subject to certain post-closing cooperation obligations with Buyer with respect to the Claims. The Company has received a total of $9.0 million, including interest, from CBP as of September 30, 2026.</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expected recovery of IEEPA tariffs, the Company evaluated its contractual and customary business practices with customers and concluded that a portion of the expected recovery is likely to be refunded to certain customers. These anticipated customer refunds represent consideration payable to customers under ASC 606, Revenue from Contracts with Customers, and therefore reduce the transaction price associated with the related customer contracts. Accordingly, the Company recorded an estimated liability of approximately $3.9 million as of June 30, 2026 for expected tariff refunds payable to customers, with a corresponding reduction of net sales in the period. As of September 30, 2026, the balance of this estimated liability is $3.1 million.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See Note 8 contained in the "Notes to Consolidated Financial Statements" for further information regarding our Credit Lines and monetization of Tariff Refund Claims.</w:t>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Sources and Uses of Cash</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cash flows were as follows:</w:t>
      </w:r>
    </w:p>
    <w:tbl>
      <w:tblPr>
        <w:tblW w:w="10205" w:type="dxa"/>
        <w:jc w:val="left"/>
        <w:tblInd w:w="0" w:type="dxa"/>
        <w:tblLayout w:type="fixed"/>
        <w:tblCellMar>
          <w:top w:w="28" w:type="dxa"/>
          <w:left w:w="28" w:type="dxa"/>
          <w:bottom w:w="28" w:type="dxa"/>
          <w:right w:w="28" w:type="dxa"/>
        </w:tblCellMar>
      </w:tblPr>
      <w:tblGrid>
        <w:gridCol w:w="1486"/>
        <w:gridCol w:w="1233"/>
        <w:gridCol w:w="1237"/>
        <w:gridCol w:w="451"/>
        <w:gridCol w:w="1543"/>
        <w:gridCol w:w="233"/>
        <w:gridCol w:w="109"/>
        <w:gridCol w:w="109"/>
        <w:gridCol w:w="109"/>
        <w:gridCol w:w="211"/>
        <w:gridCol w:w="772"/>
        <w:gridCol w:w="109"/>
        <w:gridCol w:w="109"/>
        <w:gridCol w:w="109"/>
        <w:gridCol w:w="109"/>
        <w:gridCol w:w="441"/>
        <w:gridCol w:w="1509"/>
        <w:gridCol w:w="326"/>
      </w:tblGrid>
      <w:tr>
        <w:tc>
          <w:tcPr>
            <w:tcW w:w="1486"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c>
          <w:tcPr>
            <w:tcW w:w="3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2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16,613 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w:t>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for financing activities</w:t>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exchange rates on cash and cash equivalents</w:t>
            </w:r>
          </w:p>
        </w:tc>
        <w:tc>
          <w:tcPr>
            <w:tcW w:w="1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4,723 </w:t>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6943" w:type="dxa"/>
        <w:jc w:val="left"/>
        <w:tblInd w:w="0" w:type="dxa"/>
        <w:tblLayout w:type="fixed"/>
        <w:tblCellMar>
          <w:top w:w="28" w:type="dxa"/>
          <w:left w:w="28" w:type="dxa"/>
          <w:bottom w:w="28" w:type="dxa"/>
          <w:right w:w="28" w:type="dxa"/>
        </w:tblCellMar>
      </w:tblPr>
      <w:tblGrid>
        <w:gridCol w:w="820"/>
        <w:gridCol w:w="720"/>
        <w:gridCol w:w="724"/>
        <w:gridCol w:w="313"/>
        <w:gridCol w:w="1070"/>
        <w:gridCol w:w="161"/>
        <w:gridCol w:w="109"/>
        <w:gridCol w:w="109"/>
        <w:gridCol w:w="109"/>
        <w:gridCol w:w="211"/>
        <w:gridCol w:w="616"/>
        <w:gridCol w:w="109"/>
        <w:gridCol w:w="109"/>
        <w:gridCol w:w="109"/>
        <w:gridCol w:w="109"/>
        <w:gridCol w:w="300"/>
        <w:gridCol w:w="1026"/>
        <w:gridCol w:w="219"/>
      </w:tblGrid>
      <w:t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w:t>
              <w:br/>
              <w:t>(Decrease)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85,809 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Net cash provided by operating activities</w:t>
      </w:r>
      <w:r>
        <w:rPr>
          <w:color w:val="000000"/>
        </w:rPr>
        <w:t xml:space="preserve"> </w:t>
      </w:r>
      <w:r>
        <w:rPr>
          <w:rFonts w:ascii="Times New Roman;serif" w:hAnsi="Times New Roman;serif"/>
          <w:b w:val="false"/>
          <w:color w:val="000000"/>
          <w:sz w:val="20"/>
        </w:rPr>
        <w:t>was $16.6 million during the nine months ended September 30, 2026 compared to $27.8 million provided by operating activities during the nine months ended September 30, 2025. The decrease in operating cash flows primarily reflects changes in working capital, particularly in accounts receivable, contract assets, and inventory. Net loss was $6.0 million for the nine months ended September 30, 2026, compared</w:t>
      </w:r>
      <w:r>
        <w:rPr>
          <w:color w:val="000000"/>
        </w:rPr>
        <w:t xml:space="preserve"> </w:t>
      </w:r>
      <w:r>
        <w:rPr>
          <w:rFonts w:ascii="Times New Roman;serif" w:hAnsi="Times New Roman;serif"/>
          <w:b w:val="false"/>
          <w:color w:val="000000"/>
          <w:sz w:val="20"/>
        </w:rPr>
        <w:t xml:space="preserve">to net loss of $17.5 million in the prior-year period. Depreciation and amortization expense was $9.0 million during the nine months ended September 30, 2026 compared to $11.1 million during the nine months ended September 30, 2025, primarily due to lower capital expenditures in recent years, consistent with the decline in production volumes. Inventories decreased by $8.2 million during nine months ended September 30, 2026, compared to a decrease of $1.4 million during the same period in 2025, reflecting improved inventory management practices. A decrease in accounts receivable and contract assets, mainly due to lower sales, resulted in cash inflows of $5.0 million in the nine months ended September 30, 2026 and outflows of $38.9 million in the nine months ended September 30, 2025. Days sales outstanding were 71 days at September 30, 2026, compared to 72 days at September 30, 2025. An increase in accounts payable and accrued liabilities, primarily driven by higher inventory purchases and timing of payments, resulted in cash inflows of $4.2 million during the nine months ended September 30, 2026, compared to outflows of $22.2 million in the prior-year period. </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color w:val="000000"/>
          <w:sz w:val="20"/>
        </w:rPr>
        <w:t xml:space="preserve">Net cash used for investing activities during the </w:t>
      </w:r>
      <w:r>
        <w:rPr>
          <w:rFonts w:ascii="Times New Roman;serif" w:hAnsi="Times New Roman;serif"/>
          <w:b w:val="false"/>
          <w:color w:val="000000"/>
          <w:sz w:val="18"/>
        </w:rPr>
        <w:t>nine months ended September 30, 2026</w:t>
      </w:r>
      <w:r>
        <w:rPr>
          <w:color w:val="000000"/>
        </w:rPr>
        <w:t xml:space="preserve"> </w:t>
      </w:r>
      <w:r>
        <w:rPr>
          <w:rFonts w:ascii="Times New Roman;serif" w:hAnsi="Times New Roman;serif"/>
          <w:b w:val="false"/>
          <w:color w:val="000000"/>
          <w:sz w:val="20"/>
        </w:rPr>
        <w:t xml:space="preserve">was $3.5 million, of which $2.7 million and $1.2 million was used for capital expenditures and the development of patents, respectively. Net cash used for investing activities during the </w:t>
      </w:r>
      <w:r>
        <w:rPr>
          <w:rFonts w:ascii="Times New Roman;serif" w:hAnsi="Times New Roman;serif"/>
          <w:b w:val="false"/>
          <w:color w:val="000000"/>
          <w:sz w:val="18"/>
        </w:rPr>
        <w:t>nine months ended September 30, 2025</w:t>
      </w:r>
      <w:r>
        <w:rPr>
          <w:color w:val="000000"/>
        </w:rPr>
        <w:t xml:space="preserve"> </w:t>
      </w:r>
      <w:r>
        <w:rPr>
          <w:rFonts w:ascii="Times New Roman;serif" w:hAnsi="Times New Roman;serif"/>
          <w:b w:val="false"/>
          <w:color w:val="000000"/>
          <w:sz w:val="20"/>
        </w:rPr>
        <w:t xml:space="preserve">was $5.7 million, of which $3.1 million and $2.3 million was used for capital expenditures and the development of patents, respectively. These outflows were partially offset by $0.3 million proceeds received on the sales of property, plant, and equipment.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investing activities are largely dependent on the timing and amount of capital expenditures and the development of patents, respectively. We estimate that we will incur between $1.0 million and $1.5 million during the remainder of 2026.</w:t>
      </w:r>
    </w:p>
    <w:p>
      <w:pPr>
        <w:pStyle w:val="TextBody"/>
        <w:bidi w:val="0"/>
        <w:spacing w:before="0" w:after="0"/>
        <w:jc w:val="both"/>
      </w:pPr>
      <w:r/>
    </w:p>
    <w:p>
      <w:pPr>
        <w:pStyle w:val="TextBody"/>
        <w:bidi w:val="0"/>
        <w:spacing w:lineRule="auto" w:line="288" w:before="0" w:after="0"/>
        <w:jc w:val="both"/>
      </w:pPr>
      <w:r>
        <w:rPr>
          <w:rFonts w:ascii="Times New Roman;serif" w:hAnsi="Times New Roman;serif"/>
          <w:b w:val="false"/>
          <w:i/>
          <w:color w:val="000000"/>
          <w:sz w:val="20"/>
        </w:rPr>
        <w:t>Net cash used for financing activities</w:t>
      </w:r>
      <w:r>
        <w:rPr>
          <w:color w:val="000000"/>
        </w:rPr>
        <w:t xml:space="preserve"> </w:t>
      </w:r>
      <w:r>
        <w:rPr>
          <w:rFonts w:ascii="Times New Roman;serif" w:hAnsi="Times New Roman;serif"/>
          <w:b w:val="false"/>
          <w:color w:val="000000"/>
          <w:sz w:val="20"/>
        </w:rPr>
        <w:t xml:space="preserve">was $6.7 million during the nine months ended September 30, 2026 compared to $19.8 million during the nine months ended September 30, 2025. The primary financing activities during the nine months ended September 30, 2026 and 2025 consisted of borrowings and repayments under our Credit Lines and other short-term financing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arrangements, as well as repurchases of shares of our common stock. Net repayments on our Credit Lines were $5.6 million during the nine months ended September 30, 2026 compared to $19.1 million during the nine months ended September 30, 2025. During the nine months ended September 30, 2026, we had net repayments of $1.1 million related to proceeds from the sale of tariff claims that were accounted for as short-term financing. In addition, during the nine months ended September 30, 2026, we did not repurchase any of our common stock, compared to our repurchase of 107,000 shares at a cost of $0.8 million during the nine months ended September 30, 2025.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Future cash flows used for financing activities are affected by our financing needs, which are largely dependent on the level of cash provided by or used in operations and the level of cash used in investing activities. Additionally, potential future repurchases of shares of our common stock and dividend payments will impact our cash flows used for financing activities. See Note 13 contained in the "Notes to Consolidated Financial Statements" for further information regarding our share repurchase programs.</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val="false"/>
          <w:i/>
          <w:color w:val="000000"/>
          <w:sz w:val="20"/>
        </w:rPr>
        <w:t>Material Cash Commitments</w:t>
      </w:r>
      <w:r>
        <w:rPr>
          <w:color w:val="000000"/>
        </w:rPr>
        <w:t xml:space="preserve"> – </w:t>
      </w:r>
      <w:r>
        <w:rPr>
          <w:rFonts w:ascii="Times New Roman;serif" w:hAnsi="Times New Roman;serif"/>
          <w:b w:val="false"/>
          <w:color w:val="000000"/>
          <w:sz w:val="20"/>
        </w:rPr>
        <w:t>The following table summarizes our material cash commitments and the effect these commitments are expected to have on our cash flows in future periods:</w:t>
      </w:r>
      <w:r>
        <w:rPr>
          <w:color w:val="000000"/>
        </w:rPr>
        <w:t> </w:t>
      </w:r>
    </w:p>
    <w:p>
      <w:pPr>
        <w:pStyle w:val="TextBody"/>
        <w:bidi w:val="0"/>
        <w:spacing w:before="0" w:after="0"/>
        <w:ind w:left="0" w:right="0" w:firstLine="720"/>
        <w:jc w:val="both"/>
      </w:pPr>
      <w:r/>
    </w:p>
    <w:tbl>
      <w:tblPr>
        <w:tblW w:w="9708" w:type="dxa"/>
        <w:jc w:val="left"/>
        <w:tblInd w:w="0" w:type="dxa"/>
        <w:tblLayout w:type="fixed"/>
        <w:tblCellMar>
          <w:top w:w="28" w:type="dxa"/>
          <w:left w:w="28" w:type="dxa"/>
          <w:bottom w:w="28" w:type="dxa"/>
          <w:right w:w="28" w:type="dxa"/>
        </w:tblCellMar>
      </w:tblPr>
      <w:tblGrid>
        <w:gridCol w:w="1253"/>
        <w:gridCol w:w="1104"/>
        <w:gridCol w:w="1108"/>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w:t>
              <w:br/>
              <w:t>5 years</w:t>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Lines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purchases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material cash commitments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anticipate meeting our material cash commitments with our cash generated from operations and available borrowing on our Credit Lines.</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13a-15(d) promulgated under the Securities Exchange Act of 1934 (the "Exchange Act")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Quarterly Report on Form 10-Q. Based on that evaluation, our principal executive and principal financial officers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most recent fiscal quarter covered by this Quarterly Report on Form 10-Q that have materially affected, or are reasonably likely to materially affect, our internal control over financial reporting.</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lawsuits arising out of the conduct of our business. The discussion of our litigation matters contained in Note 12 to the "Notes to Consolidated Financial Statements" is incorporated herein by reference.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reader should carefully consider, in connection with the other information in this report, the risk factors discussed in "Part I, Item 1A: Risk Factors" of the 2025 Form 10-K and in the periodic reports we have filed since then. These factors may cause our actual results to differ materially from those stated in forward-looking statements contained in this Quarterly Report on Form 10-Q and elsewhere.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We may be unable to realize the level of the anticipated benefits that we expect from exiting facilities and restructuring our operations, which may adversely impact our business and results of operations.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we may decide to exit certain facilities or otherwise undertake restructuring, reorganization, or other strategic initiatives to realign our resources with our growth strategies, operate more efficiently, and reduce costs. For example, we currently expect to complete the shutdown of manufacturing operations at our facility located in Manaus, Brazil, during the quarter ending March 31, 2027, and we completed the shutdown of our manufacturing facility in Mexico during the fiscal year ended December 31, 2025. We may not realize the level of anticipated benefits/cost savings that we expect to obtain from such facility shutdowns, and may incur costs, including without limitation severance costs and contract termination costs, that exceed our current forecasts.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successful implementation of our restructuring activities may from time to time require us to effect business and asset dispositions, workforce reductions, additional facility consolidations and closures, restructurings, management changes, reductions in investments, shut-downs or discontinuance of businesses, and other actions, each of which may depend on a number of factors that may not be within our control. Any such effort to restructure or streamline our organization may result in restructuring or other costs, such as severance and termination costs, contract and lease termination costs, asset impairment charges, and other costs.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as a result of restructuring initiatives, we may experience a loss of continuity, loss of accumulated knowledge and proficiency, adverse effects on employee morale, loss of key employees and other retention issues. Reorganization and restructuring can impact a significant amount of management and other employees’ time and resources, which may divert attention from operating and growing our business. Further, upon completion of any restructuring initiatives, our business may not be more efficient or effective than prior to the implementation of the plan and we may be unable to achieve anticipated benefits, including cost savings, which would adversely affect our business, competitive position, operating results, and financial condition.</w:t>
      </w:r>
    </w:p>
    <w:p>
      <w:pPr>
        <w:pStyle w:val="TextBody"/>
        <w:bidi w:val="0"/>
        <w:spacing w:before="0" w:after="0"/>
        <w:jc w:val="both"/>
      </w:p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Changes in our executive management and Board of Directors may create uncertainty, and if we are unable to successfully manage these transitions or attract and retain qualified management and key personnel, our business could be adversely affected.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of 2026, we experienced significant changes in our executive leadership, including the departure of the previous interim Chief Executive Officer, Richard K. Carnifax and the appointment of Wade Jenke as our President and Chief Executive Officer, Sui Man Ho (a.k.a. Raymond Ho) as our Chief Financial Officer, and Lee Haughawout as our Chief Operating Officer. These changes represent further transitions in our senior leadership team and followed additional changes that occurred earlier in the current fiscal year, including the retirement of Ramzi Ammari as our Senior Vice President, Corporate Planning and Strategy of Universal Electronics Inc. in May 2026, the departure from our Board of Directors of Sue Ann R. Hamilton in June 2026, and the determinations by each of William C. Mulligan and Romulo Pontual not to stand for re-election at our 2026 Annual Meeting. We also experienced significant changes to our senior management and Board of Directors during the fiscal year ended December 31, 2025, including the retirement of our Chief Executive Officer, Paul D. Arling, in May 2025,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of our Chief Financial Officer, Bryan M. Hackworth, in September 2025, the retirement of David Chong as our Executive Vice President, Global Sales, in December 2025, and the retirement of Board member and Audit Committee Chairman, Edward K. Zinser, in August 2025.</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endeavor to implement management transitions in a non-disruptive manner, such transitions can be inherently difficult to manage and may affect our ability to meet our financial and operational objectives. Changes in executive leadership may also create uncertainty among our customers, investors, vendors, suppliers, employees and other stakeholders regarding our future direction, strategy, and performance. In addition, replacing executive officers and other key employees can be difficult and may require significant time because of the limited number of individuals with the skills and experience required for these positions. If we are unable to attract and retain qualified personnel, our ability to execute our strategy and business plans could be adversely affected.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performance will depend, in part, on our ability to successfully manage these leadership transitions, integrate newly appointed executive officers into their roles and maintain effective working relationships among members of senior management and our Board of Directors. Failure to effectively manage these transitions or retain other key personnel could result in operational inefficiencies, disruption to our business and difficulty executing our strategic initiatives, any of which could adversely affect our business, financial condition, results of operations and cash flows.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Increases in component costs, shortage, and supply constraints could adversely affect our business, results of operations and financial condition.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experience increases in the cost of certain components, raw materials and other materials used in our products, as well as shortages, supply constraints, or extended lead times for certain components. Such cost increases or supply disruptions may result from a variety of factors, including changes in global supply and demand, transportation and logistics constraints, inflationary pressures, supplier capacity limitations, and disruptions affecting our suppliers or their supply chains.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may not be able to fully or timely offset higher component and material costs through customer pricing actions, cost reductions, productivity improvements, alternative sourcing arrangements, or other measures. Our ability to pass higher costs through to customers may also be limited by competitive conditions, contractual arrangements, customer negotiations, and the timing of price adjustments. In addition, shortages, or delays in the availability of components could disrupt our manufacturing operations, increase procurement and logistics costs, delay product shipments, or adversely affect our ability to meet customer demand.</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Accordingly, increases in component and material costs, particularly if combined with component shortages, could adversely affect our gross margins, operating results, cash flows and profitability.</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p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for the three months ended September 30, 2026, our total stock repurchases, average price paid per share and the maximum number of shares that may yet be purchased on the open market under our plans or programs:</w:t>
      </w:r>
    </w:p>
    <w:tbl>
      <w:tblPr>
        <w:tblW w:w="10205" w:type="dxa"/>
        <w:jc w:val="left"/>
        <w:tblInd w:w="0" w:type="dxa"/>
        <w:tblLayout w:type="fixed"/>
        <w:tblCellMar>
          <w:top w:w="28" w:type="dxa"/>
          <w:left w:w="28" w:type="dxa"/>
          <w:bottom w:w="28" w:type="dxa"/>
          <w:right w:w="28" w:type="dxa"/>
        </w:tblCellMar>
      </w:tblPr>
      <w:tblGrid>
        <w:gridCol w:w="742"/>
        <w:gridCol w:w="402"/>
        <w:gridCol w:w="407"/>
        <w:gridCol w:w="109"/>
        <w:gridCol w:w="109"/>
        <w:gridCol w:w="109"/>
        <w:gridCol w:w="500"/>
        <w:gridCol w:w="500"/>
        <w:gridCol w:w="501"/>
        <w:gridCol w:w="109"/>
        <w:gridCol w:w="109"/>
        <w:gridCol w:w="109"/>
        <w:gridCol w:w="244"/>
        <w:gridCol w:w="471"/>
        <w:gridCol w:w="127"/>
        <w:gridCol w:w="109"/>
        <w:gridCol w:w="109"/>
        <w:gridCol w:w="109"/>
        <w:gridCol w:w="791"/>
        <w:gridCol w:w="791"/>
        <w:gridCol w:w="793"/>
        <w:gridCol w:w="109"/>
        <w:gridCol w:w="109"/>
        <w:gridCol w:w="109"/>
        <w:gridCol w:w="1008"/>
        <w:gridCol w:w="668"/>
        <w:gridCol w:w="952"/>
      </w:tblGrid>
      <w:tr>
        <w:tc>
          <w:tcPr>
            <w:tcW w:w="74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Number of Shares Purchased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w:t>
              <w:b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(1)</w:t>
            </w:r>
          </w:p>
        </w:tc>
      </w:tr>
      <w:tr>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July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2026 - August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2026-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1,013,556 </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pPr>
      <w:r/>
    </w:p>
    <w:p>
      <w:pPr>
        <w:pStyle w:val="TextBody"/>
        <w:bidi w:val="0"/>
        <w:spacing w:lineRule="auto" w:line="288" w:before="0" w:after="0"/>
        <w:ind w:left="0" w:right="0" w:hanging="360"/>
        <w:jc w:val="both"/>
      </w:pPr>
      <w:r>
        <w:rPr>
          <w:rFonts w:ascii="Times New Roman;serif" w:hAnsi="Times New Roman;serif"/>
          <w:b w:val="false"/>
          <w:color w:val="000000"/>
          <w:sz w:val="13"/>
        </w:rPr>
        <w:t>(1)</w:t>
      </w:r>
      <w:r>
        <w:rPr>
          <w:rFonts w:ascii="Times New Roman;serif" w:hAnsi="Times New Roman;serif"/>
          <w:b w:val="false"/>
          <w:color w:val="000000"/>
          <w:sz w:val="20"/>
        </w:rPr>
        <w:t>On March 11, 2026 our Board of Directors authorized an amendment to the Company's Share Repurchase Program that had been originally approved in October 2023 (as subsequently amended, the "Share Repurchase Program") to authorize the repurchase, from time to time, of up to an additional 1,000,000 shares of the Company's outstanding common stock, or a total of 1,013,556 shares (including the 13,556 shares remaining available under prior Board authorization for repurchase under the Share Repurchase Program). This authorization will remain in effect until such time as the Board of Directors terminates the authorization or the Share Repurchase Program is executed in full. We may utilize various methods to effect the repurchases, including in privately negotiated and/or open-market transactions, and pursuant to plans complying with Rule 10b5-1 promulgated under the Securities Exchange Act of 1934. Neither this authorization nor the Share Repurchase Program obligates us to repurchase any shares of our common stock, and any repurchase of shares will be subject to market and other conditions and may be discontinued at any time.</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September 30, 2026, no director or officer (as defined in Rule 16a-1(f) promulgated under the Exchange Act) of the Company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62"/>
        <w:gridCol w:w="218"/>
        <w:gridCol w:w="224"/>
        <w:gridCol w:w="109"/>
        <w:gridCol w:w="109"/>
        <w:gridCol w:w="109"/>
        <w:gridCol w:w="2813"/>
        <w:gridCol w:w="2628"/>
        <w:gridCol w:w="3733"/>
      </w:tblGrid>
      <w:tr>
        <w:tc>
          <w:tcPr>
            <w:tcW w:w="2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2">
              <w:r>
                <w:rPr>
                  <w:rStyle w:val="InternetLink"/>
                  <w:rFonts w:ascii="Times New Roman;serif" w:hAnsi="Times New Roman;serif"/>
                  <w:b w:val="false"/>
                  <w:color w:val="0000FF"/>
                  <w:sz w:val="20"/>
                  <w:u w:val="single"/>
                </w:rPr>
                <w:t>Restated Certificate of Incorporation, as amended through May 19, 2026 (incorporated by reference to Exhibit 3.1 to the Company's Current Report on Form 8-K filed on May 21, 2026).</w:t>
              </w:r>
            </w:hyperlink>
          </w:p>
          <w:p>
            <w:pPr>
              <w:pStyle w:val="TableContents"/>
              <w:bidi w:val="0"/>
              <w:spacing w:before="0" w:after="0"/>
              <w:jc w:val="both"/>
            </w:pPr>
            <w:r/>
          </w:p>
          <w:p>
            <w:pPr>
              <w:pStyle w:val="TableContents"/>
              <w:bidi w:val="0"/>
              <w:spacing w:before="0" w:after="0"/>
              <w:jc w:val="both"/>
            </w:p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3">
              <w:r>
                <w:rPr>
                  <w:rStyle w:val="InternetLink"/>
                  <w:rFonts w:ascii="Times New Roman;serif" w:hAnsi="Times New Roman;serif"/>
                  <w:b w:val="false"/>
                  <w:color w:val="0000FF"/>
                  <w:sz w:val="20"/>
                  <w:u w:val="single"/>
                </w:rPr>
                <w:t>Amended and Restated By-laws (incorporated by reference to Exhibit 3.4 to the Company’s Annual Report on Form 10-K for the year ended December 31, 2017 filed on March 13, 2018).</w:t>
              </w:r>
            </w:hyperlink>
          </w:p>
          <w:p>
            <w:pPr>
              <w:pStyle w:val="TableContents"/>
              <w:bidi w:val="0"/>
              <w:spacing w:before="0" w:after="0"/>
              <w:jc w:val="both"/>
            </w:pPr>
            <w:r/>
          </w:p>
          <w:p>
            <w:pPr>
              <w:pStyle w:val="TableContents"/>
              <w:bidi w:val="0"/>
              <w:spacing w:before="0" w:after="0"/>
              <w:jc w:val="both"/>
            </w:p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101-performancexbasedsto.htm">
              <w:r>
                <w:rPr>
                  <w:rStyle w:val="InternetLink"/>
                  <w:rFonts w:ascii="Times New Roman;serif" w:hAnsi="Times New Roman;serif"/>
                  <w:b w:val="false"/>
                  <w:color w:val="0000FF"/>
                  <w:sz w:val="20"/>
                  <w:u w:val="single"/>
                </w:rPr>
                <w:t>Form of Performance-Based Stock Unit Award Agreement under the Amended and Restated 2018 Equity and Incentive Compensation Plan (filed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102-restrictedstockunitr.htm">
              <w:r>
                <w:rPr>
                  <w:rStyle w:val="InternetLink"/>
                  <w:rFonts w:ascii="Times New Roman;serif" w:hAnsi="Times New Roman;serif"/>
                  <w:b w:val="false"/>
                  <w:color w:val="0000FF"/>
                  <w:sz w:val="20"/>
                  <w:u w:val="single"/>
                </w:rPr>
                <w:t>Form of Restricted Stock Unit Award Agreement under the Amended and Restated 2018 Equity and Incentive Compensation Plan (filed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103-formofrestrictedstoc.htm">
              <w:r>
                <w:rPr>
                  <w:rStyle w:val="InternetLink"/>
                  <w:rFonts w:ascii="Times New Roman;serif" w:hAnsi="Times New Roman;serif"/>
                  <w:b w:val="false"/>
                  <w:color w:val="0000FF"/>
                  <w:sz w:val="20"/>
                  <w:u w:val="single"/>
                </w:rPr>
                <w:t>Form of Restricted Stock Unit Award Agreement under the Amended and Restated 2018 Equity and Incentive Compensation Plan (for directors) (filed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4">
              <w:r>
                <w:rPr>
                  <w:rStyle w:val="InternetLink"/>
                  <w:rFonts w:ascii="Times New Roman;serif" w:hAnsi="Times New Roman;serif"/>
                  <w:b w:val="false"/>
                  <w:color w:val="0000FF"/>
                  <w:sz w:val="20"/>
                  <w:u w:val="single"/>
                </w:rPr>
                <w:t>English Translation of Line of Credit Agreement signed July 15, 2026 (incorporated by reference to Exhibit 10.1 to the Company's Current Report on Form 8-K filed on July 20, 2026).</w:t>
              </w:r>
            </w:hyperlink>
          </w:p>
          <w:p>
            <w:pPr>
              <w:pStyle w:val="TableContents"/>
              <w:bidi w:val="0"/>
              <w:spacing w:before="0" w:after="0"/>
              <w:jc w:val="both"/>
            </w:pPr>
            <w:r/>
          </w:p>
          <w:p>
            <w:pPr>
              <w:pStyle w:val="TableContents"/>
              <w:bidi w:val="0"/>
              <w:spacing w:before="0" w:after="0"/>
              <w:jc w:val="both"/>
            </w:p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5">
              <w:r>
                <w:rPr>
                  <w:rStyle w:val="InternetLink"/>
                  <w:rFonts w:ascii="Times New Roman;serif" w:hAnsi="Times New Roman;serif"/>
                  <w:b w:val="false"/>
                  <w:color w:val="0000FF"/>
                  <w:sz w:val="20"/>
                  <w:u w:val="single"/>
                </w:rPr>
                <w:t>English Translation of Working Capital Loan Contract signed July 15, 2026 (incorporated by reference to Exhibit 10.4 to the Company's Current Report on Form 8-K filed on July 20, 2026)</w:t>
              </w:r>
            </w:hyperlink>
            <w:r>
              <w:rPr>
                <w:rFonts w:ascii="Times New Roman;serif" w:hAnsi="Times New Roman;serif"/>
                <w:b w:val="false"/>
                <w:color w:val="000000"/>
                <w:sz w:val="20"/>
              </w:rPr>
              <w:t>.</w:t>
            </w:r>
          </w:p>
          <w:p>
            <w:pPr>
              <w:pStyle w:val="TableContents"/>
              <w:bidi w:val="0"/>
              <w:spacing w:before="0" w:after="0"/>
              <w:jc w:val="both"/>
            </w:pPr>
            <w:r/>
          </w:p>
          <w:p>
            <w:pPr>
              <w:pStyle w:val="TableContents"/>
              <w:bidi w:val="0"/>
              <w:spacing w:before="0" w:after="0"/>
              <w:jc w:val="both"/>
            </w:p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r:id="rId6">
              <w:r>
                <w:rPr>
                  <w:rStyle w:val="InternetLink"/>
                  <w:rFonts w:ascii="Times New Roman;serif" w:hAnsi="Times New Roman;serif"/>
                  <w:b w:val="false"/>
                  <w:color w:val="0000FF"/>
                  <w:sz w:val="20"/>
                  <w:u w:val="single"/>
                </w:rPr>
                <w:t>Third Amended and Restated Credit Agreement, dated August 21, 2026 (incorporated by reference to Exhibit 10.1 to the Company's Current Report on Form 8-K filed on August 26, 2026).</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1-ueix09302026x10q.htm">
              <w:r>
                <w:rPr>
                  <w:rStyle w:val="InternetLink"/>
                  <w:rFonts w:ascii="Times New Roman;serif" w:hAnsi="Times New Roman;serif"/>
                  <w:b w:val="false"/>
                  <w:color w:val="0000FF"/>
                  <w:sz w:val="20"/>
                  <w:u w:val="single"/>
                </w:rPr>
                <w:t>Rule 13a-14(a) Certifications of the Chief Executive Officer (filed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12-ueix09302026x10q.htm">
              <w:r>
                <w:rPr>
                  <w:rStyle w:val="InternetLink"/>
                  <w:rFonts w:ascii="Times New Roman;serif" w:hAnsi="Times New Roman;serif"/>
                  <w:b w:val="false"/>
                  <w:color w:val="0000FF"/>
                  <w:sz w:val="20"/>
                  <w:u w:val="single"/>
                </w:rPr>
                <w:t>Rule 13a-14(a) Certifications of the Chief Financial Officer (principal financial officer and principal accounting officer) (filed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21-ueix09302026x10q.htm">
              <w:r>
                <w:rPr>
                  <w:rStyle w:val="InternetLink"/>
                  <w:rFonts w:ascii="Times New Roman;serif" w:hAnsi="Times New Roman;serif"/>
                  <w:b w:val="false"/>
                  <w:color w:val="0000FF"/>
                  <w:sz w:val="20"/>
                  <w:u w:val="single"/>
                </w:rPr>
                <w:t>Section 1350 Certifications of the Chief Executive Officer (furnished herewith)</w:t>
              </w:r>
            </w:hyperlink>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0"/>
              <w:jc w:val="both"/>
            </w:pPr>
            <w:hyperlink w:anchor="ex322-ueix09302026x10q.htm">
              <w:r>
                <w:rPr>
                  <w:rStyle w:val="InternetLink"/>
                  <w:rFonts w:ascii="Times New Roman;serif" w:hAnsi="Times New Roman;serif"/>
                  <w:b w:val="false"/>
                  <w:color w:val="0000FF"/>
                  <w:sz w:val="20"/>
                  <w:u w:val="single"/>
                </w:rPr>
                <w:t>Section 1350 Certifications of the Chief Financial Officer (principal financial officer and principal accounting officer) (furnished herewith)</w:t>
              </w:r>
            </w:hyperlink>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center"/>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 or arrangement.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*Schedules (or similar attachments) to this Exhibit have been omitted in accordance with Item 601(a)(5) of Regulation S-K. The registrant agrees to furnish supplementally a copy of all omitted schedules to the SEC on a confidential basis upon request.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The certifications furnished in Exhibit 32 hereto are deemed to accompany this Quarterly Report on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pPr>
      <w:hyperlink w:anchor="i33ed0d1b00e44c65ade909f257f28e48_7">
        <w:r>
          <w:rPr>
            <w:rStyle w:val="InternetLink"/>
            <w:rFonts w:ascii="Times New Roman;serif" w:hAnsi="Times New Roman;serif"/>
            <w:b/>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tbl>
      <w:tblPr>
        <w:tblW w:w="10205" w:type="dxa"/>
        <w:jc w:val="right"/>
        <w:tblInd w:w="0" w:type="dxa"/>
        <w:tblLayout w:type="fixed"/>
        <w:tblCellMar>
          <w:top w:w="28" w:type="dxa"/>
          <w:left w:w="28" w:type="dxa"/>
          <w:bottom w:w="28" w:type="dxa"/>
          <w:right w:w="28" w:type="dxa"/>
        </w:tblCellMar>
      </w:tblPr>
      <w:tblGrid>
        <w:gridCol w:w="234"/>
        <w:gridCol w:w="206"/>
        <w:gridCol w:w="208"/>
        <w:gridCol w:w="507"/>
        <w:gridCol w:w="507"/>
        <w:gridCol w:w="508"/>
        <w:gridCol w:w="109"/>
        <w:gridCol w:w="109"/>
        <w:gridCol w:w="109"/>
        <w:gridCol w:w="304"/>
        <w:gridCol w:w="304"/>
        <w:gridCol w:w="304"/>
        <w:gridCol w:w="304"/>
        <w:gridCol w:w="304"/>
        <w:gridCol w:w="304"/>
        <w:gridCol w:w="1703"/>
        <w:gridCol w:w="1703"/>
        <w:gridCol w:w="2478"/>
      </w:tblGrid>
      <w:tr>
        <w:tc>
          <w:tcPr>
            <w:tcW w:w="23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5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UNIVERSAL ELECTRONICS INC.</w:t>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Sui Man (Raymond) Ho</w:t>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(Raymond) Ho</w:t>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val="false"/>
          <w:color w:val="000000"/>
          <w:sz w:val="22"/>
        </w:rPr>
        <w:t xml:space="preserve">Certificate Number: [[GRANTNUMBER]] </w:t>
      </w:r>
      <w:r>
        <w:rPr>
          <w:rFonts w:ascii="Times New Roman;serif" w:hAnsi="Times New Roman;serif"/>
          <w:b/>
          <w:color w:val="000000"/>
          <w:sz w:val="22"/>
        </w:rPr>
        <w:t>Ex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Universal Electronics Inc.</w:t>
        <w:br/>
        <w:t>Performance-Based Stock Unit Award Agreement</w:t>
      </w:r>
    </w:p>
    <w:p>
      <w:pPr>
        <w:pStyle w:val="TextBody"/>
        <w:bidi w:val="0"/>
        <w:spacing w:lineRule="auto" w:line="288" w:before="0" w:after="240"/>
        <w:ind w:left="0" w:right="0" w:firstLine="720"/>
        <w:jc w:val="both"/>
      </w:pPr>
      <w:r>
        <w:rPr>
          <w:rFonts w:ascii="Times New Roman;serif" w:hAnsi="Times New Roman;serif"/>
          <w:b/>
          <w:color w:val="000000"/>
          <w:sz w:val="22"/>
        </w:rPr>
        <w:t xml:space="preserve">This Performance-Based Stock Unit Award Agreement </w:t>
      </w:r>
      <w:r>
        <w:rPr>
          <w:rFonts w:ascii="Times New Roman;serif" w:hAnsi="Times New Roman;serif"/>
          <w:b w:val="false"/>
          <w:color w:val="000000"/>
          <w:sz w:val="22"/>
        </w:rPr>
        <w:t>(the “Agreement”) is made as of [[GRANTDATE]] (the “Grant Date”) by and between Universal Electronics Inc., a Delaware Company (the “Company”), and the undersigned employee (the “Employee”). The Company has granted, pursuant to the Universal Electronics Inc. Amended and Restated 2018 Equity and Incentive Compensation Plan (the “Plan”), the Employee an award of performance-based stock units, which are “Restricted Stock Units” under the Plan (the “PSUs”), subject to the terms and conditions set forth in this Agreement, including the Statement of Performance Goals attached hereto, and the Plan. As used in this Agreement, the term “Company” shall include, where applicable, any and all of its subsidiaries or related entities. Any capitalized term used in this Agreement that is not defined herein shall have the meaning thereof set forth in the Plan, a copy of which can be obtained by written request to the Company’s Chief Financial Officer.</w:t>
      </w:r>
    </w:p>
    <w:p>
      <w:pPr>
        <w:pStyle w:val="TextBody"/>
        <w:bidi w:val="0"/>
        <w:spacing w:lineRule="auto" w:line="288" w:before="0" w:after="240"/>
        <w:ind w:left="0" w:right="0" w:firstLine="720"/>
        <w:jc w:val="both"/>
      </w:pPr>
      <w:r>
        <w:rPr>
          <w:rFonts w:ascii="Times New Roman;serif" w:hAnsi="Times New Roman;serif"/>
          <w:b/>
          <w:color w:val="000000"/>
          <w:sz w:val="22"/>
        </w:rPr>
        <w:t>Whereas</w:t>
      </w:r>
      <w:r>
        <w:rPr>
          <w:rFonts w:ascii="Times New Roman;serif" w:hAnsi="Times New Roman;serif"/>
          <w:b w:val="false"/>
          <w:color w:val="000000"/>
          <w:sz w:val="22"/>
        </w:rPr>
        <w:t>, the Board of Directors of the Company (the “Board”) has approved the Plan;</w:t>
      </w:r>
    </w:p>
    <w:p>
      <w:pPr>
        <w:pStyle w:val="TextBody"/>
        <w:bidi w:val="0"/>
        <w:spacing w:lineRule="auto" w:line="288" w:before="0" w:after="240"/>
        <w:ind w:left="0" w:right="0" w:firstLine="720"/>
        <w:jc w:val="both"/>
      </w:pP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lineRule="auto" w:line="288" w:before="0" w:after="240"/>
        <w:ind w:left="0" w:right="0" w:firstLine="720"/>
        <w:jc w:val="both"/>
      </w:pP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PSUs to Eligible Persons, payable in shares of the Company’s Common Stock, par value $0.01 per share (each, a “Share”), pursuant to the terms and conditions set forth in the Plan and in this Agreement.</w:t>
      </w:r>
    </w:p>
    <w:p>
      <w:pPr>
        <w:pStyle w:val="TextBody"/>
        <w:bidi w:val="0"/>
        <w:spacing w:lineRule="auto" w:line="288" w:before="0" w:after="240"/>
        <w:ind w:left="0" w:right="0" w:firstLine="720"/>
        <w:jc w:val="both"/>
      </w:pPr>
      <w:r>
        <w:rPr>
          <w:rFonts w:ascii="Times New Roman;serif" w:hAnsi="Times New Roman;serif"/>
          <w:b/>
          <w:color w:val="000000"/>
          <w:sz w:val="22"/>
        </w:rPr>
        <w:t>Now, Therefore</w:t>
      </w:r>
      <w:r>
        <w:rPr>
          <w:rFonts w:ascii="Times New Roman;serif" w:hAnsi="Times New Roman;serif"/>
          <w:b w:val="false"/>
          <w:color w:val="000000"/>
          <w:sz w:val="22"/>
        </w:rPr>
        <w:t>, the parties, intending to be legally bound, hereto agree as follows:</w:t>
      </w:r>
    </w:p>
    <w:p>
      <w:pPr>
        <w:pStyle w:val="TextBody"/>
        <w:bidi w:val="0"/>
        <w:spacing w:lineRule="auto" w:line="240" w:before="0" w:after="240"/>
        <w:ind w:left="0" w:right="0" w:hanging="720"/>
        <w:jc w:val="both"/>
      </w:pPr>
      <w:r>
        <w:rPr>
          <w:rFonts w:ascii="Times New Roman;serif" w:hAnsi="Times New Roman;serif"/>
          <w:b/>
          <w:color w:val="000000"/>
          <w:sz w:val="22"/>
        </w:rPr>
        <w:t>1.Grant of the PSUs</w:t>
      </w:r>
      <w:r>
        <w:rPr>
          <w:rFonts w:ascii="Times New Roman;serif" w:hAnsi="Times New Roman;serif"/>
          <w:b w:val="false"/>
          <w:color w:val="000000"/>
          <w:sz w:val="22"/>
        </w:rPr>
        <w:t xml:space="preserve">. Subject to the terms and conditions set forth herein, the Employee is hereby granted </w:t>
      </w:r>
      <w:r>
        <w:rPr>
          <w:rFonts w:ascii="Times New Roman;serif" w:hAnsi="Times New Roman;serif"/>
          <w:b/>
          <w:color w:val="000000"/>
          <w:sz w:val="22"/>
        </w:rPr>
        <w:t xml:space="preserve">[[SHARESGRANTEDWORDS]] ([[SHARESGRANTED]]) </w:t>
      </w:r>
      <w:r>
        <w:rPr>
          <w:rFonts w:ascii="Times New Roman;serif" w:hAnsi="Times New Roman;serif"/>
          <w:b w:val="false"/>
          <w:color w:val="000000"/>
          <w:sz w:val="22"/>
        </w:rPr>
        <w:t xml:space="preserve">PSUs on the Grant Date. The number of PSUs set forth in the preceding sentence is the </w:t>
      </w:r>
      <w:r>
        <w:rPr>
          <w:rFonts w:ascii="Times New Roman;serif" w:hAnsi="Times New Roman;serif"/>
          <w:b w:val="false"/>
          <w:i/>
          <w:color w:val="000000"/>
          <w:sz w:val="22"/>
        </w:rPr>
        <w:t xml:space="preserve">target </w:t>
      </w:r>
      <w:r>
        <w:rPr>
          <w:rFonts w:ascii="Times New Roman;serif" w:hAnsi="Times New Roman;serif"/>
          <w:b w:val="false"/>
          <w:color w:val="000000"/>
          <w:sz w:val="22"/>
        </w:rPr>
        <w:t xml:space="preserve">number of PSUs that may vest subject to and upon the terms and conditions of this Agreement, the Plan, the Employee’s satisfaction of the continued service requirement, and the achievement of the performance goals approved by the Committee, as set forth or contemplated in the Statement of Performance Goals attached hereto (the “Statement of Performance Goals”). </w:t>
      </w:r>
    </w:p>
    <w:p>
      <w:pPr>
        <w:pStyle w:val="TextBody"/>
        <w:bidi w:val="0"/>
        <w:spacing w:lineRule="auto" w:line="240" w:before="0" w:after="240"/>
        <w:ind w:left="0" w:right="0" w:hanging="720"/>
        <w:jc w:val="both"/>
      </w:pPr>
      <w:r>
        <w:rPr>
          <w:rFonts w:ascii="Times New Roman;serif" w:hAnsi="Times New Roman;serif"/>
          <w:b/>
          <w:color w:val="000000"/>
          <w:sz w:val="22"/>
        </w:rPr>
        <w:t>2.Performance Condition and Vesting of the PSUs; Issuance and Delivery of Shares</w:t>
      </w:r>
      <w:r>
        <w:rPr>
          <w:rFonts w:ascii="Times New Roman;serif" w:hAnsi="Times New Roman;serif"/>
          <w:b w:val="false"/>
          <w:color w:val="000000"/>
          <w:sz w:val="22"/>
        </w:rPr>
        <w:t>.</w:t>
      </w:r>
    </w:p>
    <w:p>
      <w:pPr>
        <w:pStyle w:val="TextBody"/>
        <w:bidi w:val="0"/>
        <w:spacing w:lineRule="auto" w:line="240" w:before="0" w:after="24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Performance Condition and Vesting</w:t>
      </w:r>
      <w:r>
        <w:rPr>
          <w:rFonts w:ascii="Times New Roman;serif" w:hAnsi="Times New Roman;serif"/>
          <w:b w:val="false"/>
          <w:color w:val="000000"/>
          <w:sz w:val="22"/>
        </w:rPr>
        <w:t>. Subject to the terms and conditions set forth in this Agreement and in the Statement of Performance Goals, each Tranche (as defined in the Statement of Performance Goals) of PSUs shall vest upon the later of (i) the Committee’s certification of the achievement of the relevant performance goals for such Tranche (the “Certification Date”) and (ii) the relevant Retention Date (as defined in the Statement of Performance Goals) for such Tranche as set forth in the Statement of Performance, provided that the Employee remains continuously employed by the Company or a Subsidiary through the later of the applicable Performance Date (as defined in the Statement of Performance Goals) for such Tranche and the applicable Retention Date for such Tranche. In the event that the performance goals are not achieved during the Performance Period any unvested PSUs will be forfeited. For purposes of this Agreement, “continuously employed” (or substantially similar terms) means the absence of any interruption or termination of the Employee’s employment with the Company or a Subsidiary. Continuous employment shall not be considered interrupted or terminated in the case of transfers between locations of the Company and its Subsidiaries.</w:t>
      </w:r>
    </w:p>
    <w:p>
      <w:pPr>
        <w:pStyle w:val="TextBody"/>
        <w:bidi w:val="0"/>
        <w:spacing w:before="0" w:after="0"/>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40" w:before="0" w:after="0"/>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Delivery of Shares</w:t>
      </w:r>
      <w:r>
        <w:rPr>
          <w:rFonts w:ascii="Times New Roman;serif" w:hAnsi="Times New Roman;serif"/>
          <w:b w:val="false"/>
          <w:color w:val="000000"/>
          <w:sz w:val="22"/>
        </w:rPr>
        <w:t xml:space="preserve">. Subject to Sections 6 and 7 of this Agreement, as soon as administratively practicable following the date that the PSUs vest, the Company shall issue and deliver to the Employee (or the Employee’s estate or legal representative, in the event of Employee’s death or disability) one (1) Share for each vested PSU; provided, however, that if the Committee requires that the Employee pay withholding taxes through a sale of Shares, settlement of each PSU shall be deferred to the next permissible trading day, but in no event later than March 15 following the calendar year in which the PSUs vest. For purposes of this Agreement, “permissible trading day” means a day that satisfies all of the following requirements: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(i)the exchange on which the Shares are traded is open for trading on that day;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(ii)the Employee is permitted to sell Shares on that day without incurring liability under Section 16(b) of the Exchange Act;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(iii)either (x) the Employee is not in possession of material non-public information that would make it illegal for the Employee to sell Shares on that day under Rule 10b-5 under the Exchange Act or (y) Rule 10b5-1 under the Exchange Act would apply to the sale;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(iv)the Employee is permitted to sell Shares on that day under such written insider trading policy as may have been adopted by the Company; and </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(v)the Employee is not prohibited from selling Shares on that day by a written agreement between the Employee and the Company or a third party.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there is no permissible trading day by March 15 following the calendar year in which the PSUs vest, the Employee must make alternative arrangements to pay withholding taxes satisfactory to the Company to avoid forfeiture.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 Shares are issued to the Employee subject to the condition that the issuance of the Shares does not violate any law or regulation and the Shares are subject to such approvals by any governmental agencies or national securities exchanges as may be required. Such issued and delivered Shares shall be in book-entry form maintained by the Company’s Transfer Agent and shall otherwise be transferable utilizing the Company’s Direct Registration System and Profile Modification System. </w:t>
      </w:r>
    </w:p>
    <w:p>
      <w:pPr>
        <w:pStyle w:val="TextBody"/>
        <w:bidi w:val="0"/>
        <w:spacing w:before="0" w:after="0"/>
        <w:jc w:val="both"/>
      </w:pPr>
      <w:r/>
    </w:p>
    <w:p>
      <w:pPr>
        <w:pStyle w:val="TextBody"/>
        <w:bidi w:val="0"/>
        <w:spacing w:lineRule="auto" w:line="240" w:before="0" w:after="240"/>
        <w:ind w:left="0" w:right="0" w:hanging="720"/>
        <w:jc w:val="both"/>
      </w:pPr>
      <w:r>
        <w:rPr>
          <w:rFonts w:ascii="Times New Roman;serif" w:hAnsi="Times New Roman;serif"/>
          <w:b/>
          <w:color w:val="000000"/>
          <w:sz w:val="22"/>
        </w:rPr>
        <w:t>3.Effect of Termination of Employment</w:t>
      </w:r>
      <w:r>
        <w:rPr>
          <w:rFonts w:ascii="Times New Roman;serif" w:hAnsi="Times New Roman;serif"/>
          <w:b w:val="false"/>
          <w:color w:val="000000"/>
          <w:sz w:val="22"/>
        </w:rPr>
        <w:t>. In the event that the Employee’s employment with the Company or a Subsidiary of the Company is terminated for any reason, any PSUs that are unvested as of such date shall be immediately forfeited and cancelled without further action by the parties hereto, and the Employee shall no longer have any rights with respect to the forfeited and cancelled PSUs (or any Dividend Equivalents (as defined in Section 5 hereof) with respect thereto). Notwithstanding the foregoing, in the event that the Employee’s employment with the Company or a Subsidiary terminates between a Performance Date and the corresponding Certification Date for a particular Tranche but after the applicable Retention Date for such Tranche, the Employee will remain entitled to vest in the PSUs for such Tranche upon the Certification Date.</w:t>
      </w:r>
    </w:p>
    <w:p>
      <w:pPr>
        <w:pStyle w:val="TextBody"/>
        <w:bidi w:val="0"/>
        <w:spacing w:lineRule="auto" w:line="240" w:before="0" w:after="240"/>
        <w:ind w:left="0" w:right="0" w:hanging="720"/>
        <w:jc w:val="both"/>
      </w:pPr>
      <w:r>
        <w:rPr>
          <w:rFonts w:ascii="Times New Roman;serif" w:hAnsi="Times New Roman;serif"/>
          <w:b/>
          <w:color w:val="000000"/>
          <w:sz w:val="22"/>
        </w:rPr>
        <w:t>4.Effect of Change in Control</w:t>
      </w:r>
      <w:r>
        <w:rPr>
          <w:rFonts w:ascii="Times New Roman;serif" w:hAnsi="Times New Roman;serif"/>
          <w:b w:val="false"/>
          <w:color w:val="000000"/>
          <w:sz w:val="22"/>
        </w:rPr>
        <w:t>. Notwithstanding anything to the contrary in this Agreement, in the event that (i) a “Change in Control” (as defined in the Plan) occurs during the Performance Period and (ii) the Employee remains continuously employed through the effective date of such Change in Control, any then-unvested Tranche of PSUs shall vest, if at all, in accordance with Section 3(b) of the Statement of Performance Goals. Any PSUs that do not so vest in accordance with this Section 4 shall be immediately forfeited. Subject to Sections 6 and 7 of this Agreement, as soon as administratively practicable after any PSUs vest in accordance with this Section 4, the Company shall issue and deliver to the Employee (or the Employee’s estate or legal representative, as applicable) one (1) Share free and clear of any restrictions for each vested PSU.</w:t>
      </w:r>
    </w:p>
    <w:p>
      <w:pPr>
        <w:pStyle w:val="TextBody"/>
        <w:bidi w:val="0"/>
        <w:spacing w:lineRule="auto" w:line="240" w:before="0" w:after="240"/>
        <w:ind w:left="0" w:right="0" w:hanging="720"/>
        <w:jc w:val="both"/>
      </w:pPr>
      <w:r>
        <w:rPr>
          <w:rFonts w:ascii="Times New Roman;serif" w:hAnsi="Times New Roman;serif"/>
          <w:b/>
          <w:color w:val="000000"/>
          <w:sz w:val="22"/>
        </w:rPr>
        <w:t>5.Employee’s Rights as Stockholder</w:t>
      </w:r>
      <w:r>
        <w:rPr>
          <w:rFonts w:ascii="Times New Roman;serif" w:hAnsi="Times New Roman;serif"/>
          <w:b w:val="false"/>
          <w:color w:val="000000"/>
          <w:sz w:val="22"/>
        </w:rPr>
        <w:t xml:space="preserve">. Prior to the vesting of the PSUs and delivery of Shares pursuant thereto, the Employee shall have no rights as a stockholder with respect to the Shares to </w:t>
      </w:r>
    </w:p>
    <w:p>
      <w:pPr>
        <w:pStyle w:val="TextBody"/>
        <w:bidi w:val="0"/>
        <w:spacing w:before="0" w:after="0"/>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be issued upon the vesting of the PSUs. However, the Employee shall be credited with an amount equal to all cash dividends (“Dividend Equivalents”) that would have been paid to the Employee if one Share had been issued to the Employee on the Grant Date for each PSU granted to the Employee as set forth in this Agreement. In the event of, and contingent upon, the vesting of the applicable PSUs, in addition to the issuance and delivery of Shares in accordance with Section 2 (or Section 4) of this Agreement, the Employee shall be entitled to payment of the Dividend Equivalents in cash.</w:t>
      </w:r>
    </w:p>
    <w:p>
      <w:pPr>
        <w:pStyle w:val="TextBody"/>
        <w:bidi w:val="0"/>
        <w:spacing w:lineRule="auto" w:line="240" w:before="0" w:after="240"/>
        <w:ind w:left="0" w:right="0" w:hanging="720"/>
        <w:jc w:val="both"/>
      </w:pPr>
      <w:r>
        <w:rPr>
          <w:rFonts w:ascii="Times New Roman;serif" w:hAnsi="Times New Roman;serif"/>
          <w:b/>
          <w:color w:val="000000"/>
          <w:sz w:val="22"/>
        </w:rPr>
        <w:t>6.Taxes</w:t>
      </w:r>
      <w:r>
        <w:rPr>
          <w:rFonts w:ascii="Times New Roman;serif" w:hAnsi="Times New Roman;serif"/>
          <w:b w:val="false"/>
          <w:color w:val="000000"/>
          <w:sz w:val="22"/>
        </w:rPr>
        <w:t xml:space="preserve">. </w:t>
      </w:r>
    </w:p>
    <w:p>
      <w:pPr>
        <w:pStyle w:val="TextBody"/>
        <w:bidi w:val="0"/>
        <w:spacing w:lineRule="auto" w:line="240" w:before="0" w:after="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Responsibility for Taxes</w:t>
      </w:r>
      <w:r>
        <w:rPr>
          <w:rFonts w:ascii="Times New Roman;serif" w:hAnsi="Times New Roman;serif"/>
          <w:b w:val="false"/>
          <w:color w:val="000000"/>
          <w:sz w:val="22"/>
        </w:rPr>
        <w:t xml:space="preserve">. The Employee shall be liable for any and all applicable federal, state and local income tax, social insurance, payroll tax, payment on account or other tax-related withholding requirements arising out of this grant or the vesting of the PSUs hereunder (“Tax-Related Items”). Notwithstanding any contrary provision of this Agreement or the Plan, no Shares will be issued to the Employee unless and until satisfactory arrangements (as determined by the Committee) have been made by the Employee with respect to the Tax-Related Items which the Company or the Subsidiary of the Company employing or retaining the Employee (the “Employer”) determines must be withheld with respect to the PSUs or any Shares issued upon vesting. In this regard, the Employee acknowledges and agrees that: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(i)The Employee is ultimately responsible for all Tax-Related Items and the Employee’s liability for Tax-Related Items may exceed the amount withheld by the Company and/or the Employer, if any;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(ii)The Company and/or the Employer make no representations or undertakings regarding the treatment of any Tax-Related Items in connection with any aspect of the PSUs, including, but not limited to, the grant, vesting or settlement of the PSUs, the subsequent sale of Shares acquired upon vesting of the PSUs and the receipt of any Dividend Equivalents;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(iii)The Company and/or the Employer do not commit to and are under no obligation to structure the terms of the grant or any aspect of the PSUs to reduce or eliminate the Employee’s liability for Tax-Related Items or achieve any particular tax result; </w:t>
      </w:r>
    </w:p>
    <w:p>
      <w:pPr>
        <w:pStyle w:val="TextBody"/>
        <w:bidi w:val="0"/>
        <w:spacing w:lineRule="auto" w:line="240" w:before="0" w:after="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(iv)The Company and/or the Employer (or former employer, as applicable) may be required to withhold or account for Tax-Related Items in more than one jurisdiction if the Employee is subject to tax in more than one jurisdiction between the Grant Date and the date of any relevant taxable or tax withholding event, as applicable; and</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(v)If the Employee fails to make satisfactory arrangements for the payment of any Tax-Related Items at the time any applicable PSUs otherwise are scheduled to vest pursuant to Section 2 or 4 or, if later, at the time any Tax-Related Items related to PSUs otherwise are due, the Employee will permanently forfeit such PSUs and any right to receive Shares thereunder and the PSUs will be returned to the Company at no cost to the Company.</w:t>
      </w:r>
    </w:p>
    <w:p>
      <w:pPr>
        <w:pStyle w:val="TextBody"/>
        <w:bidi w:val="0"/>
        <w:spacing w:lineRule="auto" w:line="240" w:before="0" w:after="0"/>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Withholding of Taxes</w:t>
      </w:r>
      <w:r>
        <w:rPr>
          <w:rFonts w:ascii="Times New Roman;serif" w:hAnsi="Times New Roman;serif"/>
          <w:b w:val="false"/>
          <w:color w:val="000000"/>
          <w:sz w:val="22"/>
        </w:rPr>
        <w:t xml:space="preserve">. Prior to the settlement of the PSUs, the Employee shall pay or make adequate arrangements satisfactory to the Company and the Employer to satisfy his or her withholding tax obligations. </w:t>
      </w:r>
    </w:p>
    <w:p>
      <w:pPr>
        <w:pStyle w:val="TextBody"/>
        <w:bidi w:val="0"/>
        <w:spacing w:lineRule="auto" w:line="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 xml:space="preserve">(i)Unless an alternative arrangement satisfactory to the Committee has been provided prior to the time that the PSUs vest, the Employee authorizes the Company and/or the Employer, or their respective agents, at their discretion, to satisfy their obligations with regard to all Tax-Related Items by Shares being sold on the Employee’s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the withholding obligations for Tax-Related Items (and any associated </w:t>
      </w:r>
    </w:p>
    <w:p>
      <w:pPr>
        <w:pStyle w:val="TextBody"/>
        <w:bidi w:val="0"/>
        <w:spacing w:before="0" w:after="0"/>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broker or other fees) arising with respect to the PSUs. Only whole Shares will be sold to satisfy any obligations for Tax-Related Items. For purposes of determining the number of Shares to be sold to satisfy the withholding obligations for Tax-Related Items, the Company may use rates which exceed the Employee’s actual tax rate, including maximum applicable tax rates, in which case the Employee will receive a cash refund of any over-withheld amount not remitted to applicable tax authorities on the Employee’s behalf and the Employee will have no entitlement to receive the equivalent amount in Shares. </w:t>
      </w:r>
    </w:p>
    <w:p>
      <w:pPr>
        <w:pStyle w:val="TextBody"/>
        <w:bidi w:val="0"/>
        <w:spacing w:lineRule="auto" w:line="240" w:before="0" w:after="240"/>
        <w:ind w:left="0" w:right="0" w:hanging="432"/>
        <w:jc w:val="both"/>
        <w:rPr>
          <w:rFonts w:ascii="Times New Roman;serif" w:hAnsi="Times New Roman;serif"/>
          <w:b w:val="false"/>
          <w:color w:val="000000"/>
          <w:sz w:val="22"/>
        </w:rPr>
      </w:pPr>
      <w:r>
        <w:rPr>
          <w:rFonts w:ascii="Times New Roman;serif" w:hAnsi="Times New Roman;serif"/>
          <w:b w:val="false"/>
          <w:color w:val="000000"/>
          <w:sz w:val="22"/>
        </w:rPr>
        <w:t>(ii)If the Committee determines that the Employee cannot satisfy the obligations for Tax-Related Items through the procedure set forth in the immediately preceding paragraph, then the Committee may satisfy its obligations for Tax-Related Items by one of more of the following methods: (w) requiring the Employee to deliver cash or check to the Company or the Employer; (x) withholding from the Employee’s wages or other cash compensation paid to the Employee by the Company and/or the Employer; (y) withholding Shares otherwise issuable upon vesting of the PSUs with a Fair Market Value equal to the minimum amount of any Tax-Related Items required to be withheld; or (y) such other means as the Committee deems appropriate.</w:t>
      </w:r>
    </w:p>
    <w:p>
      <w:pPr>
        <w:pStyle w:val="TextBody"/>
        <w:bidi w:val="0"/>
        <w:spacing w:lineRule="auto" w:line="240" w:before="0" w:after="240"/>
        <w:ind w:left="0" w:right="0" w:hanging="720"/>
        <w:jc w:val="both"/>
      </w:pPr>
      <w:r>
        <w:rPr>
          <w:rFonts w:ascii="Times New Roman;serif" w:hAnsi="Times New Roman;serif"/>
          <w:b/>
          <w:color w:val="000000"/>
          <w:sz w:val="22"/>
        </w:rPr>
        <w:t>7.Transferability of PSUs</w:t>
      </w:r>
      <w:r>
        <w:rPr>
          <w:rFonts w:ascii="Times New Roman;serif" w:hAnsi="Times New Roman;serif"/>
          <w:b w:val="false"/>
          <w:color w:val="000000"/>
          <w:sz w:val="22"/>
        </w:rPr>
        <w:t>. The PSUs or any of the rights granted hereunder may not be sold, pledged or otherwise transferred otherwise than by will or the laws of descent and distribution.</w:t>
      </w:r>
    </w:p>
    <w:p>
      <w:pPr>
        <w:pStyle w:val="TextBody"/>
        <w:bidi w:val="0"/>
        <w:spacing w:lineRule="auto" w:line="240" w:before="0" w:after="240"/>
        <w:ind w:left="0" w:right="0" w:hanging="720"/>
        <w:jc w:val="both"/>
      </w:pPr>
      <w:r>
        <w:rPr>
          <w:rFonts w:ascii="Times New Roman;serif" w:hAnsi="Times New Roman;serif"/>
          <w:b/>
          <w:color w:val="000000"/>
          <w:sz w:val="22"/>
        </w:rPr>
        <w:t>8.Notices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lineRule="auto" w:line="240" w:before="0" w:after="240"/>
        <w:ind w:left="0" w:right="0" w:hanging="720"/>
        <w:jc w:val="both"/>
      </w:pPr>
      <w:r>
        <w:rPr>
          <w:rFonts w:ascii="Times New Roman;serif" w:hAnsi="Times New Roman;serif"/>
          <w:b/>
          <w:color w:val="000000"/>
          <w:sz w:val="22"/>
        </w:rPr>
        <w:t>9.Severability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lineRule="auto" w:line="240" w:before="0" w:after="240"/>
        <w:ind w:left="0" w:right="0" w:hanging="720"/>
        <w:jc w:val="both"/>
      </w:pPr>
      <w:r>
        <w:rPr>
          <w:rFonts w:ascii="Times New Roman;serif" w:hAnsi="Times New Roman;serif"/>
          <w:b/>
          <w:color w:val="000000"/>
          <w:sz w:val="22"/>
        </w:rPr>
        <w:t>10.Complete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lineRule="auto" w:line="240" w:before="0" w:after="240"/>
        <w:ind w:left="0" w:right="0" w:hanging="720"/>
        <w:jc w:val="both"/>
      </w:pPr>
      <w:r>
        <w:rPr>
          <w:rFonts w:ascii="Times New Roman;serif" w:hAnsi="Times New Roman;serif"/>
          <w:b/>
          <w:color w:val="000000"/>
          <w:sz w:val="22"/>
        </w:rPr>
        <w:t>11.No Promise of Employment</w:t>
      </w:r>
      <w:r>
        <w:rPr>
          <w:rFonts w:ascii="Times New Roman;serif" w:hAnsi="Times New Roman;serif"/>
          <w:b w:val="false"/>
          <w:color w:val="000000"/>
          <w:sz w:val="22"/>
        </w:rPr>
        <w:t>. Neither the Plan nor this Agreement nor any provisions under either shall be construed so as to grant the Employee any right to remain in the employ of the Company or any of its Subsidiaries.</w:t>
      </w:r>
    </w:p>
    <w:p>
      <w:pPr>
        <w:pStyle w:val="TextBody"/>
        <w:bidi w:val="0"/>
        <w:spacing w:lineRule="auto" w:line="240" w:before="0" w:after="240"/>
        <w:ind w:left="0" w:right="0" w:hanging="720"/>
        <w:jc w:val="both"/>
      </w:pPr>
      <w:r>
        <w:rPr>
          <w:rFonts w:ascii="Times New Roman;serif" w:hAnsi="Times New Roman;serif"/>
          <w:b/>
          <w:color w:val="000000"/>
          <w:sz w:val="22"/>
        </w:rPr>
        <w:t>12.Counterparts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lineRule="auto" w:line="240" w:before="0" w:after="240"/>
        <w:ind w:left="0" w:right="0" w:hanging="720"/>
        <w:jc w:val="both"/>
      </w:pPr>
      <w:r>
        <w:rPr>
          <w:rFonts w:ascii="Times New Roman;serif" w:hAnsi="Times New Roman;serif"/>
          <w:b/>
          <w:color w:val="000000"/>
          <w:sz w:val="22"/>
        </w:rPr>
        <w:t>13.Successors and Assigns</w:t>
      </w:r>
      <w:r>
        <w:rPr>
          <w:rFonts w:ascii="Times New Roman;serif" w:hAnsi="Times New Roman;serif"/>
          <w:b w:val="false"/>
          <w:color w:val="000000"/>
          <w:sz w:val="22"/>
        </w:rPr>
        <w:t xml:space="preserve">. This Agreement is intended to bind and inure to the benefit of and be enforceable by the Employee, the Company and their respective permitted successors and assigns </w:t>
      </w:r>
    </w:p>
    <w:p>
      <w:pPr>
        <w:pStyle w:val="TextBody"/>
        <w:bidi w:val="0"/>
        <w:spacing w:before="0" w:after="0"/>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lineRule="auto" w:line="240" w:before="0" w:after="240"/>
        <w:ind w:left="0" w:right="0" w:hanging="720"/>
        <w:jc w:val="both"/>
      </w:pPr>
      <w:r>
        <w:rPr>
          <w:rFonts w:ascii="Times New Roman;serif" w:hAnsi="Times New Roman;serif"/>
          <w:b/>
          <w:color w:val="000000"/>
          <w:sz w:val="22"/>
        </w:rPr>
        <w:t>14.Remedies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lineRule="auto" w:line="240" w:before="0" w:after="240"/>
        <w:ind w:left="0" w:right="0" w:hanging="720"/>
        <w:jc w:val="both"/>
      </w:pPr>
      <w:r>
        <w:rPr>
          <w:rFonts w:ascii="Times New Roman;serif" w:hAnsi="Times New Roman;serif"/>
          <w:b/>
          <w:color w:val="000000"/>
          <w:sz w:val="22"/>
        </w:rPr>
        <w:t>15.Waiver or Modification</w:t>
      </w:r>
      <w:r>
        <w:rPr>
          <w:rFonts w:ascii="Times New Roman;serif" w:hAnsi="Times New Roman;serif"/>
          <w:b w:val="false"/>
          <w:color w:val="000000"/>
          <w:sz w:val="22"/>
        </w:rPr>
        <w:t>. Any waiver or modification of any of the provisions of this Agreement shall not be valid unless made in writing and signed by the parties hereto. A waiver by either party of any breach of this Agreement shall not operate as a waiver of any subsequent breach.</w:t>
      </w:r>
    </w:p>
    <w:p>
      <w:pPr>
        <w:pStyle w:val="TextBody"/>
        <w:bidi w:val="0"/>
        <w:spacing w:lineRule="auto" w:line="240" w:before="0" w:after="240"/>
        <w:ind w:left="0" w:right="0" w:hanging="720"/>
        <w:jc w:val="both"/>
      </w:pPr>
      <w:r>
        <w:rPr>
          <w:rFonts w:ascii="Times New Roman;serif" w:hAnsi="Times New Roman;serif"/>
          <w:b/>
          <w:color w:val="000000"/>
          <w:sz w:val="22"/>
        </w:rPr>
        <w:t>16.Governing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lineRule="auto" w:line="240" w:before="0" w:after="240"/>
        <w:ind w:left="0" w:right="0" w:hanging="720"/>
        <w:jc w:val="both"/>
      </w:pPr>
      <w:r>
        <w:rPr>
          <w:rFonts w:ascii="Times New Roman;serif" w:hAnsi="Times New Roman;serif"/>
          <w:b/>
          <w:color w:val="000000"/>
          <w:sz w:val="22"/>
        </w:rPr>
        <w:t>17.Code Section 409A</w:t>
      </w:r>
      <w:r>
        <w:rPr>
          <w:rFonts w:ascii="Times New Roman;serif" w:hAnsi="Times New Roman;serif"/>
          <w:b w:val="false"/>
          <w:color w:val="000000"/>
          <w:sz w:val="22"/>
        </w:rPr>
        <w:t>.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Employee to incur any additional tax or interest under Section 409A, the Company shall be entitled to reform such provision without the Employee’s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Employee and the Company without violating the provisions of Section 409A. Neither the Company nor any employee,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240"/>
        <w:jc w:val="both"/>
      </w:pPr>
      <w:r>
        <w:rPr>
          <w:rFonts w:ascii="Times New Roman;serif" w:hAnsi="Times New Roman;serif"/>
          <w:b w:val="false"/>
          <w:color w:val="000000"/>
          <w:sz w:val="22"/>
        </w:rPr>
        <w:t>18.</w:t>
      </w: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lineRule="auto" w:line="288" w:before="0" w:after="0"/>
        <w:ind w:left="0" w:right="0" w:hanging="5040"/>
        <w:jc w:val="both"/>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pPr>
      <w:r/>
    </w:p>
    <w:tbl>
      <w:tblPr>
        <w:tblW w:w="7179"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149"/>
        <w:gridCol w:w="149"/>
        <w:gridCol w:w="151"/>
        <w:gridCol w:w="670"/>
        <w:gridCol w:w="670"/>
        <w:gridCol w:w="954"/>
      </w:tblGrid>
      <w:t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294" w:type="dxa"/>
            <w:gridSpan w:val="3"/>
            <w:tcBorders/>
            <w:tcMar>
              <w:top w:w="0" w:type="dxa"/>
              <w:left w:w="0" w:type="dxa"/>
              <w:bottom w:w="0" w:type="dxa"/>
              <w:right w:w="0" w:type="dxa"/>
            </w:tcMar>
            <w:vAlign w:val="center"/>
          </w:tcPr>
          <w:p>
            <w:pPr>
              <w:pStyle w:val="TableContents"/>
              <w:bidi w:val="0"/>
              <w:spacing w:before="0" w:after="0"/>
              <w:jc w:val="both"/>
            </w:pPr>
            <w:r/>
          </w:p>
        </w:tc>
      </w:tr>
      <w:tr>
        <w:tc>
          <w:tcPr>
            <w:tcW w:w="4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c>
          <w:tcPr>
            <w:tcW w:w="4109" w:type="dxa"/>
            <w:gridSpan w:val="3"/>
            <w:tcBorders/>
            <w:tcMar>
              <w:top w:w="0" w:type="dxa"/>
              <w:left w:w="0" w:type="dxa"/>
              <w:bottom w:w="0" w:type="dxa"/>
              <w:right w:w="0" w:type="dxa"/>
            </w:tcMar>
            <w:vAlign w:val="center"/>
          </w:tcPr>
          <w:p>
            <w:pPr>
              <w:pStyle w:val="TableContents"/>
              <w:bidi w:val="0"/>
              <w:spacing w:before="0" w:after="0"/>
              <w:jc w:val="both"/>
            </w:pPr>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before="0" w:after="0"/>
              <w:jc w:val="both"/>
            </w:pPr>
            <w:r/>
          </w:p>
        </w:tc>
        <w:tc>
          <w:tcPr>
            <w:tcW w:w="2294" w:type="dxa"/>
            <w:gridSpan w:val="3"/>
            <w:tcBorders/>
            <w:tcMar>
              <w:top w:w="0" w:type="dxa"/>
              <w:left w:w="0" w:type="dxa"/>
              <w:bottom w:w="0" w:type="dxa"/>
              <w:right w:w="0" w:type="dxa"/>
            </w:tcMar>
            <w:vAlign w:val="center"/>
          </w:tcPr>
          <w:p>
            <w:pPr>
              <w:pStyle w:val="TableContents"/>
              <w:bidi w:val="0"/>
              <w:spacing w:before="0" w:after="0"/>
              <w:jc w:val="both"/>
            </w:pPr>
            <w:r/>
          </w:p>
        </w:tc>
      </w:tr>
    </w:tbl>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before="0" w:after="0"/>
        <w:jc w:val="left"/>
      </w:p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xml:space="preserve">STATEMENT OF PERFORMANCE GOALS FOR </w:t>
        <w:br/>
        <w:t>PERFORMANCE-BASED STOCK UNITS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Statement of Performance Goals applies to the PSUs granted to the Employee on the Grant Date and is incorporated by reference as part of the Performance-Based Stock Unit Award Agreement between the Company and the Employee (the “Agreement”). The PSUs are subject to all of the terms and conditions in the Agreement and in the Plan.</w:t>
      </w:r>
    </w:p>
    <w:p>
      <w:pPr>
        <w:pStyle w:val="TextBody"/>
        <w:bidi w:val="0"/>
        <w:spacing w:lineRule="auto" w:line="240" w:before="0" w:after="240"/>
        <w:ind w:left="0" w:right="0" w:hanging="720"/>
        <w:jc w:val="both"/>
      </w:pPr>
      <w:r>
        <w:rPr>
          <w:rFonts w:ascii="Times New Roman;serif" w:hAnsi="Times New Roman;serif"/>
          <w:b/>
          <w:color w:val="000000"/>
          <w:sz w:val="22"/>
        </w:rPr>
        <w:t>1.Definitions</w:t>
      </w:r>
      <w:r>
        <w:rPr>
          <w:rFonts w:ascii="Times New Roman;serif" w:hAnsi="Times New Roman;serif"/>
          <w:b w:val="false"/>
          <w:color w:val="000000"/>
          <w:sz w:val="22"/>
        </w:rPr>
        <w:t>. Capitalized terms used in the Agreement that are not specifically defined in this Statement of Performance Goals have the meanings assigned to them in the Agreement or if not defined therein, in the Plan. For purposes of this Statement of Performance Goals:</w:t>
      </w:r>
    </w:p>
    <w:p>
      <w:pPr>
        <w:pStyle w:val="TextBody"/>
        <w:bidi w:val="0"/>
        <w:spacing w:lineRule="auto" w:line="240" w:before="0" w:after="240"/>
        <w:ind w:left="0" w:right="0" w:firstLine="720"/>
        <w:jc w:val="both"/>
      </w:pPr>
      <w:r>
        <w:rPr>
          <w:rFonts w:ascii="Times New Roman;serif" w:hAnsi="Times New Roman;serif"/>
          <w:b w:val="false"/>
          <w:color w:val="000000"/>
          <w:sz w:val="22"/>
        </w:rPr>
        <w:t>(a)</w:t>
      </w:r>
      <w:r>
        <w:rPr>
          <w:color w:val="000000"/>
        </w:rPr>
        <w:t>“</w:t>
      </w:r>
      <w:r>
        <w:rPr>
          <w:rFonts w:ascii="Times New Roman;serif" w:hAnsi="Times New Roman;serif"/>
          <w:b w:val="false"/>
          <w:color w:val="000000"/>
          <w:sz w:val="22"/>
        </w:rPr>
        <w:t>Performance Date” means, in the event a VWAP Goal (as defined below) is achieved for a particular Tranche, the first date as of which the VWAP Goal for such Tranche is achieved.</w:t>
      </w:r>
    </w:p>
    <w:p>
      <w:pPr>
        <w:pStyle w:val="TextBody"/>
        <w:bidi w:val="0"/>
        <w:spacing w:lineRule="auto" w:line="240" w:before="0" w:after="240"/>
        <w:ind w:left="0" w:right="0" w:firstLine="720"/>
        <w:jc w:val="both"/>
      </w:pPr>
      <w:r>
        <w:rPr>
          <w:rFonts w:ascii="Times New Roman;serif" w:hAnsi="Times New Roman;serif"/>
          <w:b w:val="false"/>
          <w:color w:val="000000"/>
          <w:sz w:val="22"/>
        </w:rPr>
        <w:t>(b)</w:t>
      </w:r>
      <w:r>
        <w:rPr>
          <w:color w:val="000000"/>
        </w:rPr>
        <w:t>“</w:t>
      </w:r>
      <w:r>
        <w:rPr>
          <w:rFonts w:ascii="Times New Roman;serif" w:hAnsi="Times New Roman;serif"/>
          <w:b w:val="false"/>
          <w:color w:val="000000"/>
          <w:sz w:val="22"/>
        </w:rPr>
        <w:t>VWAP” means the trailing forty-five (45) day volume-weighted average price of the Shares. VWAP will be calculated using the daily high/low average price and total daily volume, each as presented by Yahoo Finance.</w:t>
      </w:r>
    </w:p>
    <w:p>
      <w:pPr>
        <w:pStyle w:val="TextBody"/>
        <w:bidi w:val="0"/>
        <w:spacing w:lineRule="auto" w:line="240" w:before="0" w:after="240"/>
        <w:ind w:left="0" w:right="0" w:hanging="720"/>
        <w:jc w:val="both"/>
      </w:pPr>
      <w:r>
        <w:rPr>
          <w:rFonts w:ascii="Times New Roman;serif" w:hAnsi="Times New Roman;serif"/>
          <w:b/>
          <w:color w:val="000000"/>
          <w:sz w:val="22"/>
        </w:rPr>
        <w:t>2.Performance Period</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(a)Performance Period:    </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(b)Potential Payout % (as a percentage of the target number of PSUs):    </w:t>
      </w:r>
    </w:p>
    <w:p>
      <w:pPr>
        <w:pStyle w:val="TextBody"/>
        <w:bidi w:val="0"/>
        <w:spacing w:lineRule="auto" w:line="240" w:before="0" w:after="240"/>
        <w:ind w:left="0" w:right="0" w:hanging="720"/>
        <w:jc w:val="both"/>
      </w:pPr>
      <w:r>
        <w:rPr>
          <w:rFonts w:ascii="Times New Roman;serif" w:hAnsi="Times New Roman;serif"/>
          <w:b/>
          <w:color w:val="000000"/>
          <w:sz w:val="22"/>
        </w:rPr>
        <w:t>3.Performance Goals</w:t>
      </w:r>
      <w:r>
        <w:rPr>
          <w:rFonts w:ascii="Times New Roman;serif" w:hAnsi="Times New Roman;serif"/>
          <w:b w:val="false"/>
          <w:color w:val="000000"/>
          <w:sz w:val="22"/>
        </w:rPr>
        <w:t>.</w:t>
      </w:r>
    </w:p>
    <w:p>
      <w:pPr>
        <w:pStyle w:val="TextBody"/>
        <w:bidi w:val="0"/>
        <w:spacing w:lineRule="auto" w:line="240" w:before="0" w:after="24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General Vesting</w:t>
      </w:r>
      <w:r>
        <w:rPr>
          <w:rFonts w:ascii="Times New Roman;serif" w:hAnsi="Times New Roman;serif"/>
          <w:b w:val="false"/>
          <w:color w:val="000000"/>
          <w:sz w:val="22"/>
        </w:rPr>
        <w:t>. The target PSUs are divided into three (3) vesting tranches (each, a “Tranche”). The PSUs in each Tranche shall vest upon the later of (i) the Committee’s certification of the achievement of the following VWAP applicable to each Tranche (the “VWAP Goal”), (which achievement must occur prior to the end of the Performance Period) and (ii) the relevant Retention Date for each Tranche as set forth below, subject to the Employee’s continued employment with the Company or its Subsidiary through the later of the applicable Performance Date and Retention Date for such Tranche.</w:t>
      </w:r>
    </w:p>
    <w:tbl>
      <w:tblPr>
        <w:tblW w:w="5742" w:type="dxa"/>
        <w:jc w:val="left"/>
        <w:tblInd w:w="0" w:type="dxa"/>
        <w:tblLayout w:type="fixed"/>
        <w:tblCellMar>
          <w:top w:w="28" w:type="dxa"/>
          <w:left w:w="28" w:type="dxa"/>
          <w:bottom w:w="28" w:type="dxa"/>
          <w:right w:w="28" w:type="dxa"/>
        </w:tblCellMar>
      </w:tblPr>
      <w:tblGrid>
        <w:gridCol w:w="385"/>
        <w:gridCol w:w="339"/>
        <w:gridCol w:w="341"/>
        <w:gridCol w:w="574"/>
        <w:gridCol w:w="574"/>
        <w:gridCol w:w="576"/>
        <w:gridCol w:w="444"/>
        <w:gridCol w:w="444"/>
        <w:gridCol w:w="446"/>
        <w:gridCol w:w="474"/>
        <w:gridCol w:w="474"/>
        <w:gridCol w:w="671"/>
      </w:tblGrid>
      <w:tr>
        <w:tc>
          <w:tcPr>
            <w:tcW w:w="38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Tranche</w:t>
            </w:r>
          </w:p>
        </w:tc>
        <w:tc>
          <w:tcPr>
            <w:tcW w:w="17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Number of PSUs</w:t>
            </w:r>
          </w:p>
        </w:tc>
        <w:tc>
          <w:tcPr>
            <w:tcW w:w="13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VWAP Goal</w:t>
            </w:r>
          </w:p>
        </w:tc>
        <w:tc>
          <w:tcPr>
            <w:tcW w:w="161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Retention Date</w:t>
            </w:r>
          </w:p>
        </w:tc>
      </w:tr>
      <w:t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1</w:t>
            </w:r>
          </w:p>
        </w:tc>
        <w:tc>
          <w:tcPr>
            <w:tcW w:w="17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10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2</w:t>
            </w:r>
          </w:p>
        </w:tc>
        <w:tc>
          <w:tcPr>
            <w:tcW w:w="172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c>
          <w:tcPr>
            <w:tcW w:w="10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Tranche 3</w:t>
            </w:r>
          </w:p>
        </w:tc>
        <w:tc>
          <w:tcPr>
            <w:tcW w:w="172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40" w:before="0" w:after="240"/>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Change in Control Vesting</w:t>
      </w:r>
      <w:r>
        <w:rPr>
          <w:rFonts w:ascii="Times New Roman;serif" w:hAnsi="Times New Roman;serif"/>
          <w:b w:val="false"/>
          <w:color w:val="000000"/>
          <w:sz w:val="22"/>
        </w:rPr>
        <w:t>. In the event that a Change in Control occurs during the Performance Period and Employee remains continuously employed through the effective date of such Change in Control, any then-unvested Tranche of PSUs shall vest as follows:</w:t>
      </w:r>
    </w:p>
    <w:p>
      <w:pPr>
        <w:pStyle w:val="TextBody"/>
        <w:bidi w:val="0"/>
        <w:spacing w:lineRule="auto" w:line="288" w:before="0" w:after="240"/>
        <w:jc w:val="both"/>
      </w:pPr>
      <w:r>
        <w:rPr>
          <w:rFonts w:ascii="Times New Roman;serif" w:hAnsi="Times New Roman;serif"/>
          <w:b w:val="false"/>
          <w:color w:val="000000"/>
          <w:sz w:val="22"/>
        </w:rPr>
        <w:t xml:space="preserve">(i) </w:t>
      </w:r>
      <w:r>
        <w:rPr>
          <w:rFonts w:ascii="Times New Roman;serif" w:hAnsi="Times New Roman;serif"/>
          <w:b w:val="false"/>
          <w:color w:val="000000"/>
          <w:sz w:val="22"/>
          <w:u w:val="single"/>
        </w:rPr>
        <w:t>Measurement Based on Per Share Deal Price</w:t>
      </w:r>
      <w:r>
        <w:rPr>
          <w:rFonts w:ascii="Times New Roman;serif" w:hAnsi="Times New Roman;serif"/>
          <w:b w:val="false"/>
          <w:color w:val="000000"/>
          <w:sz w:val="22"/>
        </w:rPr>
        <w:t xml:space="preserve">. If a Change in Control occurs and any VWAP Goal has not yet been met, then the Per Share Deal Price (as defined below) will be measured against such VWAP Goal, as of a date determined by the Compensation Committee in its sole discretion, during the period beginning ten (10) days [calendar days / trading days] before the completion of the Change in Control and ending on the [calendar / trading] day immediately prior to the Change in Control, to determine whether any such VWAP Goal will be achieved. Any PSUs for which such VWAP Goal is deemed achieved based on the Per </w:t>
      </w:r>
    </w:p>
    <w:p>
      <w:pPr>
        <w:pStyle w:val="TextBody"/>
        <w:bidi w:val="0"/>
        <w:spacing w:before="0" w:after="0"/>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Share Deal Price will be considered vested PSUs as of immediately prior to the completion of the Change in Control.</w:t>
      </w:r>
    </w:p>
    <w:p>
      <w:pPr>
        <w:pStyle w:val="TextBody"/>
        <w:bidi w:val="0"/>
        <w:spacing w:lineRule="auto" w:line="288" w:before="0" w:after="240"/>
        <w:jc w:val="both"/>
      </w:pPr>
      <w:r>
        <w:rPr>
          <w:rFonts w:ascii="Times New Roman;serif" w:hAnsi="Times New Roman;serif"/>
          <w:b w:val="false"/>
          <w:color w:val="000000"/>
          <w:sz w:val="22"/>
        </w:rPr>
        <w:t xml:space="preserve">(ii) </w:t>
      </w:r>
      <w:r>
        <w:rPr>
          <w:rFonts w:ascii="Times New Roman;serif" w:hAnsi="Times New Roman;serif"/>
          <w:b w:val="false"/>
          <w:color w:val="000000"/>
          <w:sz w:val="22"/>
          <w:u w:val="single"/>
        </w:rPr>
        <w:t>Per Share Deal Price</w:t>
      </w:r>
      <w:r>
        <w:rPr>
          <w:rFonts w:ascii="Times New Roman;serif" w:hAnsi="Times New Roman;serif"/>
          <w:b w:val="false"/>
          <w:color w:val="000000"/>
          <w:sz w:val="22"/>
        </w:rPr>
        <w:t>. For purposes of this PSU, “Per Share Deal Price” means the total amount of cash consideration and value of any non-cash consideration received or potentially receivable for a share by holders of Common Stock in connection with a Change in Control. The value of any non-cash consideration will be determined in good faith by the Compensation Committee, except that if such non-cash consideration is in the form of publicly traded securities, then the value of such publicly traded securities will be based on the closing trading price of such publicly traded securities on the date of Closing.</w:t>
      </w:r>
    </w:p>
    <w:p>
      <w:pPr>
        <w:pStyle w:val="TextBody"/>
        <w:bidi w:val="0"/>
        <w:spacing w:lineRule="auto" w:line="288" w:before="0" w:after="240"/>
        <w:jc w:val="both"/>
      </w:pPr>
      <w:r>
        <w:rPr>
          <w:rFonts w:ascii="Times New Roman;serif" w:hAnsi="Times New Roman;serif"/>
          <w:b w:val="false"/>
          <w:color w:val="000000"/>
          <w:sz w:val="22"/>
        </w:rPr>
        <w:t xml:space="preserve">(iii) </w:t>
      </w:r>
      <w:r>
        <w:rPr>
          <w:rFonts w:ascii="Times New Roman;serif" w:hAnsi="Times New Roman;serif"/>
          <w:b w:val="false"/>
          <w:color w:val="000000"/>
          <w:sz w:val="22"/>
          <w:u w:val="single"/>
        </w:rPr>
        <w:t>Vesting at Closing</w:t>
      </w:r>
      <w:r>
        <w:rPr>
          <w:rFonts w:ascii="Times New Roman;serif" w:hAnsi="Times New Roman;serif"/>
          <w:b w:val="false"/>
          <w:color w:val="000000"/>
          <w:sz w:val="22"/>
        </w:rPr>
        <w:t>. Any PSUs that become vested PSUs prior to or in connection with the Change in Control will vest as of immediately prior to the effective date of such Change in Control irrespective of any remaining service-vesting to be completed (i.e., the service-vesting component will be fully accelerated).</w:t>
      </w:r>
    </w:p>
    <w:p>
      <w:pPr>
        <w:pStyle w:val="TextBody"/>
        <w:bidi w:val="0"/>
        <w:spacing w:lineRule="auto" w:line="288" w:before="0" w:after="240"/>
        <w:jc w:val="both"/>
      </w:pPr>
      <w:r>
        <w:rPr>
          <w:rFonts w:ascii="Times New Roman;serif" w:hAnsi="Times New Roman;serif"/>
          <w:b w:val="false"/>
          <w:color w:val="000000"/>
          <w:sz w:val="22"/>
        </w:rPr>
        <w:t xml:space="preserve">(iv) </w:t>
      </w:r>
      <w:r>
        <w:rPr>
          <w:rFonts w:ascii="Times New Roman;serif" w:hAnsi="Times New Roman;serif"/>
          <w:b w:val="false"/>
          <w:color w:val="000000"/>
          <w:sz w:val="22"/>
          <w:u w:val="single"/>
        </w:rPr>
        <w:t>Forfeiture</w:t>
      </w:r>
      <w:r>
        <w:rPr>
          <w:rFonts w:ascii="Times New Roman;serif" w:hAnsi="Times New Roman;serif"/>
          <w:b w:val="false"/>
          <w:color w:val="000000"/>
          <w:sz w:val="22"/>
        </w:rPr>
        <w:t>. Any PSUs that do not become vested PSUs will be forfeited as of immediately prior to the Change in Control.</w:t>
      </w:r>
    </w:p>
    <w:p>
      <w:pPr>
        <w:pStyle w:val="TextBody"/>
        <w:bidi w:val="0"/>
        <w:spacing w:lineRule="auto" w:line="240" w:before="0" w:after="240"/>
        <w:ind w:left="0" w:right="0" w:hanging="720"/>
        <w:jc w:val="both"/>
      </w:pPr>
      <w:r>
        <w:rPr>
          <w:rFonts w:ascii="Times New Roman;serif" w:hAnsi="Times New Roman;serif"/>
          <w:b/>
          <w:color w:val="000000"/>
          <w:sz w:val="22"/>
        </w:rPr>
        <w:t>4.Certification</w:t>
      </w:r>
      <w:r>
        <w:rPr>
          <w:rFonts w:ascii="Times New Roman;serif" w:hAnsi="Times New Roman;serif"/>
          <w:b w:val="false"/>
          <w:color w:val="000000"/>
          <w:sz w:val="22"/>
        </w:rPr>
        <w:t>. The Committee shall periodically assess whether the VWAP for a particular Tranche has been achieved, and, if it concludes that such VWAP Goal has been achieved, shall (a) promptly certify such achievement and (b) determine the Performance Date on which such VWAP Goal was first achieved. For the avoidance of doubt, the Committee may certify the achievement of the VWAP Goal for any Tranche following the last day of the Performance Period, provided that the applicable Performance Date occurred prior to the end of the Performance Period.</w:t>
      </w:r>
    </w:p>
    <w:p>
      <w:pPr>
        <w:pStyle w:val="TextBody"/>
        <w:bidi w:val="0"/>
        <w:spacing w:lineRule="auto" w:line="240" w:before="0" w:after="240"/>
        <w:ind w:left="0" w:right="0" w:hanging="720"/>
        <w:jc w:val="both"/>
      </w:pPr>
      <w:r>
        <w:rPr>
          <w:rFonts w:ascii="Times New Roman;serif" w:hAnsi="Times New Roman;serif"/>
          <w:b/>
          <w:color w:val="000000"/>
          <w:sz w:val="22"/>
        </w:rPr>
        <w:t>5.Expiration</w:t>
      </w:r>
      <w:r>
        <w:rPr>
          <w:rFonts w:ascii="Times New Roman;serif" w:hAnsi="Times New Roman;serif"/>
          <w:b w:val="false"/>
          <w:color w:val="000000"/>
          <w:sz w:val="22"/>
        </w:rPr>
        <w:t>. Any outstanding, unvested PSUs for any Tranche with respect to which the Performance Date has not occurred on or prior to the end of the Performance Period will be immediately forfeited immediately following the end of the Performance Period.</w:t>
      </w:r>
    </w:p>
    <w:p>
      <w:pPr>
        <w:pStyle w:val="TextBody"/>
        <w:bidi w:val="0"/>
        <w:spacing w:before="0" w:after="240"/>
        <w:ind w:left="0" w:right="0" w:firstLine="720"/>
        <w:jc w:val="both"/>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color w:val="000000"/>
        </w:rPr>
      </w:pPr>
      <w:r>
        <w:rPr>
          <w:color w:val="000000"/>
        </w:rPr>
        <w:t>        </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58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4923-8128-8563.v4</w:t>
                      </w:r>
                    </w:p>
                  </w:txbxContent>
                </v:textbox>
                <w10:wrap type="none"/>
              </v:rect>
            </w:pict>
          </mc:Fallback>
        </mc:AlternateContent>
      </w:r>
    </w:p>
    <w:p>
      <w:pPr>
        <w:pStyle w:val="TextBody"/>
        <w:bidi w:val="0"/>
        <w:spacing w:lineRule="auto" w:line="288" w:before="0" w:after="0"/>
        <w:jc w:val="left"/>
      </w:pPr>
      <w:r>
        <w:rPr>
          <w:rFonts w:ascii="Times New Roman;serif" w:hAnsi="Times New Roman;serif"/>
          <w:b w:val="false"/>
          <w:color w:val="000000"/>
          <w:sz w:val="22"/>
        </w:rPr>
        <w:t xml:space="preserve">Certificate Number: [[GRANTNUMBER]] </w:t>
      </w:r>
      <w:r>
        <w:rPr>
          <w:rFonts w:ascii="Times New Roman;serif" w:hAnsi="Times New Roman;serif"/>
          <w:b/>
          <w:color w:val="000000"/>
          <w:sz w:val="24"/>
        </w:rPr>
        <w:t>Ex 10.2</w:t>
      </w:r>
    </w:p>
    <w:p>
      <w:pPr>
        <w:pStyle w:val="TextBody"/>
        <w:bidi w:val="0"/>
        <w:spacing w:before="0" w:after="0"/>
        <w:jc w:val="left"/>
      </w:pPr>
      <w:r/>
    </w:p>
    <w:p>
      <w:pPr>
        <w:pStyle w:val="TextBody"/>
        <w:bidi w:val="0"/>
        <w:spacing w:lineRule="auto" w:line="288" w:before="0" w:after="0"/>
        <w:jc w:val="both"/>
      </w:pPr>
      <w:r>
        <w:rPr>
          <w:color w:val="000000"/>
        </w:rPr>
        <w:t>    </w:t>
      </w:r>
      <w:r>
        <w:rPr>
          <w:rFonts w:ascii="Times New Roman;serif" w:hAnsi="Times New Roman;serif"/>
          <w:b/>
          <w:color w:val="000000"/>
          <w:sz w:val="22"/>
        </w:rPr>
        <w:t>Universal Electronics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Award Agreement</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This Restricted Stock Unit Award Agreement</w:t>
      </w:r>
      <w:r>
        <w:rPr>
          <w:color w:val="000000"/>
        </w:rPr>
        <w:t xml:space="preserve"> </w:t>
      </w:r>
      <w:r>
        <w:rPr>
          <w:rFonts w:ascii="Times New Roman;serif" w:hAnsi="Times New Roman;serif"/>
          <w:b w:val="false"/>
          <w:color w:val="000000"/>
          <w:sz w:val="22"/>
        </w:rPr>
        <w:t>(the “Agreement”) is made as of [[GRANTDATE]] (the “Grant Date”) by and between Universal Electronics Inc., a Delaware corporation (the “Company”), and the undersigned employee (the “Employee”). As used in this Agreement, the term “Company”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Company’s Chief Financial Officer.</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of Directors of the Company (the “Board”) has approved the Plan;</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Restricted Stock Units (the “RSUs”) to Eligible Persons, payable in shares of the Company’s Common Stock, par value $0.01 per share (each, a “Share”), pursuant to the terms and conditions set forth in the Plan and in this Agreement.</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intending to be legally bound, hereto agree as follows:</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w:t>
      </w:r>
      <w:r>
        <w:rPr>
          <w:color w:val="000000"/>
        </w:rPr>
        <w:t>    </w:t>
      </w:r>
      <w:r>
        <w:rPr>
          <w:rFonts w:ascii="Times New Roman;serif" w:hAnsi="Times New Roman;serif"/>
          <w:b/>
          <w:color w:val="000000"/>
          <w:sz w:val="22"/>
        </w:rPr>
        <w:t>Grant of the RSUs</w:t>
      </w:r>
      <w:r>
        <w:rPr>
          <w:rFonts w:ascii="Times New Roman;serif" w:hAnsi="Times New Roman;serif"/>
          <w:b w:val="false"/>
          <w:color w:val="000000"/>
          <w:sz w:val="22"/>
        </w:rPr>
        <w:t xml:space="preserve">. Subject to the terms and conditions set forth herein, the Employee is hereby granted </w:t>
      </w:r>
      <w:r>
        <w:rPr>
          <w:rFonts w:ascii="Times New Roman;serif" w:hAnsi="Times New Roman;serif"/>
          <w:b/>
          <w:color w:val="000000"/>
          <w:sz w:val="22"/>
        </w:rPr>
        <w:t>[[SHARESGRANTEDWORDS]] ([[SHARESGRANTED]]) RSUs</w:t>
      </w:r>
      <w:r>
        <w:rPr>
          <w:color w:val="000000"/>
        </w:rPr>
        <w:t xml:space="preserve"> </w:t>
      </w:r>
      <w:r>
        <w:rPr>
          <w:rFonts w:ascii="Times New Roman;serif" w:hAnsi="Times New Roman;serif"/>
          <w:b w:val="false"/>
          <w:color w:val="000000"/>
          <w:sz w:val="22"/>
        </w:rPr>
        <w:t>on the Grant Date.</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2.    Vesting of the RSUs and Issuance and Delivery of Shares</w:t>
      </w:r>
      <w:r>
        <w:rPr>
          <w:rFonts w:ascii="Times New Roman;serif" w:hAnsi="Times New Roman;serif"/>
          <w:b w:val="false"/>
          <w:color w:val="000000"/>
          <w:sz w:val="22"/>
        </w:rPr>
        <w:t xml:space="preserve">. </w:t>
      </w:r>
    </w:p>
    <w:p>
      <w:pPr>
        <w:pStyle w:val="TextBody"/>
        <w:bidi w:val="0"/>
        <w:spacing w:before="0" w:after="0"/>
        <w:ind w:left="0" w:right="0" w:hanging="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Vesting</w:t>
      </w:r>
      <w:r>
        <w:rPr>
          <w:rFonts w:ascii="Times New Roman;serif" w:hAnsi="Times New Roman;serif"/>
          <w:b w:val="false"/>
          <w:color w:val="000000"/>
          <w:sz w:val="22"/>
        </w:rPr>
        <w:t>. Subject to earlier termination, acceleration or cancellation of the RSUs as provided herein, the RSUs shall vest in three (3) increments (rounded to the nearest whole unit) as indicated in the following vesting table (each a “Vesting Date”), commencing and continuing in accordance with the vesting table; provided that the Employee continues to be employed by the Company on the applicable Vesting Date. The following table indicates the number of RSUs that shall vest on each Vesting Date:</w:t>
      </w:r>
    </w:p>
    <w:p>
      <w:pPr>
        <w:pStyle w:val="TextBody"/>
        <w:bidi w:val="0"/>
        <w:spacing w:before="0" w:after="0"/>
        <w:ind w:left="0" w:right="0" w:hanging="720"/>
        <w:jc w:val="both"/>
      </w:p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[[ALLVESTSEGS]]</w:t>
      </w:r>
    </w:p>
    <w:p>
      <w:pPr>
        <w:pStyle w:val="TextBody"/>
        <w:bidi w:val="0"/>
        <w:spacing w:before="0" w:after="0"/>
        <w:jc w:val="both"/>
      </w:pPr>
      <w:r/>
    </w:p>
    <w:p>
      <w:pPr>
        <w:pStyle w:val="TextBody"/>
        <w:bidi w:val="0"/>
        <w:spacing w:lineRule="auto" w:line="288"/>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Delivery of Shares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Subject to Sections 6 and 7 of this Agreement, as soon as administratively practicable following the date that the RSUs vest, the Company shall issue and deliver to the Employee (or the Employee’s estate or legal representative, in the event of Employee’s death or total disability) one (1) Share for each vested RSU; provided, however, that if the Committee requires that the Employee pay withholding taxes through a sale of Shares, settlement of each RSU shall be deferred to the next permissible trading day, but in no event later than March 15 following the calendar year in which the RSUs vest. For purposes of this Agreement, “permissible trading day” means a day that satisfies all of the following requirements: </w:t>
      </w:r>
    </w:p>
    <w:p>
      <w:pPr>
        <w:pStyle w:val="TextBody"/>
        <w:bidi w:val="0"/>
        <w:spacing w:before="0" w:after="0"/>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(i)the exchange on which the Shares are traded is open for trading on that day;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(ii)the Employee is permitted to sell Shares on that day without incurring liability under Section 16(b) of the Exchange Act;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(iii)either (x) the Employee is not in possession of material non-public information that would make it illegal for the Employee to sell Shares on that day under Rule 10b-5 under the Exchange Act or (y) Rule 10b5-1 under the Exchange Act would apply to the sale;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(iv)the Employee is permitted to sell Shares on that day under such written insider trading policy as may have been adopted by the Company; and </w:t>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(v)the Employee is not prohibited from selling Shares on that day by a written agreement between the Employee and the Company or a third party. </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If there is no permissible trading day by March 15 following the calendar year in which the RSUs vest, the Employee must make alternative arrangements to pay withholding taxes satisfactory to the Company to avoid forfeiture.</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addition, the Shares are issued to the Employee subject to the condition that the issuance of the Shares does not violate any law or regulation and the Shares are subject to such approvals by any governmental agencies or national securities exchanges as may be required. Such issued and delivered Shares shall be in book-entry form maintained by the Company’s Transfer Agent and shall otherwise be transferable utilizing the Company’s Direct Registration System and Profile Modification System. </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3.    Effect of Termination of Employment</w:t>
      </w:r>
      <w:r>
        <w:rPr>
          <w:rFonts w:ascii="Times New Roman;serif" w:hAnsi="Times New Roman;serif"/>
          <w:b w:val="false"/>
          <w:color w:val="000000"/>
          <w:sz w:val="22"/>
        </w:rPr>
        <w:t>. In the event that the Employee’s employment with the Company or a Subsidiary of the Company is terminated for any reason, any RSUs that are unvested as of such date shall be immediately forfeited and cancelled without further action by the parties hereto, and the Employee shall no longer have any rights with respect to the forfeited and cancelled RSUs (or any Dividend Equivalents (as defined in Section 5 hereof) with respect thereto).</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4.    Reserved</w:t>
      </w:r>
      <w:r>
        <w:rPr>
          <w:rFonts w:ascii="Times New Roman;serif" w:hAnsi="Times New Roman;serif"/>
          <w:b w:val="false"/>
          <w:color w:val="000000"/>
          <w:sz w:val="22"/>
        </w:rPr>
        <w:t xml:space="preserve">. </w:t>
      </w:r>
    </w:p>
    <w:p>
      <w:pPr>
        <w:pStyle w:val="TextBody"/>
        <w:bidi w:val="0"/>
        <w:spacing w:before="0" w:after="0"/>
        <w:ind w:left="0" w:right="0" w:hanging="1440"/>
        <w:jc w:val="both"/>
      </w:pPr>
      <w:r/>
    </w:p>
    <w:p>
      <w:pPr>
        <w:pStyle w:val="TextBody"/>
        <w:bidi w:val="0"/>
        <w:spacing w:lineRule="auto" w:line="288" w:before="0" w:after="0"/>
        <w:ind w:left="0" w:right="0" w:hanging="720"/>
        <w:jc w:val="both"/>
      </w:pPr>
      <w:r>
        <w:rPr>
          <w:rFonts w:ascii="Times New Roman;serif" w:hAnsi="Times New Roman;serif"/>
          <w:b/>
          <w:color w:val="000000"/>
          <w:sz w:val="22"/>
        </w:rPr>
        <w:t>5.    Employee’s Rights as Stockholder</w:t>
      </w:r>
      <w:r>
        <w:rPr>
          <w:rFonts w:ascii="Times New Roman;serif" w:hAnsi="Times New Roman;serif"/>
          <w:b w:val="false"/>
          <w:color w:val="000000"/>
          <w:sz w:val="22"/>
        </w:rPr>
        <w:t>. Prior to the vesting of the RSUs and delivery of Shares pursuant thereto, the Employee shall have no rights as a stockholder with respect to the Shares to be issued upon the vesting of the RSUs. However, the Employee shall be credited with an amount equal to all cash dividends (“Dividend Equivalents”) that would have been paid to the Employee if one Share had been issued to the Employee on the Grant Date for each RSU granted to the Employee as set forth in this Agreement. In the event of, and contingent upon, the vesting of the applicable RSU, in addition to the issuance and delivery of Shares in accordance with Section 2 of this Agreement, the Employee shall be entitled to payment of the Dividend Equivalents in cash.</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6.    Taxes.</w:t>
      </w:r>
      <w:r>
        <w:rPr>
          <w:color w:val="000000"/>
        </w:rPr>
        <w:t xml:space="preserve"> </w:t>
      </w:r>
    </w:p>
    <w:p>
      <w:pPr>
        <w:pStyle w:val="TextBody"/>
        <w:bidi w:val="0"/>
        <w:jc w:val="both"/>
      </w:pPr>
      <w:r/>
    </w:p>
    <w:p>
      <w:pPr>
        <w:pStyle w:val="TextBody"/>
        <w:bidi w:val="0"/>
        <w:spacing w:before="0" w:after="0"/>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50"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Responsibility for Taxes</w:t>
      </w:r>
      <w:r>
        <w:rPr>
          <w:rFonts w:ascii="Times New Roman;serif" w:hAnsi="Times New Roman;serif"/>
          <w:b w:val="false"/>
          <w:color w:val="000000"/>
          <w:sz w:val="22"/>
        </w:rPr>
        <w:t xml:space="preserve">. The Employee shall be liable for any and all applicable federal, state and local income tax, social insurance, payroll tax, payment on account or other tax-related withholding requirements arising out of this grant or the vesting of the RSUs hereunder (“Tax-Related Items”). Notwithstanding any contrary provision of this Agreement or the Plan, no Shares will be issued to the Employee unless and until satisfactory arrangements (as determined by the Committee) have been made by the Employee with respect to the Tax-Related Items which the Company or the Subsidiary of the Company employing or retaining the Employee (the “Employer”) determines must be withheld with respect to the RSUs or any Shares issued upon vesting. In this regard, the Employee acknowledges and agrees that: </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(i)The Employee is ultimately responsible for all Tax-Related Items and the Employee’s liability for Tax-Related Items may exceed the amount withheld by the Company and/or the Employer, if any; </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(ii)The Company and/or the Employer make no representations or undertakings regarding the treatment of any Tax-Related Items in connection with any aspect of the RSUs, including, but not limited to, the grant, vesting or settlement of the RSUs, the subsequent sale of Shares acquired upon vesting of the RSUs and the receipt of any Dividend Equivalents; </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(iii)The Company and/or the Employer do not commit to and are under no obligation to structure the terms of the grant or any aspect of the RSUs to reduce or eliminate the Employee’s liability for Tax-Related Items or achieve any particular tax result; </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(iv)The Company and/or the Employer (or former employer, as applicable) may be required to withhold or account for Tax-Related Items in more than one jurisdiction if the Employee is subject to tax in more than one jurisdiction between the Grant Date and the date of any relevant taxable or tax withholding event, as applicable; and</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(v)If the Employee fails to make satisfactory arrangements for the payment of any Tax-Related Items at the time any applicable RSUs otherwise are scheduled to vest pursuant to Section 2 or, if later, at the time any Tax-Related Items related to RSUs otherwise are due, the Employee will permanently forfeit such RSUs and any right to receive Shares thereunder and the RSUs will be returned to the Company at no cost to the Company.</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Withholding of Taxes</w:t>
      </w:r>
      <w:r>
        <w:rPr>
          <w:rFonts w:ascii="Times New Roman;serif" w:hAnsi="Times New Roman;serif"/>
          <w:b w:val="false"/>
          <w:color w:val="000000"/>
          <w:sz w:val="22"/>
        </w:rPr>
        <w:t xml:space="preserve">. Prior to the settlement of the RSUs, the Employee shall pay or make adequate arrangements satisfactory to the Company and the Employer to satisfy his or her withholding tax obligations. </w:t>
      </w:r>
    </w:p>
    <w:p>
      <w:pPr>
        <w:pStyle w:val="TextBody"/>
        <w:bidi w:val="0"/>
        <w:spacing w:before="0" w:after="0"/>
        <w:jc w:val="both"/>
      </w:pPr>
      <w:r/>
    </w:p>
    <w:p>
      <w:pPr>
        <w:pStyle w:val="TextBody"/>
        <w:bidi w:val="0"/>
        <w:spacing w:lineRule="auto" w:line="288"/>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 xml:space="preserve">(i)Unless an alternative arrangement satisfactory to the Committee has been provided prior to the time that the RSUs vest, the Employee authorizes the Company and/or the Employer, or their respective agents, at their </w:t>
      </w:r>
    </w:p>
    <w:p>
      <w:pPr>
        <w:pStyle w:val="TextBody"/>
        <w:bidi w:val="0"/>
        <w:spacing w:before="0" w:after="0"/>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1"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discretion, to satisfy their obligations with regard to all Tax-Related Items by Shares being sold on the Employee’s behalf at the prevailing market price pursuant to such procedures as the Company may specify from time to time, including through a broker-assisted arrangement (it being understood that the Shares to be sold must have vested pursuant to the terms of this Agreement and the Plan). The proceeds from the sale will be used to satisfy the withholding obligations for Tax-Related Items (and any associated broker or other fees) arising with respect to the RSUs. Only whole Shares will be sold to satisfy any obligations for Tax-Related Items. For purposes of determining the number of Shares to be sold to satisfy the withholding obligations for Tax-Related Items, the Company may use rates which exceed the Employee’s actual tax rate, including maximum applicable tax rates, in which case the Employee will receive a cash refund of any over-withheld amount not remitted to applicable tax authorities on the Employee’s behalf and the Employee will have no entitlement to receive the equivalent amount in Shares. </w:t>
      </w:r>
    </w:p>
    <w:p>
      <w:pPr>
        <w:pStyle w:val="TextBody"/>
        <w:bidi w:val="0"/>
        <w:spacing w:before="0" w:after="0"/>
        <w:jc w:val="both"/>
      </w:pPr>
      <w:r/>
    </w:p>
    <w:p>
      <w:pPr>
        <w:pStyle w:val="TextBody"/>
        <w:bidi w:val="0"/>
        <w:spacing w:lineRule="auto" w:line="288" w:before="0" w:after="0"/>
        <w:ind w:left="0" w:right="0" w:hanging="540"/>
        <w:jc w:val="both"/>
        <w:rPr>
          <w:rFonts w:ascii="Times New Roman;serif" w:hAnsi="Times New Roman;serif"/>
          <w:b w:val="false"/>
          <w:color w:val="000000"/>
          <w:sz w:val="22"/>
        </w:rPr>
      </w:pPr>
      <w:r>
        <w:rPr>
          <w:rFonts w:ascii="Times New Roman;serif" w:hAnsi="Times New Roman;serif"/>
          <w:b w:val="false"/>
          <w:color w:val="000000"/>
          <w:sz w:val="22"/>
        </w:rPr>
        <w:t>(ii)If the Committee determines that the Employee cannot satisfy the obligations for Tax-Related Items through the procedure set forth in the immediately preceding paragraph, then the Committee may satisfy its obligations for Tax-Related Items by one of more of the following methods: (w) requiring the Employee to deliver cash or check to the Company or the Employer; (x) withholding from the Employee’s wages or other cash compensation paid to the Employee by the Company and/or the Employer; (y) withholding Shares otherwise issuable upon vesting of the RSUs with a Fair Market Value equal to the minimum amount of any Tax-Related Items required to be withheld; or (y) such other means as the Committee deems appropriate.</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7.    Transferability of RSUs</w:t>
      </w:r>
      <w:r>
        <w:rPr>
          <w:rFonts w:ascii="Times New Roman;serif" w:hAnsi="Times New Roman;serif"/>
          <w:b w:val="false"/>
          <w:color w:val="000000"/>
          <w:sz w:val="22"/>
        </w:rPr>
        <w:t>. The RSUs or any of the rights granted hereunder may not be sold, pledged or otherwise transferred otherwise than by will or the laws of descent and distribution.</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8.    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Employee at the Employee’s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before="0" w:after="0"/>
        <w:ind w:left="0" w:right="0" w:hanging="720"/>
        <w:jc w:val="both"/>
      </w:pPr>
      <w:r/>
    </w:p>
    <w:p>
      <w:pPr>
        <w:pStyle w:val="TextBody"/>
        <w:bidi w:val="0"/>
        <w:spacing w:lineRule="auto" w:line="288"/>
        <w:ind w:left="0" w:right="0" w:hanging="720"/>
        <w:jc w:val="both"/>
      </w:pPr>
      <w:r>
        <w:rPr>
          <w:rFonts w:ascii="Times New Roman;serif" w:hAnsi="Times New Roman;serif"/>
          <w:b/>
          <w:color w:val="000000"/>
          <w:sz w:val="22"/>
        </w:rPr>
        <w:t>9.    Severability</w:t>
      </w:r>
      <w:r>
        <w:rPr>
          <w:rFonts w:ascii="Times New Roman;serif" w:hAnsi="Times New Roman;serif"/>
          <w:b w:val="false"/>
          <w:color w:val="000000"/>
          <w:sz w:val="22"/>
        </w:rPr>
        <w:t xml:space="preserve">.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w:t>
      </w:r>
    </w:p>
    <w:p>
      <w:pPr>
        <w:pStyle w:val="TextBody"/>
        <w:bidi w:val="0"/>
        <w:spacing w:before="0" w:after="0"/>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2"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extent permitted by law, and the parties hereby agree that such scope may be judicially modified accordingly.</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10.    Complete Agreement</w:t>
      </w:r>
      <w:r>
        <w:rPr>
          <w:rFonts w:ascii="Times New Roman;serif" w:hAnsi="Times New Roman;serif"/>
          <w:b w:val="false"/>
          <w:color w:val="000000"/>
          <w:sz w:val="22"/>
        </w:rPr>
        <w:t>. This Agreement and those documents expressly referred to herein embody the complete agreement and understanding among the parties and supersede and preempt any prior understandings, agreements or representations by or among the parties, written or oral, which may have related to the subject matter hereof in any way.</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11.    No Promise of Employment</w:t>
      </w:r>
      <w:r>
        <w:rPr>
          <w:rFonts w:ascii="Times New Roman;serif" w:hAnsi="Times New Roman;serif"/>
          <w:b w:val="false"/>
          <w:color w:val="000000"/>
          <w:sz w:val="22"/>
        </w:rPr>
        <w:t>. Neither the Plan nor this Agreement nor any provisions under either shall be construed so as to grant the Employee any right to remain in the employ of the Company or any of its Subsidiaries.</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12.    Counterparts</w:t>
      </w:r>
      <w:r>
        <w:rPr>
          <w:rFonts w:ascii="Times New Roman;serif" w:hAnsi="Times New Roman;serif"/>
          <w:b w:val="false"/>
          <w:color w:val="000000"/>
          <w:sz w:val="22"/>
        </w:rPr>
        <w:t>. This Agreement may be executed by way of facsimile or electronic signature in separate counterparts, each of which shall be deemed an original and all of which taken together shall constitute one and the same agreement.</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13.    Successors and Assigns</w:t>
      </w:r>
      <w:r>
        <w:rPr>
          <w:rFonts w:ascii="Times New Roman;serif" w:hAnsi="Times New Roman;serif"/>
          <w:b w:val="false"/>
          <w:color w:val="000000"/>
          <w:sz w:val="22"/>
        </w:rPr>
        <w:t>. This Agreement is intended to bind and inure to the benefit of and be enforceable by the Employee, the Company and their respective permitted successors and assigns (including personal representatives, heirs and legatees), and is intended to bind all successors and assigns of the respective parties, except that the Employee may not assign any of the Employee’s rights or obligations under this Agreement except to the extent and in the manner expressly permitted within this Agreement.</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14.    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15.     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16.</w:t>
      </w:r>
      <w:r>
        <w:rPr>
          <w:color w:val="000000"/>
        </w:rPr>
        <w:t>    </w:t>
      </w:r>
      <w:r>
        <w:rPr>
          <w:rFonts w:ascii="Times New Roman;serif" w:hAnsi="Times New Roman;serif"/>
          <w:b/>
          <w:color w:val="000000"/>
          <w:sz w:val="22"/>
        </w:rPr>
        <w:t>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before="0" w:after="0"/>
        <w:ind w:left="0" w:right="0" w:hanging="720"/>
        <w:jc w:val="both"/>
      </w:pPr>
      <w:r/>
    </w:p>
    <w:p>
      <w:pPr>
        <w:pStyle w:val="TextBody"/>
        <w:bidi w:val="0"/>
        <w:spacing w:lineRule="auto" w:line="288" w:before="0" w:after="240"/>
        <w:ind w:left="0" w:right="0" w:hanging="720"/>
        <w:jc w:val="both"/>
      </w:pPr>
      <w:r>
        <w:rPr>
          <w:rFonts w:ascii="Times New Roman;serif" w:hAnsi="Times New Roman;serif"/>
          <w:b/>
          <w:color w:val="000000"/>
          <w:sz w:val="22"/>
        </w:rPr>
        <w:t>17.</w:t>
      </w:r>
      <w:r>
        <w:rPr>
          <w:color w:val="000000"/>
        </w:rPr>
        <w:t>    </w:t>
      </w:r>
      <w:r>
        <w:rPr>
          <w:rFonts w:ascii="Times New Roman;serif" w:hAnsi="Times New Roman;serif"/>
          <w:b/>
          <w:color w:val="000000"/>
          <w:sz w:val="22"/>
        </w:rPr>
        <w:t>Code Section 409A</w:t>
      </w:r>
      <w:r>
        <w:rPr>
          <w:rFonts w:ascii="Times New Roman;serif" w:hAnsi="Times New Roman;serif"/>
          <w:b w:val="false"/>
          <w:color w:val="000000"/>
          <w:sz w:val="22"/>
        </w:rPr>
        <w:t xml:space="preserve">.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Employee to incur any additional tax or interest under Section 409A, the </w:t>
      </w:r>
    </w:p>
    <w:p>
      <w:pPr>
        <w:pStyle w:val="TextBody"/>
        <w:bidi w:val="0"/>
        <w:spacing w:before="0" w:after="0"/>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3"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Company shall be entitled to reform such provision without the Employee’s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Employee and the Company without violating the provisions of Section 409A. Neither the Company nor any employee,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0"/>
        <w:jc w:val="both"/>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pPr>
      <w:r/>
    </w:p>
    <w:p>
      <w:pPr>
        <w:pStyle w:val="TextBody"/>
        <w:bidi w:val="0"/>
        <w:spacing w:lineRule="auto" w:line="288" w:before="0" w:after="0"/>
        <w:ind w:left="0" w:right="0" w:hanging="5040"/>
        <w:jc w:val="both"/>
      </w:pPr>
      <w:r>
        <w:rPr>
          <w:rFonts w:ascii="Times New Roman;serif" w:hAnsi="Times New Roman;serif"/>
          <w:b/>
          <w:color w:val="000000"/>
          <w:sz w:val="22"/>
        </w:rPr>
        <w:t>Employee</w:t>
      </w:r>
      <w:r>
        <w:rPr>
          <w:color w:val="000000"/>
        </w:rPr>
        <w:t>                        </w:t>
      </w:r>
      <w:r>
        <w:rPr>
          <w:rFonts w:ascii="Times New Roman;serif" w:hAnsi="Times New Roman;serif"/>
          <w:b/>
          <w:color w:val="000000"/>
          <w:sz w:val="22"/>
        </w:rPr>
        <w:t>Universal Electronics Inc.</w:t>
      </w:r>
    </w:p>
    <w:p>
      <w:pPr>
        <w:pStyle w:val="TextBody"/>
        <w:bidi w:val="0"/>
        <w:spacing w:before="0" w:after="0"/>
        <w:jc w:val="both"/>
      </w:pPr>
      <w:r/>
    </w:p>
    <w:tbl>
      <w:tblPr>
        <w:tblW w:w="7179"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149"/>
        <w:gridCol w:w="149"/>
        <w:gridCol w:w="151"/>
        <w:gridCol w:w="670"/>
        <w:gridCol w:w="670"/>
        <w:gridCol w:w="954"/>
      </w:tblGrid>
      <w:t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[[SIGNATURE]]      </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2294" w:type="dxa"/>
            <w:gridSpan w:val="3"/>
            <w:tcBorders/>
            <w:tcMar>
              <w:top w:w="0" w:type="dxa"/>
              <w:left w:w="0" w:type="dxa"/>
              <w:bottom w:w="0" w:type="dxa"/>
              <w:right w:w="0" w:type="dxa"/>
            </w:tcMar>
            <w:vAlign w:val="center"/>
          </w:tcPr>
          <w:p>
            <w:pPr>
              <w:pStyle w:val="TableContents"/>
              <w:bidi w:val="0"/>
              <w:spacing w:before="0" w:after="0"/>
              <w:jc w:val="both"/>
            </w:pPr>
            <w:r/>
          </w:p>
        </w:tc>
      </w:tr>
      <w:tr>
        <w:tc>
          <w:tcPr>
            <w:tcW w:w="4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22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c>
          <w:tcPr>
            <w:tcW w:w="4109" w:type="dxa"/>
            <w:gridSpan w:val="3"/>
            <w:tcBorders/>
            <w:tcMar>
              <w:top w:w="0" w:type="dxa"/>
              <w:left w:w="0" w:type="dxa"/>
              <w:bottom w:w="0" w:type="dxa"/>
              <w:right w:w="0" w:type="dxa"/>
            </w:tcMar>
            <w:vAlign w:val="center"/>
          </w:tcPr>
          <w:p>
            <w:pPr>
              <w:pStyle w:val="TableContents"/>
              <w:bidi w:val="0"/>
              <w:spacing w:before="0" w:after="0"/>
              <w:jc w:val="both"/>
            </w:pPr>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before="0" w:after="0"/>
              <w:jc w:val="both"/>
            </w:pPr>
            <w:r/>
          </w:p>
        </w:tc>
        <w:tc>
          <w:tcPr>
            <w:tcW w:w="2294" w:type="dxa"/>
            <w:gridSpan w:val="3"/>
            <w:tcBorders/>
            <w:tcMar>
              <w:top w:w="0" w:type="dxa"/>
              <w:left w:w="0" w:type="dxa"/>
              <w:bottom w:w="0" w:type="dxa"/>
              <w:right w:w="0" w:type="dxa"/>
            </w:tcMar>
            <w:vAlign w:val="center"/>
          </w:tcPr>
          <w:p>
            <w:pPr>
              <w:pStyle w:val="TableContents"/>
              <w:bidi w:val="0"/>
              <w:spacing w:before="0" w:after="0"/>
              <w:jc w:val="both"/>
            </w:pPr>
            <w:r/>
          </w:p>
        </w:tc>
      </w:tr>
    </w:tbl>
    <w:p>
      <w:pPr>
        <w:pStyle w:val="TextBody"/>
        <w:bidi w:val="0"/>
        <w:spacing w:before="0" w:after="0"/>
        <w:jc w:val="both"/>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pPr>
      <w:r>
        <w:rPr>
          <w:color w:val="000000"/>
        </w:rPr>
        <w:t xml:space="preserve">         </w:t>
      </w:r>
      <w:r>
        <w:rPr>
          <w:rFonts w:ascii="Times New Roman;serif" w:hAnsi="Times New Roman;serif"/>
          <w:b/>
          <w:color w:val="000000"/>
          <w:sz w:val="24"/>
        </w:rPr>
        <w:t>Ex 10.3</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4"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4906-0319-2158.v6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Certificate Number: [[GRANTNUMBER]]</w:t>
      </w:r>
    </w:p>
    <w:p>
      <w:pPr>
        <w:pStyle w:val="TextBody"/>
        <w:bidi w:val="0"/>
        <w:spacing w:before="0" w:after="0"/>
        <w:jc w:val="left"/>
      </w:pPr>
      <w:r/>
    </w:p>
    <w:p>
      <w:pPr>
        <w:pStyle w:val="TextBody"/>
        <w:bidi w:val="0"/>
        <w:spacing w:lineRule="auto" w:line="288" w:before="0" w:after="0"/>
        <w:jc w:val="both"/>
      </w:pPr>
      <w:r>
        <w:rPr>
          <w:color w:val="000000"/>
        </w:rPr>
        <w:t>    </w:t>
      </w:r>
      <w:r>
        <w:rPr>
          <w:rFonts w:ascii="Times New Roman;serif" w:hAnsi="Times New Roman;serif"/>
          <w:b/>
          <w:color w:val="000000"/>
          <w:sz w:val="22"/>
        </w:rPr>
        <w:t>Universal Electronics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Restricted Stock Unit Award Agreement</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This Restricted Stock Unit Award Agreement</w:t>
      </w:r>
      <w:r>
        <w:rPr>
          <w:color w:val="000000"/>
        </w:rPr>
        <w:t xml:space="preserve"> </w:t>
      </w:r>
      <w:r>
        <w:rPr>
          <w:rFonts w:ascii="Times New Roman;serif" w:hAnsi="Times New Roman;serif"/>
          <w:b w:val="false"/>
          <w:color w:val="000000"/>
          <w:sz w:val="22"/>
        </w:rPr>
        <w:t>(the “Agreement”) is made as of [[GRANTDATE]] (the “Grant Date”) by and between Universal Electronics Inc., a Delaware corporation (the “Company”), and the undersigned recipient (the “Recipient”). As used in this Agreement, the term “Company” shall include, where applicable, any and all of its subsidiaries or related entities. Any capitalized term used in this Agreement that is not defined herein shall have the meaning thereof set forth in the Universal Electronics Inc. Amended and Restated 2018 Equity and Incentive Compensation Plan (the “Plan”), a copy of which can be obtained by written request to the Company’s Chief Financial Officer.</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of Directors of the Company (the “Board”) has approved the Plan;</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Board has designated and empowered the Compensation Committee of the Board (the “Committee”) to administer the Plan; and</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Whereas</w:t>
      </w:r>
      <w:r>
        <w:rPr>
          <w:rFonts w:ascii="Times New Roman;serif" w:hAnsi="Times New Roman;serif"/>
          <w:b w:val="false"/>
          <w:color w:val="000000"/>
          <w:sz w:val="22"/>
        </w:rPr>
        <w:t>, the Committee has authorized grants of Restricted Stock Units (the “RSUs”) to certain eligible persons, payable in shares of the Company’s Common Stock, par value $0.01 per share (each, a “Share”), pursuant to the terms and conditions set forth in the Plan and in this Agreement.</w:t>
      </w:r>
    </w:p>
    <w:p>
      <w:pPr>
        <w:pStyle w:val="TextBody"/>
        <w:bidi w:val="0"/>
        <w:spacing w:before="0" w:after="0"/>
        <w:jc w:val="both"/>
      </w:pPr>
      <w:r/>
    </w:p>
    <w:p>
      <w:pPr>
        <w:pStyle w:val="TextBody"/>
        <w:bidi w:val="0"/>
        <w:spacing w:lineRule="auto" w:line="288" w:before="0" w:after="0"/>
        <w:jc w:val="both"/>
      </w:pPr>
      <w:r>
        <w:rPr>
          <w:color w:val="000000"/>
        </w:rPr>
        <w:t>    </w:t>
      </w:r>
      <w:r>
        <w:rPr>
          <w:rFonts w:ascii="Times New Roman;serif" w:hAnsi="Times New Roman;serif"/>
          <w:b/>
          <w:color w:val="000000"/>
          <w:sz w:val="22"/>
        </w:rPr>
        <w:t>Now</w:t>
      </w:r>
      <w:r>
        <w:rPr>
          <w:rFonts w:ascii="Times New Roman;serif" w:hAnsi="Times New Roman;serif"/>
          <w:b w:val="false"/>
          <w:color w:val="000000"/>
          <w:sz w:val="22"/>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intending to be legally bound, hereto agree as follows:</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w:t>
      </w:r>
      <w:r>
        <w:rPr>
          <w:color w:val="000000"/>
        </w:rPr>
        <w:t>    </w:t>
      </w:r>
      <w:r>
        <w:rPr>
          <w:rFonts w:ascii="Times New Roman;serif" w:hAnsi="Times New Roman;serif"/>
          <w:b/>
          <w:color w:val="000000"/>
          <w:sz w:val="22"/>
        </w:rPr>
        <w:t>Grant of the RSUs</w:t>
      </w:r>
      <w:r>
        <w:rPr>
          <w:rFonts w:ascii="Times New Roman;serif" w:hAnsi="Times New Roman;serif"/>
          <w:b w:val="false"/>
          <w:color w:val="000000"/>
          <w:sz w:val="22"/>
        </w:rPr>
        <w:t xml:space="preserve">. Subject to the terms and conditions set forth herein, the Recipient is hereby granted </w:t>
      </w:r>
      <w:r>
        <w:rPr>
          <w:rFonts w:ascii="Times New Roman;serif" w:hAnsi="Times New Roman;serif"/>
          <w:b/>
          <w:color w:val="000000"/>
          <w:sz w:val="22"/>
        </w:rPr>
        <w:t>[[SHARESGRANTEDWORDS]] ([[SHARESGRANTED]]) RSUs</w:t>
      </w:r>
      <w:r>
        <w:rPr>
          <w:color w:val="000000"/>
        </w:rPr>
        <w:t xml:space="preserve"> </w:t>
      </w:r>
      <w:r>
        <w:rPr>
          <w:rFonts w:ascii="Times New Roman;serif" w:hAnsi="Times New Roman;serif"/>
          <w:b w:val="false"/>
          <w:color w:val="000000"/>
          <w:sz w:val="22"/>
        </w:rPr>
        <w:t>on the Grant Date.</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2.    Vesting of the RSUs and Issuance and Delivery of Shares</w:t>
      </w:r>
      <w:r>
        <w:rPr>
          <w:rFonts w:ascii="Times New Roman;serif" w:hAnsi="Times New Roman;serif"/>
          <w:b w:val="false"/>
          <w:color w:val="000000"/>
          <w:sz w:val="22"/>
        </w:rPr>
        <w:t xml:space="preserve">. </w:t>
      </w:r>
    </w:p>
    <w:p>
      <w:pPr>
        <w:pStyle w:val="TextBody"/>
        <w:bidi w:val="0"/>
        <w:spacing w:before="0" w:after="0"/>
        <w:ind w:left="0" w:right="0" w:hanging="720"/>
        <w:jc w:val="both"/>
      </w:pPr>
      <w:r/>
    </w:p>
    <w:p>
      <w:pPr>
        <w:pStyle w:val="TextBody"/>
        <w:bidi w:val="0"/>
        <w:spacing w:lineRule="auto" w:line="288" w:before="0" w:after="0"/>
        <w:ind w:left="0" w:right="0" w:firstLine="720"/>
        <w:jc w:val="both"/>
      </w:pPr>
      <w:r>
        <w:rPr>
          <w:rFonts w:ascii="Times New Roman;serif" w:hAnsi="Times New Roman;serif"/>
          <w:b w:val="false"/>
          <w:color w:val="000000"/>
          <w:sz w:val="22"/>
        </w:rPr>
        <w:t>(a)</w:t>
      </w:r>
      <w:r>
        <w:rPr>
          <w:rFonts w:ascii="Times New Roman;serif" w:hAnsi="Times New Roman;serif"/>
          <w:b/>
          <w:color w:val="000000"/>
          <w:sz w:val="22"/>
        </w:rPr>
        <w:t>Vesting</w:t>
      </w:r>
      <w:r>
        <w:rPr>
          <w:rFonts w:ascii="Times New Roman;serif" w:hAnsi="Times New Roman;serif"/>
          <w:b w:val="false"/>
          <w:color w:val="000000"/>
          <w:sz w:val="22"/>
        </w:rPr>
        <w:t xml:space="preserve">. Subject to earlier termination, acceleration or cancellation of the RSUs as provided herein, the RSUs shall vest in full on the earlier of (i) the date of the Company’s annual meeting of stockholders in the year immediately subsequent to the year of the Grant Date, provided that such annual meeting of shareholders occurs at least eleven (11) months following the date of the Company’s annual meeting of stockholders for the immediately preceding year and (ii) the first anniversary of the Grant Date; provided that the Recipient continues to serve as a Non-Employee Director through the applicable vesting date. </w:t>
      </w:r>
    </w:p>
    <w:p>
      <w:pPr>
        <w:pStyle w:val="TextBody"/>
        <w:bidi w:val="0"/>
        <w:spacing w:before="0" w:after="0"/>
        <w:jc w:val="both"/>
      </w:pPr>
      <w:r/>
    </w:p>
    <w:p>
      <w:pPr>
        <w:pStyle w:val="TextBody"/>
        <w:bidi w:val="0"/>
        <w:spacing w:lineRule="auto" w:line="288" w:before="0" w:after="0"/>
        <w:ind w:left="0" w:right="0" w:firstLine="720"/>
        <w:jc w:val="both"/>
      </w:pPr>
      <w:r>
        <w:rPr>
          <w:rFonts w:ascii="Times New Roman;serif" w:hAnsi="Times New Roman;serif"/>
          <w:b w:val="false"/>
          <w:color w:val="000000"/>
          <w:sz w:val="22"/>
        </w:rPr>
        <w:t>(b)</w:t>
      </w:r>
      <w:r>
        <w:rPr>
          <w:rFonts w:ascii="Times New Roman;serif" w:hAnsi="Times New Roman;serif"/>
          <w:b/>
          <w:color w:val="000000"/>
          <w:sz w:val="22"/>
        </w:rPr>
        <w:t>Delivery of Shares</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Subject to Sections 6 and 7 of this Agreement, as soon as administratively practicable following the date that the RSUs vest, the Company shall issue and deliver to the Recipient (or the Recipient’s estate or legal representative, in the event of Recipient’s death or Disability) one (1) Share for each vested RSU. </w:t>
      </w:r>
    </w:p>
    <w:p>
      <w:pPr>
        <w:pStyle w:val="TextBody"/>
        <w:bidi w:val="0"/>
        <w:spacing w:before="0" w:after="0"/>
        <w:jc w:val="both"/>
      </w:p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The Shares are issued to the Recipient subject to the condition that the issuance of the Shares does not violate any law or regulation and the Shares are subject to such approvals by any governmental agencies or national securities exchanges as may be required. Such issued and delivered Shares shall be in book-entry form maintained by the Company’s Transfer Agent and </w:t>
      </w:r>
    </w:p>
    <w:p>
      <w:pPr>
        <w:pStyle w:val="TextBody"/>
        <w:bidi w:val="0"/>
        <w:spacing w:before="0" w:after="0"/>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shall otherwise be transferable utilizing the Company’s Direct Registration System and Profile Modification System. </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3.    Effect of Termination of Service</w:t>
      </w:r>
      <w:r>
        <w:rPr>
          <w:rFonts w:ascii="Times New Roman;serif" w:hAnsi="Times New Roman;serif"/>
          <w:b w:val="false"/>
          <w:color w:val="000000"/>
          <w:sz w:val="22"/>
        </w:rPr>
        <w:t>. In the event that the Recipient’s service as a Non-Employee Director is terminated for any reason, any RSUs that are unvested as of such date shall be immediately forfeited and cancelled without further action by the parties hereto, and the Recipient shall no longer have any rights with respect to the forfeited and cancelled RSUs (or any Dividend Equivalents (as defined in Section 5 hereof) with respect thereto).</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4.    Reserved</w:t>
      </w:r>
      <w:r>
        <w:rPr>
          <w:rFonts w:ascii="Times New Roman;serif" w:hAnsi="Times New Roman;serif"/>
          <w:b w:val="false"/>
          <w:color w:val="000000"/>
          <w:sz w:val="22"/>
        </w:rPr>
        <w:t xml:space="preserve">. </w:t>
      </w:r>
    </w:p>
    <w:p>
      <w:pPr>
        <w:pStyle w:val="TextBody"/>
        <w:bidi w:val="0"/>
        <w:spacing w:before="0" w:after="0"/>
        <w:ind w:left="0" w:right="0" w:hanging="1440"/>
        <w:jc w:val="both"/>
      </w:pPr>
      <w:r/>
    </w:p>
    <w:p>
      <w:pPr>
        <w:pStyle w:val="TextBody"/>
        <w:bidi w:val="0"/>
        <w:spacing w:lineRule="auto" w:line="288" w:before="0" w:after="0"/>
        <w:ind w:left="0" w:right="0" w:hanging="720"/>
        <w:jc w:val="both"/>
      </w:pPr>
      <w:r>
        <w:rPr>
          <w:rFonts w:ascii="Times New Roman;serif" w:hAnsi="Times New Roman;serif"/>
          <w:b/>
          <w:color w:val="000000"/>
          <w:sz w:val="22"/>
        </w:rPr>
        <w:t>5.    Recipient’s Rights as Stockholder</w:t>
      </w:r>
      <w:r>
        <w:rPr>
          <w:rFonts w:ascii="Times New Roman;serif" w:hAnsi="Times New Roman;serif"/>
          <w:b w:val="false"/>
          <w:color w:val="000000"/>
          <w:sz w:val="22"/>
        </w:rPr>
        <w:t>. Prior to the vesting of the RSUs and delivery of Shares pursuant thereto, the Recipient shall have no rights as a stockholder with respect to the Shares to be issued upon the vesting of the RSUs. However, the Recipient shall be credited with an amount equal to all cash dividends (“Dividend Equivalents”) that would have been paid to the Recipient if one Share had been issued to the Recipient on the Grant Date for each RSU granted to the Recipient as set forth in this Agreement. In the event of, and contingent upon, the vesting of the applicable RSU, in addition to the issuance and delivery of Shares in accordance with Section 2 of this Agreement, the Recipient shall be entitled to payment of the Dividend Equivalents in cash.</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6.    Taxes.</w:t>
      </w:r>
      <w:r>
        <w:rPr>
          <w:color w:val="000000"/>
        </w:rPr>
        <w:t xml:space="preserve"> </w:t>
      </w:r>
      <w:r>
        <w:rPr>
          <w:rFonts w:ascii="Times New Roman;serif" w:hAnsi="Times New Roman;serif"/>
          <w:b w:val="false"/>
          <w:color w:val="000000"/>
          <w:sz w:val="22"/>
        </w:rPr>
        <w:t xml:space="preserve">The Recipient shall be liable for any and all applicable federal, state and local income tax or other tax-related withholding requirements arising out of this grant or the vesting and settlement of the RSUs hereunder. </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7.    Transferability of RSUs</w:t>
      </w:r>
      <w:r>
        <w:rPr>
          <w:rFonts w:ascii="Times New Roman;serif" w:hAnsi="Times New Roman;serif"/>
          <w:b w:val="false"/>
          <w:color w:val="000000"/>
          <w:sz w:val="22"/>
        </w:rPr>
        <w:t>. The RSUs or any of the rights granted hereunder may not be sold, pledged or otherwise transferred otherwise than by will or the laws of descent and distribution.</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8.    Notices</w:t>
      </w:r>
      <w:r>
        <w:rPr>
          <w:rFonts w:ascii="Times New Roman;serif" w:hAnsi="Times New Roman;serif"/>
          <w:b w:val="false"/>
          <w:color w:val="000000"/>
          <w:sz w:val="22"/>
        </w:rPr>
        <w:t>. Any notice or demand provided for in this Agreement must be in writing and must be either personally delivered, delivered by overnight courier, or mailed by first class mail, to the Recipient at the Recipient’s most recent address on file in the records of the Company, and to the Company at 15147 N. Scottsdale Road, Suite H300, Scottsdale, Arizona 85254, Attention: Chief Financial Officer (with a copy to the Company’s legal department), or to such other address or to the attention of such other person as the recipient party shall have specified by prior written notice to the sending party. Any notice or demand under this Agreement will be deemed to have been given when received.</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9.    Severability</w:t>
      </w:r>
      <w:r>
        <w:rPr>
          <w:rFonts w:ascii="Times New Roman;serif" w:hAnsi="Times New Roman;serif"/>
          <w:b w:val="false"/>
          <w:color w:val="000000"/>
          <w:sz w:val="22"/>
        </w:rPr>
        <w:t>. This Agreement and each provision hereof shall be valid and enforced to the fullest extent permitted by law. The invalidity or unenforceability of any provision of this Agreement shall not affect the validity or enforceability of any other provision. Without limiting the generality of the foregoing, if the scope of any provision contained in this Agreement is too broad to permit enforcement to its fullest extent, such provision shall be enforced to the maximum extent permitted by law, and the parties hereby agree that such scope may be judicially modified accordingly.</w:t>
      </w:r>
    </w:p>
    <w:p>
      <w:pPr>
        <w:pStyle w:val="TextBody"/>
        <w:bidi w:val="0"/>
        <w:spacing w:before="0" w:after="0"/>
        <w:jc w:val="both"/>
      </w:pPr>
      <w:r/>
    </w:p>
    <w:p>
      <w:pPr>
        <w:pStyle w:val="TextBody"/>
        <w:bidi w:val="0"/>
        <w:spacing w:lineRule="auto" w:line="288"/>
        <w:ind w:left="0" w:right="0" w:hanging="720"/>
        <w:jc w:val="both"/>
      </w:pPr>
      <w:r>
        <w:rPr>
          <w:rFonts w:ascii="Times New Roman;serif" w:hAnsi="Times New Roman;serif"/>
          <w:b/>
          <w:color w:val="000000"/>
          <w:sz w:val="22"/>
        </w:rPr>
        <w:t>10.    Complete Agreement</w:t>
      </w:r>
      <w:r>
        <w:rPr>
          <w:rFonts w:ascii="Times New Roman;serif" w:hAnsi="Times New Roman;serif"/>
          <w:b w:val="false"/>
          <w:color w:val="000000"/>
          <w:sz w:val="22"/>
        </w:rPr>
        <w:t xml:space="preserve">. This Agreement and those documents expressly referred to herein embody the complete agreement and understanding among the parties and supersede and preempt </w:t>
      </w:r>
    </w:p>
    <w:p>
      <w:pPr>
        <w:pStyle w:val="TextBody"/>
        <w:bidi w:val="0"/>
        <w:spacing w:before="0" w:after="0"/>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6"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prior understandings, agreements or representations by or among the parties, written or oral, which may have related to the subject matter hereof in any way.</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11.    No Promise of Continued Service</w:t>
      </w:r>
      <w:r>
        <w:rPr>
          <w:rFonts w:ascii="Times New Roman;serif" w:hAnsi="Times New Roman;serif"/>
          <w:b w:val="false"/>
          <w:color w:val="000000"/>
          <w:sz w:val="22"/>
        </w:rPr>
        <w:t>. Neither the Plan nor this Agreement nor any provisions under either shall be construed so as to grant the Recipient any right to remain on the Company’s Board of Directors or to continue providing services to the Company in any capacity.</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12.    Counterparts</w:t>
      </w:r>
      <w:r>
        <w:rPr>
          <w:rFonts w:ascii="Times New Roman;serif" w:hAnsi="Times New Roman;serif"/>
          <w:b w:val="false"/>
          <w:color w:val="000000"/>
          <w:sz w:val="22"/>
        </w:rPr>
        <w:t>. This Agreement may be executed by way of electronic signature in separate counterparts, each of which shall be deemed an original and all of which taken together shall constitute one and the same agreement.</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13.    Successors and Assigns</w:t>
      </w:r>
      <w:r>
        <w:rPr>
          <w:rFonts w:ascii="Times New Roman;serif" w:hAnsi="Times New Roman;serif"/>
          <w:b w:val="false"/>
          <w:color w:val="000000"/>
          <w:sz w:val="22"/>
        </w:rPr>
        <w:t>. This Agreement is intended to bind and inure to the benefit of and be enforceable by the Recipient, the Company and their respective permitted successors and assigns (including personal representatives, heirs and legatees), and is intended to bind all successors and assigns of the respective parties, except that the Recipient may not assign any of the Recipient’s rights or obligations under this Agreement except to the extent and in the manner expressly permitted within this Agreement.</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14.    Remedies</w:t>
      </w:r>
      <w:r>
        <w:rPr>
          <w:rFonts w:ascii="Times New Roman;serif" w:hAnsi="Times New Roman;serif"/>
          <w:b w:val="false"/>
          <w:color w:val="000000"/>
          <w:sz w:val="22"/>
        </w:rPr>
        <w:t>. Each of the parties to this Agreement will be entitled to enforce its rights under this Agreement specifically, to recover damages by reason of any breach of any provision of this Agreement and to exercise all other rights existing in its favor. The parties hereto agree and acknowledge that money damages may not be an adequate remedy for any breach of the provisions of this Agreement and that any party may, in its sole discretion, apply to any court of law or equity of competent jurisdiction for specific performance and/or injunctive relief in order to enforce or prevent any violations of the provisions of this Agreement, without the necessity of posting bond or any other security.</w:t>
      </w:r>
    </w:p>
    <w:p>
      <w:pPr>
        <w:pStyle w:val="TextBody"/>
        <w:bidi w:val="0"/>
        <w:spacing w:before="0" w:after="0"/>
        <w:ind w:left="0" w:right="0" w:hanging="720"/>
        <w:jc w:val="both"/>
      </w:pPr>
      <w:r/>
    </w:p>
    <w:p>
      <w:pPr>
        <w:pStyle w:val="TextBody"/>
        <w:bidi w:val="0"/>
        <w:spacing w:lineRule="auto" w:line="288" w:before="0" w:after="0"/>
        <w:ind w:left="0" w:right="0" w:hanging="720"/>
        <w:jc w:val="both"/>
      </w:pPr>
      <w:r>
        <w:rPr>
          <w:rFonts w:ascii="Times New Roman;serif" w:hAnsi="Times New Roman;serif"/>
          <w:b/>
          <w:color w:val="000000"/>
          <w:sz w:val="22"/>
        </w:rPr>
        <w:t>15.     Waiver or Modification</w:t>
      </w:r>
      <w:r>
        <w:rPr>
          <w:rFonts w:ascii="Times New Roman;serif" w:hAnsi="Times New Roman;serif"/>
          <w:b w:val="false"/>
          <w:color w:val="000000"/>
          <w:sz w:val="22"/>
        </w:rPr>
        <w:t xml:space="preserve">. Any waiver or modification of any of the provisions of this Agreement shall not be valid unless made in writing and signed by the parties hereto. A waiver by either party of any breach of this Agreement shall not operate as a waiver of any subsequent breach. </w:t>
      </w:r>
    </w:p>
    <w:p>
      <w:pPr>
        <w:pStyle w:val="TextBody"/>
        <w:bidi w:val="0"/>
        <w:spacing w:before="0" w:after="0"/>
        <w:jc w:val="both"/>
      </w:pPr>
      <w:r/>
    </w:p>
    <w:p>
      <w:pPr>
        <w:pStyle w:val="TextBody"/>
        <w:bidi w:val="0"/>
        <w:spacing w:lineRule="auto" w:line="288" w:before="0" w:after="0"/>
        <w:ind w:left="0" w:right="0" w:hanging="720"/>
        <w:jc w:val="both"/>
      </w:pPr>
      <w:r>
        <w:rPr>
          <w:rFonts w:ascii="Times New Roman;serif" w:hAnsi="Times New Roman;serif"/>
          <w:b/>
          <w:color w:val="000000"/>
          <w:sz w:val="22"/>
        </w:rPr>
        <w:t>16.</w:t>
      </w:r>
      <w:r>
        <w:rPr>
          <w:color w:val="000000"/>
        </w:rPr>
        <w:t>    </w:t>
      </w:r>
      <w:r>
        <w:rPr>
          <w:rFonts w:ascii="Times New Roman;serif" w:hAnsi="Times New Roman;serif"/>
          <w:b/>
          <w:color w:val="000000"/>
          <w:sz w:val="22"/>
        </w:rPr>
        <w:t>Governing Law</w:t>
      </w:r>
      <w:r>
        <w:rPr>
          <w:rFonts w:ascii="Times New Roman;serif" w:hAnsi="Times New Roman;serif"/>
          <w:b w:val="false"/>
          <w:color w:val="000000"/>
          <w:sz w:val="22"/>
        </w:rPr>
        <w:t>. This Agreement shall be governed and construed and the legal relationships of the parties determined in accordance with the laws of the state of Delaware without reference to principles of conflict of laws.</w:t>
      </w:r>
    </w:p>
    <w:p>
      <w:pPr>
        <w:pStyle w:val="TextBody"/>
        <w:bidi w:val="0"/>
        <w:spacing w:before="0" w:after="0"/>
        <w:ind w:left="0" w:right="0" w:hanging="720"/>
        <w:jc w:val="both"/>
      </w:pPr>
      <w:r/>
    </w:p>
    <w:p>
      <w:pPr>
        <w:pStyle w:val="TextBody"/>
        <w:bidi w:val="0"/>
        <w:spacing w:lineRule="auto" w:line="288" w:before="0" w:after="240"/>
        <w:ind w:left="0" w:right="0" w:hanging="720"/>
        <w:jc w:val="both"/>
      </w:pPr>
      <w:r>
        <w:rPr>
          <w:rFonts w:ascii="Times New Roman;serif" w:hAnsi="Times New Roman;serif"/>
          <w:b/>
          <w:color w:val="000000"/>
          <w:sz w:val="22"/>
        </w:rPr>
        <w:t>17.</w:t>
      </w:r>
      <w:r>
        <w:rPr>
          <w:color w:val="000000"/>
        </w:rPr>
        <w:t>    </w:t>
      </w:r>
      <w:r>
        <w:rPr>
          <w:rFonts w:ascii="Times New Roman;serif" w:hAnsi="Times New Roman;serif"/>
          <w:b/>
          <w:color w:val="000000"/>
          <w:sz w:val="22"/>
        </w:rPr>
        <w:t>Code Section 409A</w:t>
      </w:r>
      <w:r>
        <w:rPr>
          <w:rFonts w:ascii="Times New Roman;serif" w:hAnsi="Times New Roman;serif"/>
          <w:b w:val="false"/>
          <w:color w:val="000000"/>
          <w:sz w:val="22"/>
        </w:rPr>
        <w:t xml:space="preserve">. This Agreement is intended to be interpreted and applied so that the Award set forth herein shall be exempt from the requirements of Section 409A of the Code and the final Treasury Regulations promulgated thereunder (collectively, “Section 409A”), and, accordingly, to the maximum extent permitted, this Agreement shall be interpreted to be exempt from Section 409A.  To the extent that the Company determines that any provision of this Agreement would cause the Recipient to incur any additional tax or interest under Section 409A, the Company shall be entitled to reform such provision without the Recipient’s consent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Recipient and the Company without violating the </w:t>
      </w:r>
    </w:p>
    <w:p>
      <w:pPr>
        <w:pStyle w:val="TextBody"/>
        <w:bidi w:val="0"/>
        <w:spacing w:before="0" w:after="0"/>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7"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provisions of Section 409A. Neither the Company nor any Recipient, director or officer thereof guarantees that this Agreement complies with Section 409A and no such party shall have any liability with respect to any failure of this Agreement to so comply.</w:t>
      </w:r>
    </w:p>
    <w:p>
      <w:pPr>
        <w:pStyle w:val="TextBody"/>
        <w:bidi w:val="0"/>
        <w:spacing w:lineRule="auto" w:line="288" w:before="0" w:after="0"/>
        <w:jc w:val="both"/>
      </w:pPr>
      <w:r>
        <w:rPr>
          <w:rFonts w:ascii="Times New Roman;serif" w:hAnsi="Times New Roman;serif"/>
          <w:b/>
          <w:color w:val="000000"/>
          <w:sz w:val="22"/>
        </w:rPr>
        <w:t>In Witness Whereof</w:t>
      </w:r>
      <w:r>
        <w:rPr>
          <w:rFonts w:ascii="Times New Roman;serif" w:hAnsi="Times New Roman;serif"/>
          <w:b w:val="false"/>
          <w:color w:val="000000"/>
          <w:sz w:val="22"/>
        </w:rPr>
        <w:t>, the parties have executed this Agreement electronically via the participant portal as of the date first above written.</w:t>
      </w:r>
    </w:p>
    <w:p>
      <w:pPr>
        <w:pStyle w:val="TextBody"/>
        <w:bidi w:val="0"/>
        <w:spacing w:before="0" w:after="0"/>
        <w:jc w:val="both"/>
      </w:pPr>
      <w:r/>
    </w:p>
    <w:p>
      <w:pPr>
        <w:pStyle w:val="TextBody"/>
        <w:bidi w:val="0"/>
        <w:spacing w:lineRule="auto" w:line="288" w:before="0" w:after="0"/>
        <w:ind w:left="0" w:right="0" w:hanging="5040"/>
        <w:jc w:val="both"/>
      </w:pPr>
      <w:r>
        <w:rPr>
          <w:rFonts w:ascii="Times New Roman;serif" w:hAnsi="Times New Roman;serif"/>
          <w:b/>
          <w:color w:val="000000"/>
          <w:sz w:val="22"/>
        </w:rPr>
        <w:t>Recipient</w:t>
      </w:r>
      <w:r>
        <w:rPr>
          <w:color w:val="000000"/>
        </w:rPr>
        <w:t>                        </w:t>
      </w:r>
      <w:r>
        <w:rPr>
          <w:rFonts w:ascii="Times New Roman;serif" w:hAnsi="Times New Roman;serif"/>
          <w:b/>
          <w:color w:val="000000"/>
          <w:sz w:val="22"/>
        </w:rPr>
        <w:t>Universal Electronics Inc.</w:t>
      </w:r>
    </w:p>
    <w:p>
      <w:pPr>
        <w:pStyle w:val="TextBody"/>
        <w:bidi w:val="0"/>
        <w:spacing w:before="0" w:after="0"/>
        <w:jc w:val="both"/>
      </w:pPr>
      <w:r/>
    </w:p>
    <w:tbl>
      <w:tblPr>
        <w:tblW w:w="5257" w:type="dxa"/>
        <w:jc w:val="left"/>
        <w:tblInd w:w="0" w:type="dxa"/>
        <w:tblLayout w:type="fixed"/>
        <w:tblCellMar>
          <w:top w:w="28" w:type="dxa"/>
          <w:left w:w="28" w:type="dxa"/>
          <w:bottom w:w="28" w:type="dxa"/>
          <w:right w:w="28" w:type="dxa"/>
        </w:tblCellMar>
      </w:tblPr>
      <w:tblGrid>
        <w:gridCol w:w="1488"/>
        <w:gridCol w:w="1307"/>
        <w:gridCol w:w="1314"/>
        <w:gridCol w:w="109"/>
        <w:gridCol w:w="109"/>
        <w:gridCol w:w="109"/>
        <w:gridCol w:w="149"/>
        <w:gridCol w:w="149"/>
        <w:gridCol w:w="151"/>
        <w:gridCol w:w="109"/>
        <w:gridCol w:w="109"/>
        <w:gridCol w:w="154"/>
      </w:tblGrid>
      <w:tr>
        <w:tc>
          <w:tcPr>
            <w:tcW w:w="1488"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09" w:type="dxa"/>
            <w:gridSpan w:val="3"/>
            <w:tcBorders/>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372" w:type="dxa"/>
            <w:gridSpan w:val="3"/>
            <w:tcBorders/>
            <w:tcMar>
              <w:top w:w="0" w:type="dxa"/>
              <w:left w:w="0" w:type="dxa"/>
              <w:bottom w:w="0" w:type="dxa"/>
              <w:right w:w="0" w:type="dxa"/>
            </w:tcMar>
            <w:vAlign w:val="center"/>
          </w:tcPr>
          <w:p>
            <w:pPr>
              <w:pStyle w:val="TableContents"/>
              <w:bidi w:val="0"/>
              <w:spacing w:before="0" w:after="0"/>
              <w:jc w:val="both"/>
            </w:pPr>
            <w:r/>
          </w:p>
        </w:tc>
      </w:tr>
      <w:tr>
        <w:tc>
          <w:tcPr>
            <w:tcW w:w="41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[[FIRSTNAME]] [[LASTNAME]]</w:t>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 xml:space="preserve">Its: </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0"/>
              <w:jc w:val="both"/>
            </w:pPr>
            <w:r/>
          </w:p>
        </w:tc>
      </w:tr>
      <w:tr>
        <w:tc>
          <w:tcPr>
            <w:tcW w:w="4109" w:type="dxa"/>
            <w:gridSpan w:val="3"/>
            <w:tcBorders/>
            <w:tcMar>
              <w:top w:w="0" w:type="dxa"/>
              <w:left w:w="0" w:type="dxa"/>
              <w:bottom w:w="0" w:type="dxa"/>
              <w:right w:w="0" w:type="dxa"/>
            </w:tcMar>
            <w:vAlign w:val="center"/>
          </w:tcPr>
          <w:p>
            <w:pPr>
              <w:pStyle w:val="TableContents"/>
              <w:bidi w:val="0"/>
              <w:spacing w:before="0" w:after="0"/>
              <w:jc w:val="both"/>
            </w:pPr>
            <w:r/>
          </w:p>
        </w:tc>
        <w:tc>
          <w:tcPr>
            <w:tcW w:w="327" w:type="dxa"/>
            <w:gridSpan w:val="3"/>
            <w:tcBorders/>
            <w:tcMar>
              <w:top w:w="0" w:type="dxa"/>
              <w:left w:w="0" w:type="dxa"/>
              <w:bottom w:w="0" w:type="dxa"/>
              <w:right w:w="0" w:type="dxa"/>
            </w:tcMar>
            <w:vAlign w:val="center"/>
          </w:tcPr>
          <w:p>
            <w:pPr>
              <w:pStyle w:val="TableContents"/>
              <w:bidi w:val="0"/>
              <w:spacing w:before="0" w:after="0"/>
              <w:jc w:val="left"/>
            </w:pPr>
            <w:r/>
          </w:p>
        </w:tc>
        <w:tc>
          <w:tcPr>
            <w:tcW w:w="449" w:type="dxa"/>
            <w:gridSpan w:val="3"/>
            <w:tcBorders/>
            <w:tcMar>
              <w:top w:w="0" w:type="dxa"/>
              <w:left w:w="0" w:type="dxa"/>
              <w:bottom w:w="0" w:type="dxa"/>
              <w:right w:w="0" w:type="dxa"/>
            </w:tcMar>
            <w:vAlign w:val="center"/>
          </w:tcPr>
          <w:p>
            <w:pPr>
              <w:pStyle w:val="TableContents"/>
              <w:bidi w:val="0"/>
              <w:spacing w:before="0" w:after="0"/>
              <w:jc w:val="both"/>
            </w:pPr>
            <w:r/>
          </w:p>
        </w:tc>
        <w:tc>
          <w:tcPr>
            <w:tcW w:w="372" w:type="dxa"/>
            <w:gridSpan w:val="3"/>
            <w:tcBorders/>
            <w:tcMar>
              <w:top w:w="0" w:type="dxa"/>
              <w:left w:w="0" w:type="dxa"/>
              <w:bottom w:w="0" w:type="dxa"/>
              <w:right w:w="0" w:type="dxa"/>
            </w:tcMar>
            <w:vAlign w:val="center"/>
          </w:tcPr>
          <w:p>
            <w:pPr>
              <w:pStyle w:val="TableContents"/>
              <w:bidi w:val="0"/>
              <w:spacing w:before="0" w:after="0"/>
              <w:jc w:val="both"/>
            </w:pPr>
            <w:r/>
          </w:p>
        </w:tc>
      </w:tr>
    </w:tbl>
    <w:p>
      <w:pPr>
        <w:pStyle w:val="TextBody"/>
        <w:bidi w:val="0"/>
        <w:spacing w:before="0" w:after="0"/>
        <w:jc w:val="both"/>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8"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111000914.v2</w:t>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Wade M. Jenke, certify that: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80" w:after="283"/>
        <w:ind w:left="0" w:right="0" w:firstLine="180"/>
        <w:jc w:val="both"/>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80" w:after="283"/>
        <w:ind w:left="0" w:right="0" w:firstLine="180"/>
        <w:jc w:val="both"/>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80" w:after="283"/>
        <w:ind w:left="0" w:right="0" w:firstLine="180"/>
        <w:jc w:val="both"/>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80" w:after="283"/>
        <w:ind w:left="0" w:right="0" w:firstLine="180"/>
        <w:jc w:val="both"/>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333"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180"/>
        <w:jc w:val="both"/>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180"/>
        <w:jc w:val="both"/>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3" w:before="180" w:after="30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3225" w:type="dxa"/>
        <w:jc w:val="left"/>
        <w:tblInd w:w="0" w:type="dxa"/>
        <w:tblLayout w:type="fixed"/>
        <w:tblCellMar>
          <w:top w:w="28" w:type="dxa"/>
          <w:left w:w="28" w:type="dxa"/>
          <w:bottom w:w="28" w:type="dxa"/>
          <w:right w:w="28" w:type="dxa"/>
        </w:tblCellMar>
      </w:tblPr>
      <w:tblGrid>
        <w:gridCol w:w="1032"/>
        <w:gridCol w:w="904"/>
        <w:gridCol w:w="1289"/>
      </w:tblGrid>
      <w:tr>
        <w:tc>
          <w:tcPr>
            <w:tcW w:w="103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c>
          <w:tcPr>
            <w:tcW w:w="3225"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p>
            <w:pPr>
              <w:pStyle w:val="TableContents"/>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I, Sui Man (Raymond) Ho, certify that: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Universal Electronics Inc.;</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3"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3" w:before="100" w:after="283"/>
        <w:ind w:left="0" w:right="0" w:firstLine="180"/>
        <w:jc w:val="both"/>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3" w:before="100" w:after="283"/>
        <w:ind w:left="0" w:right="0" w:firstLine="180"/>
        <w:jc w:val="both"/>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3" w:before="100" w:after="283"/>
        <w:ind w:left="0" w:right="0" w:firstLine="180"/>
        <w:jc w:val="both"/>
      </w:pPr>
      <w:r>
        <w:rPr>
          <w:rFonts w:ascii="Times New Roman;serif" w:hAnsi="Times New Roman;serif"/>
          <w:b w:val="false"/>
          <w:color w:val="000000"/>
          <w:sz w:val="20"/>
        </w:rPr>
        <w:t>c)</w:t>
      </w:r>
      <w:r>
        <w:rPr>
          <w:color w:val="000000"/>
        </w:rPr>
        <w:t xml:space="preserve"> </w:t>
      </w: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3" w:before="100" w:after="283"/>
        <w:ind w:left="0" w:right="0" w:firstLine="180"/>
        <w:jc w:val="both"/>
      </w:pPr>
      <w:r>
        <w:rPr>
          <w:rFonts w:ascii="Times New Roman;serif" w:hAnsi="Times New Roman;serif"/>
          <w:b w:val="false"/>
          <w:color w:val="000000"/>
          <w:sz w:val="20"/>
        </w:rPr>
        <w:t>d)</w:t>
      </w:r>
      <w:r>
        <w:rPr>
          <w:color w:val="000000"/>
        </w:rPr>
        <w:t xml:space="preserve"> </w:t>
      </w: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333" w:before="1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3" w:before="100" w:after="283"/>
        <w:ind w:left="0" w:right="0" w:firstLine="180"/>
        <w:jc w:val="both"/>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3" w:before="100" w:after="283"/>
        <w:ind w:left="0" w:right="0" w:firstLine="180"/>
        <w:jc w:val="both"/>
      </w:pPr>
      <w:r>
        <w:rPr>
          <w:rFonts w:ascii="Times New Roman;serif" w:hAnsi="Times New Roman;serif"/>
          <w:b w:val="false"/>
          <w:color w:val="000000"/>
          <w:sz w:val="20"/>
        </w:rPr>
        <w:t>b)</w:t>
      </w:r>
      <w:r>
        <w:rPr>
          <w:color w:val="000000"/>
        </w:rPr>
        <w:t xml:space="preserve"> </w:t>
      </w: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lineRule="auto" w:line="333" w:before="180" w:after="283"/>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p>
      <w:pPr>
        <w:pStyle w:val="TextBody"/>
        <w:bidi w:val="0"/>
        <w:spacing w:lineRule="auto" w:line="333" w:before="0" w:after="100"/>
        <w:jc w:val="left"/>
        <w:rPr>
          <w:color w:val="000000"/>
        </w:rPr>
      </w:pPr>
      <w:r>
        <w:rPr>
          <w:color w:val="000000"/>
        </w:rPr>
        <w:t> </w:t>
      </w:r>
    </w:p>
    <w:tbl>
      <w:tblPr>
        <w:tblW w:w="2835" w:type="dxa"/>
        <w:jc w:val="left"/>
        <w:tblInd w:w="0" w:type="dxa"/>
        <w:tblLayout w:type="fixed"/>
        <w:tblCellMar>
          <w:top w:w="28" w:type="dxa"/>
          <w:left w:w="28" w:type="dxa"/>
          <w:bottom w:w="28" w:type="dxa"/>
          <w:right w:w="28" w:type="dxa"/>
        </w:tblCellMar>
      </w:tblPr>
      <w:tblGrid>
        <w:gridCol w:w="906"/>
        <w:gridCol w:w="798"/>
        <w:gridCol w:w="1131"/>
      </w:tblGrid>
      <w:t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Sui Man (Raymond) Ho</w:t>
            </w:r>
          </w:p>
        </w:tc>
      </w:tr>
      <w:tr>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(Raymond) Ho</w:t>
            </w:r>
          </w:p>
        </w:tc>
      </w:tr>
      <w:tr>
        <w:tc>
          <w:tcPr>
            <w:tcW w:w="2835" w:type="dxa"/>
            <w:gridSpan w:val="3"/>
            <w:tcBorders/>
            <w:tcMar>
              <w:top w:w="0" w:type="dxa"/>
              <w:left w:w="0" w:type="dxa"/>
              <w:bottom w:w="0" w:type="dxa"/>
              <w:right w:w="0" w:type="dxa"/>
            </w:tcMar>
            <w:vAlign w:val="center"/>
          </w:tcPr>
          <w:p>
            <w:pPr>
              <w:pStyle w:val="TableContents"/>
              <w:bidi w:val="0"/>
              <w:spacing w:lineRule="auto" w:line="288" w:before="53" w:after="283"/>
              <w:jc w:val="left"/>
              <w:rPr>
                <w:color w:val="000000"/>
              </w:rPr>
            </w:pPr>
            <w:r>
              <w:rPr>
                <w:color w:val="000000"/>
              </w:rPr>
              <w:t> </w:t>
            </w:r>
            <w:r>
              <w:rPr>
                <w:rFonts w:ascii="Times New Roman;serif" w:hAnsi="Times New Roman;serif"/>
                <w:b w:val="false"/>
                <w:color w:val="000000"/>
                <w:sz w:val="20"/>
              </w:rPr>
              <w:t>Chief Financial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ableContents"/>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and principal accounting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lineRule="auto" w:line="333"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Universal Electronics Inc. (the "Company"), hereby certifies that the (i) Company's Form 10-Q for the fiscal quarter ended September 30,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333" w:before="0" w:after="100"/>
        <w:jc w:val="both"/>
        <w:rPr>
          <w:color w:val="000000"/>
        </w:rPr>
      </w:pPr>
      <w:r>
        <w:rPr>
          <w:color w:val="000000"/>
        </w:rPr>
        <w:t> </w:t>
      </w:r>
    </w:p>
    <w:tbl>
      <w:tblPr>
        <w:tblW w:w="6576" w:type="dxa"/>
        <w:jc w:val="left"/>
        <w:tblInd w:w="0" w:type="dxa"/>
        <w:tblLayout w:type="fixed"/>
        <w:tblCellMar>
          <w:top w:w="28" w:type="dxa"/>
          <w:left w:w="28" w:type="dxa"/>
          <w:bottom w:w="28" w:type="dxa"/>
          <w:right w:w="28" w:type="dxa"/>
        </w:tblCellMar>
      </w:tblPr>
      <w:tblGrid>
        <w:gridCol w:w="254"/>
        <w:gridCol w:w="224"/>
        <w:gridCol w:w="226"/>
        <w:gridCol w:w="534"/>
        <w:gridCol w:w="534"/>
        <w:gridCol w:w="536"/>
        <w:gridCol w:w="109"/>
        <w:gridCol w:w="109"/>
        <w:gridCol w:w="109"/>
        <w:gridCol w:w="134"/>
        <w:gridCol w:w="134"/>
        <w:gridCol w:w="136"/>
        <w:gridCol w:w="109"/>
        <w:gridCol w:w="109"/>
        <w:gridCol w:w="109"/>
        <w:gridCol w:w="938"/>
        <w:gridCol w:w="938"/>
        <w:gridCol w:w="1334"/>
      </w:tblGrid>
      <w:t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Wade M. Jenke</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Wade M Jenke</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333" w:before="180" w:after="283"/>
        <w:jc w:val="center"/>
        <w:rPr>
          <w:rFonts w:ascii="Times New Roman;serif" w:hAnsi="Times New Roman;serif"/>
          <w:b w:val="false"/>
          <w:color w:val="000000"/>
          <w:sz w:val="20"/>
        </w:rPr>
      </w:pPr>
      <w:r>
        <w:rPr>
          <w:rFonts w:ascii="Times New Roman;serif" w:hAnsi="Times New Roman;serif"/>
          <w:b w:val="false"/>
          <w:color w:val="000000"/>
          <w:sz w:val="20"/>
        </w:rPr>
        <w:t>SECTION 1350 CERTIFICATIONS</w:t>
      </w:r>
    </w:p>
    <w:p>
      <w:pPr>
        <w:pStyle w:val="TextBody"/>
        <w:bidi w:val="0"/>
        <w:spacing w:lineRule="auto" w:line="333"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18 U.S.C. Section 1350, as adopted pursuant to Section 906 of the Sarbanes-Oxley Act of 2002, the undersigned officer of Universal Electronics Inc. (the "Company"), hereby certifies that the (i) Company's Form 10-Q for the fiscal quarter ended September 30, 2026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pStyle w:val="TextBody"/>
        <w:bidi w:val="0"/>
        <w:spacing w:lineRule="auto" w:line="333" w:before="0" w:after="100"/>
        <w:jc w:val="both"/>
        <w:rPr>
          <w:color w:val="000000"/>
        </w:rPr>
      </w:pPr>
      <w:r>
        <w:rPr>
          <w:color w:val="000000"/>
        </w:rPr>
        <w:t> </w:t>
      </w:r>
    </w:p>
    <w:tbl>
      <w:tblPr>
        <w:tblW w:w="8361" w:type="dxa"/>
        <w:jc w:val="left"/>
        <w:tblInd w:w="0" w:type="dxa"/>
        <w:tblLayout w:type="fixed"/>
        <w:tblCellMar>
          <w:top w:w="28" w:type="dxa"/>
          <w:left w:w="28" w:type="dxa"/>
          <w:bottom w:w="28" w:type="dxa"/>
          <w:right w:w="28" w:type="dxa"/>
        </w:tblCellMar>
      </w:tblPr>
      <w:tblGrid>
        <w:gridCol w:w="254"/>
        <w:gridCol w:w="224"/>
        <w:gridCol w:w="226"/>
        <w:gridCol w:w="534"/>
        <w:gridCol w:w="534"/>
        <w:gridCol w:w="536"/>
        <w:gridCol w:w="109"/>
        <w:gridCol w:w="109"/>
        <w:gridCol w:w="109"/>
        <w:gridCol w:w="134"/>
        <w:gridCol w:w="134"/>
        <w:gridCol w:w="136"/>
        <w:gridCol w:w="109"/>
        <w:gridCol w:w="109"/>
        <w:gridCol w:w="109"/>
        <w:gridCol w:w="1461"/>
        <w:gridCol w:w="1461"/>
        <w:gridCol w:w="2073"/>
      </w:tblGrid>
      <w:t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Sui Man (Raymond) Ho</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Sui Man (Raymond) Ho</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r>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40" w:after="283"/>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has been provided to Universal Electronics Inc. and will be retained by it and furnished to the Securities and Exchange Commission or its staff upon request.</w:t>
      </w:r>
    </w:p>
    <w:p>
      <w:pPr>
        <w:pStyle w:val="TextBody"/>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1984/000010198426000061/universalelectronics-compi.htm" TargetMode="External"/><Relationship Id="rId3" Type="http://schemas.openxmlformats.org/officeDocument/2006/relationships/hyperlink" Target="https://www.sec.gov/Archives/edgar/data/101984/000010198418000008/a10k20171231-ex34.htm" TargetMode="External"/><Relationship Id="rId4" Type="http://schemas.openxmlformats.org/officeDocument/2006/relationships/hyperlink" Target="https://www.sec.gov/Archives/edgar/data/101984/000010198426000102/exhibit101-lineofcreditagr.htm" TargetMode="External"/><Relationship Id="rId5" Type="http://schemas.openxmlformats.org/officeDocument/2006/relationships/hyperlink" Target="https://www.sec.gov/Archives/edgar/data/101984/000010198426000102/exhibit104-workingcapitall.htm" TargetMode="External"/><Relationship Id="rId6" Type="http://schemas.openxmlformats.org/officeDocument/2006/relationships/hyperlink" Target="https://www.sec.gov/Archives/edgar/data/101984/000010198426000124/usbankthirdamendedandresta.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27497</Words>
  <Characters>150233</Characters>
  <CharactersWithSpaces>176475</CharactersWithSpaces>
  <Paragraphs>2905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