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For the quarterly period ended September 30, 2018</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69" w:right="239" w:bottom="1440" w:gutter="0" w:footer="0" w:header="0"/>
        </w:sectPr>
      </w:pPr>
    </w:p>
    <w:p>
      <w:pPr>
        <w:spacing w:after="0" w:line="68" w:lineRule="exact"/>
        <w:rPr>
          <w:sz w:val="24"/>
          <w:szCs w:val="24"/>
          <w:color w:val="auto"/>
        </w:rPr>
      </w:pPr>
    </w:p>
    <w:p>
      <w:pPr>
        <w:ind w:left="44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19" w:lineRule="exact"/>
        <w:rPr>
          <w:sz w:val="24"/>
          <w:szCs w:val="24"/>
          <w:color w:val="auto"/>
        </w:rPr>
      </w:pPr>
    </w:p>
    <w:p>
      <w:pPr>
        <w:sectPr>
          <w:pgSz w:w="11900" w:h="16838" w:orient="portrait"/>
          <w:cols w:equalWidth="0" w:num="2">
            <w:col w:w="3240" w:space="640"/>
            <w:col w:w="7540"/>
          </w:cols>
          <w:pgMar w:left="240" w:top="269" w:right="239" w:bottom="1440" w:gutter="0" w:footer="0" w:header="0"/>
          <w:type w:val="continuous"/>
        </w:sectPr>
      </w:pPr>
    </w:p>
    <w:p>
      <w:pPr>
        <w:jc w:val="center"/>
        <w:spacing w:after="0"/>
        <w:rPr>
          <w:sz w:val="20"/>
          <w:szCs w:val="20"/>
          <w:color w:val="auto"/>
        </w:rPr>
      </w:pPr>
      <w:r>
        <w:rPr>
          <w:rFonts w:ascii="Arial" w:cs="Arial" w:eastAsia="Arial" w:hAnsi="Arial"/>
          <w:sz w:val="21"/>
          <w:szCs w:val="21"/>
          <w:b w:val="1"/>
          <w:bCs w:val="1"/>
          <w:color w:val="auto"/>
        </w:rPr>
        <w:t>Commission File Number: 0-21044</w:t>
      </w:r>
    </w:p>
    <w:p>
      <w:pPr>
        <w:spacing w:after="0" w:line="82"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_______________________________________</w:t>
      </w:r>
    </w:p>
    <w:p>
      <w:pPr>
        <w:sectPr>
          <w:pgSz w:w="11900" w:h="16838" w:orient="portrait"/>
          <w:cols w:equalWidth="0" w:num="1">
            <w:col w:w="11420"/>
          </w:cols>
          <w:pgMar w:left="240" w:top="269" w:right="239"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UNIVERSAL ELECTRONICS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47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7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4760" w:type="dxa"/>
            <w:vAlign w:val="bottom"/>
          </w:tcPr>
          <w:p>
            <w:pPr>
              <w:jc w:val="center"/>
              <w:ind w:right="1899"/>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3120" w:type="dxa"/>
            <w:vAlign w:val="bottom"/>
          </w:tcPr>
          <w:p>
            <w:pPr>
              <w:spacing w:after="0"/>
              <w:rPr>
                <w:sz w:val="24"/>
                <w:szCs w:val="24"/>
                <w:color w:val="auto"/>
              </w:rPr>
            </w:pPr>
          </w:p>
        </w:tc>
      </w:tr>
      <w:tr>
        <w:trPr>
          <w:trHeight w:val="234"/>
        </w:trPr>
        <w:tc>
          <w:tcPr>
            <w:tcW w:w="47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Santa Ana, California</w:t>
            </w:r>
          </w:p>
        </w:tc>
        <w:tc>
          <w:tcPr>
            <w:tcW w:w="3120" w:type="dxa"/>
            <w:vAlign w:val="bottom"/>
          </w:tcPr>
          <w:p>
            <w:pPr>
              <w:jc w:val="right"/>
              <w:ind w:right="241"/>
              <w:spacing w:after="0"/>
              <w:rPr>
                <w:sz w:val="20"/>
                <w:szCs w:val="20"/>
                <w:color w:val="auto"/>
              </w:rPr>
            </w:pPr>
            <w:r>
              <w:rPr>
                <w:rFonts w:ascii="Arial" w:cs="Arial" w:eastAsia="Arial" w:hAnsi="Arial"/>
                <w:sz w:val="18"/>
                <w:szCs w:val="18"/>
                <w:b w:val="1"/>
                <w:bCs w:val="1"/>
                <w:color w:val="auto"/>
              </w:rPr>
              <w:t>92707</w:t>
            </w:r>
          </w:p>
        </w:tc>
      </w:tr>
      <w:tr>
        <w:trPr>
          <w:trHeight w:val="218"/>
        </w:trPr>
        <w:tc>
          <w:tcPr>
            <w:tcW w:w="47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(714) 918-9500</w:t>
      </w:r>
    </w:p>
    <w:p>
      <w:pPr>
        <w:spacing w:after="0" w:line="40"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w:t>
      </w:r>
    </w:p>
    <w:p>
      <w:pPr>
        <w:spacing w:after="0" w:line="3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14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left="40" w:right="6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20" w:val="left"/>
          <w:tab w:leader="none" w:pos="83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44"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13,805,506 shares of Common Stock, par value $0.01 per share, of the registrant were outstanding on November 6, 2018.</w:t>
      </w:r>
    </w:p>
    <w:p>
      <w:pPr>
        <w:sectPr>
          <w:pgSz w:w="11900" w:h="16838" w:orient="portrait"/>
          <w:cols w:equalWidth="0" w:num="1">
            <w:col w:w="11420"/>
          </w:cols>
          <w:pgMar w:left="240" w:top="2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6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rPr>
              <w:t>UNIVERSAL ELECTRONICS INC.</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20" w:type="dxa"/>
            <w:vAlign w:val="bottom"/>
            <w:gridSpan w:val="2"/>
          </w:tcPr>
          <w:p>
            <w:pPr>
              <w:jc w:val="center"/>
              <w:ind w:right="3980"/>
              <w:spacing w:after="0"/>
              <w:rPr>
                <w:sz w:val="20"/>
                <w:szCs w:val="20"/>
                <w:color w:val="auto"/>
              </w:rPr>
            </w:pPr>
            <w:r>
              <w:rPr>
                <w:rFonts w:ascii="Arial" w:cs="Arial" w:eastAsia="Arial" w:hAnsi="Arial"/>
                <w:sz w:val="18"/>
                <w:szCs w:val="18"/>
                <w:b w:val="1"/>
                <w:bCs w:val="1"/>
                <w:color w:val="auto"/>
              </w:rPr>
              <w:t>INDEX</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40" w:type="dxa"/>
            <w:vAlign w:val="bottom"/>
            <w:gridSpan w:val="7"/>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04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5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6"/>
          </w:tcPr>
          <w:p>
            <w:pPr>
              <w:spacing w:after="0"/>
              <w:rPr>
                <w:sz w:val="21"/>
                <w:szCs w:val="21"/>
                <w:color w:val="auto"/>
              </w:rPr>
            </w:pPr>
          </w:p>
        </w:tc>
        <w:tc>
          <w:tcPr>
            <w:tcW w:w="6460" w:type="dxa"/>
            <w:vAlign w:val="bottom"/>
            <w:gridSpan w:val="4"/>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28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w:t>
              </w:r>
            </w:hyperlink>
          </w:p>
        </w:tc>
        <w:tc>
          <w:tcPr>
            <w:tcW w:w="7360" w:type="dxa"/>
            <w:vAlign w:val="bottom"/>
            <w:gridSpan w:val="8"/>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240" w:type="dxa"/>
            <w:vAlign w:val="bottom"/>
          </w:tcPr>
          <w:p>
            <w:pPr>
              <w:spacing w:after="0"/>
              <w:rPr>
                <w:sz w:val="21"/>
                <w:szCs w:val="21"/>
                <w:color w:val="auto"/>
              </w:rPr>
            </w:pPr>
          </w:p>
        </w:tc>
        <w:tc>
          <w:tcPr>
            <w:tcW w:w="101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Comprehensive Income (Loss) Statements</w:t>
              </w:r>
            </w:hyperlink>
          </w:p>
        </w:tc>
        <w:tc>
          <w:tcPr>
            <w:tcW w:w="5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404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140" w:type="dxa"/>
            <w:vAlign w:val="bottom"/>
            <w:gridSpan w:val="3"/>
          </w:tcPr>
          <w:p>
            <w:pPr>
              <w:spacing w:after="0"/>
              <w:rPr>
                <w:sz w:val="21"/>
                <w:szCs w:val="21"/>
                <w:color w:val="auto"/>
              </w:rPr>
            </w:pPr>
          </w:p>
        </w:tc>
        <w:tc>
          <w:tcPr>
            <w:tcW w:w="4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1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52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6"/>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 Management's Discussion and Analysis of Financial Condition and Results of Operations</w:t>
              </w:r>
            </w:hyperlink>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5"/>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552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20" w:type="dxa"/>
            <w:vAlign w:val="bottom"/>
            <w:gridSpan w:val="1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5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 Legal Proceedings</w:t>
              </w:r>
            </w:hyperlink>
          </w:p>
        </w:tc>
        <w:tc>
          <w:tcPr>
            <w:tcW w:w="7660" w:type="dxa"/>
            <w:vAlign w:val="bottom"/>
            <w:gridSpan w:val="9"/>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 Risk Factors</w:t>
              </w:r>
            </w:hyperlink>
          </w:p>
        </w:tc>
        <w:tc>
          <w:tcPr>
            <w:tcW w:w="8540" w:type="dxa"/>
            <w:vAlign w:val="bottom"/>
            <w:gridSpan w:val="1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5"/>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Item 2. Unregistered Sales of Equity Securities and Use of Proceeds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 Exhibits</w:t>
              </w:r>
            </w:hyperlink>
          </w:p>
        </w:tc>
        <w:tc>
          <w:tcPr>
            <w:tcW w:w="5520" w:type="dxa"/>
            <w:vAlign w:val="bottom"/>
            <w:gridSpan w:val="2"/>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8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2"/>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Signatures</w:t>
              </w:r>
            </w:hyperlink>
          </w:p>
        </w:tc>
        <w:tc>
          <w:tcPr>
            <w:tcW w:w="380" w:type="dxa"/>
            <w:vAlign w:val="bottom"/>
          </w:tcPr>
          <w:p>
            <w:pPr>
              <w:spacing w:after="0"/>
              <w:rPr>
                <w:sz w:val="21"/>
                <w:szCs w:val="21"/>
                <w:color w:val="auto"/>
              </w:rPr>
            </w:pPr>
          </w:p>
        </w:tc>
        <w:tc>
          <w:tcPr>
            <w:tcW w:w="9280" w:type="dxa"/>
            <w:vAlign w:val="bottom"/>
            <w:gridSpan w:val="14"/>
          </w:tcPr>
          <w:p>
            <w:pPr>
              <w:spacing w:after="0"/>
              <w:rPr>
                <w:sz w:val="21"/>
                <w:szCs w:val="21"/>
                <w:color w:val="auto"/>
              </w:rPr>
            </w:pPr>
          </w:p>
        </w:tc>
        <w:tc>
          <w:tcPr>
            <w:tcW w:w="52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40"/>
          </w:cols>
          <w:pgMar w:left="280" w:top="364" w:right="6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62,438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4,901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151,578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26,257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162,589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15,429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11,687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374,149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407,297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101,025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110,962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48,651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25,580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29,041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4,335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4,566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608,430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108,343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119,165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Line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138,000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32,220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34,499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28,719</w:t>
            </w:r>
          </w:p>
        </w:tc>
        <w:tc>
          <w:tcPr>
            <w:tcW w:w="0" w:type="dxa"/>
            <w:vAlign w:val="bottom"/>
          </w:tcPr>
          <w:p>
            <w:pPr>
              <w:spacing w:after="0"/>
              <w:rPr>
                <w:sz w:val="1"/>
                <w:szCs w:val="1"/>
                <w:color w:val="auto"/>
              </w:rPr>
            </w:pPr>
          </w:p>
        </w:tc>
      </w:tr>
      <w:tr>
        <w:trPr>
          <w:trHeight w:val="217"/>
        </w:trPr>
        <w:tc>
          <w:tcPr>
            <w:tcW w:w="766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273,347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332,935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Long-term contingent consideration</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13,400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2,520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17"/>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288,760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354,881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3"/>
              </w:rPr>
              <w:t>Common stock, $0.01 par value, 50,000,000 shares authorized; 23,891,790 and 23,760,434 shares issued on</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September 30, 2018 and December 31, 2017, respectively</w:t>
            </w:r>
          </w:p>
        </w:tc>
        <w:tc>
          <w:tcPr>
            <w:tcW w:w="18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265,195</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5"/>
              </w:rPr>
              <w:t>Treasury stock, at cost, 10,076,385 and 9,702,874 shares on September 30, 2018 and December 31, 2017,</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(274,629)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(262,065)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293,895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266,780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253,549</w:t>
            </w:r>
          </w:p>
        </w:tc>
        <w:tc>
          <w:tcPr>
            <w:tcW w:w="0" w:type="dxa"/>
            <w:vAlign w:val="bottom"/>
          </w:tcPr>
          <w:p>
            <w:pPr>
              <w:spacing w:after="0"/>
              <w:rPr>
                <w:sz w:val="1"/>
                <w:szCs w:val="1"/>
                <w:color w:val="auto"/>
              </w:rPr>
            </w:pPr>
          </w:p>
        </w:tc>
      </w:tr>
      <w:tr>
        <w:trPr>
          <w:trHeight w:val="231"/>
        </w:trPr>
        <w:tc>
          <w:tcPr>
            <w:tcW w:w="766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560,969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608,430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12700</wp:posOffset>
            </wp:positionV>
            <wp:extent cx="238379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79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182,717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509,938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514,638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142,401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132,582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405,661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386,783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40,316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127,855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5,593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17,703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15,859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Factory transition restructuring charges</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29,994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32,997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90,811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94,701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income (expense), net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Guangzhou factory</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Shares used in computing earnings per share:</w:t>
            </w: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9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14,412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Diluted</w:t>
            </w: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13,959</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14,666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14,116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33"/>
        </w:trPr>
        <w:tc>
          <w:tcPr>
            <w:tcW w:w="4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foreign currency translation adjustment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(3,778)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4,990</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(2,819)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4,727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17,841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11,521</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(used for) operating activities:</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23,031</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6,531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(used for) operating activities: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25,264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23,202</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Provision for doubtful accounts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Provision for inventory write-downs</w:t>
            </w:r>
          </w:p>
        </w:tc>
        <w:tc>
          <w:tcPr>
            <w:tcW w:w="3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6,450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Gain on sale of Guangzhou factory</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Shares issued for employee benefit plan</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Employee and director stock-based compensation</w:t>
            </w:r>
          </w:p>
        </w:tc>
        <w:tc>
          <w:tcPr>
            <w:tcW w:w="3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6,808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9,476</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Performance-based common stock warrants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264"/>
        </w:trPr>
        <w:tc>
          <w:tcPr>
            <w:tcW w:w="8120" w:type="dxa"/>
            <w:vAlign w:val="bottom"/>
          </w:tcPr>
          <w:p>
            <w:pPr>
              <w:ind w:left="820"/>
              <w:spacing w:after="0"/>
              <w:rPr>
                <w:sz w:val="20"/>
                <w:szCs w:val="20"/>
                <w:color w:val="auto"/>
              </w:rPr>
            </w:pPr>
            <w:r>
              <w:rPr>
                <w:rFonts w:ascii="Arial" w:cs="Arial" w:eastAsia="Arial" w:hAnsi="Arial"/>
                <w:sz w:val="14"/>
                <w:szCs w:val="14"/>
                <w:color w:val="auto"/>
              </w:rPr>
              <w:t>Impairment of China factory equipment</w:t>
            </w:r>
          </w:p>
        </w:tc>
        <w:tc>
          <w:tcPr>
            <w:tcW w:w="3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2,886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1260"/>
              <w:spacing w:after="0"/>
              <w:rPr>
                <w:sz w:val="20"/>
                <w:szCs w:val="20"/>
                <w:color w:val="auto"/>
              </w:rPr>
            </w:pPr>
            <w:r>
              <w:rPr>
                <w:rFonts w:ascii="Arial" w:cs="Arial" w:eastAsia="Arial" w:hAnsi="Arial"/>
                <w:sz w:val="14"/>
                <w:szCs w:val="14"/>
                <w:color w:val="auto"/>
              </w:rPr>
              <w:t>Accounts receivable and contract assets</w:t>
            </w:r>
          </w:p>
        </w:tc>
        <w:tc>
          <w:tcPr>
            <w:tcW w:w="34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(24,440)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(21,217)</w:t>
            </w:r>
          </w:p>
        </w:tc>
        <w:tc>
          <w:tcPr>
            <w:tcW w:w="0" w:type="dxa"/>
            <w:vAlign w:val="bottom"/>
          </w:tcPr>
          <w:p>
            <w:pPr>
              <w:spacing w:after="0"/>
              <w:rPr>
                <w:sz w:val="1"/>
                <w:szCs w:val="1"/>
                <w:color w:val="auto"/>
              </w:rPr>
            </w:pPr>
          </w:p>
        </w:tc>
      </w:tr>
      <w:tr>
        <w:trPr>
          <w:trHeight w:val="264"/>
        </w:trPr>
        <w:tc>
          <w:tcPr>
            <w:tcW w:w="8120" w:type="dxa"/>
            <w:vAlign w:val="bottom"/>
          </w:tcPr>
          <w:p>
            <w:pPr>
              <w:ind w:left="126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(4,193)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(13,142)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1260"/>
              <w:spacing w:after="0"/>
              <w:rPr>
                <w:sz w:val="20"/>
                <w:szCs w:val="20"/>
                <w:color w:val="auto"/>
              </w:rPr>
            </w:pPr>
            <w:r>
              <w:rPr>
                <w:rFonts w:ascii="Arial" w:cs="Arial" w:eastAsia="Arial" w:hAnsi="Arial"/>
                <w:sz w:val="14"/>
                <w:szCs w:val="14"/>
                <w:color w:val="auto"/>
              </w:rPr>
              <w:t>Accrued income taxes</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(4,134)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for) operating activities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(4,574)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Cash provided by (used for) investing activities:</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Guangzhou factory</w:t>
            </w:r>
          </w:p>
        </w:tc>
        <w:tc>
          <w:tcPr>
            <w:tcW w:w="3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51,291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34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(16,838)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(29,922)</w:t>
            </w: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Refund of deposit received toward sale of Guangzhou factory</w:t>
            </w:r>
          </w:p>
        </w:tc>
        <w:tc>
          <w:tcPr>
            <w:tcW w:w="3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Acquisitions of intangible assets</w:t>
            </w:r>
          </w:p>
        </w:tc>
        <w:tc>
          <w:tcPr>
            <w:tcW w:w="34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net assets of Residential Control Systems, Inc.</w:t>
            </w:r>
          </w:p>
        </w:tc>
        <w:tc>
          <w:tcPr>
            <w:tcW w:w="3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(8,894)</w:t>
            </w:r>
          </w:p>
        </w:tc>
        <w:tc>
          <w:tcPr>
            <w:tcW w:w="0" w:type="dxa"/>
            <w:vAlign w:val="bottom"/>
          </w:tcPr>
          <w:p>
            <w:pPr>
              <w:spacing w:after="0"/>
              <w:rPr>
                <w:sz w:val="1"/>
                <w:szCs w:val="1"/>
                <w:color w:val="auto"/>
              </w:rPr>
            </w:pPr>
          </w:p>
        </w:tc>
      </w:tr>
      <w:tr>
        <w:trPr>
          <w:trHeight w:val="74"/>
        </w:trPr>
        <w:tc>
          <w:tcPr>
            <w:tcW w:w="8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600"/>
              <w:spacing w:after="0"/>
              <w:rPr>
                <w:sz w:val="20"/>
                <w:szCs w:val="20"/>
                <w:color w:val="auto"/>
              </w:rPr>
            </w:pPr>
            <w:r>
              <w:rPr>
                <w:rFonts w:ascii="Arial" w:cs="Arial" w:eastAsia="Arial" w:hAnsi="Arial"/>
                <w:sz w:val="14"/>
                <w:szCs w:val="14"/>
                <w:color w:val="auto"/>
              </w:rPr>
              <w:t>Net cash provided by (used for) investing activities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27,489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(40,091)</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(used for) financing activities: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Borrowings under line of credit</w:t>
            </w:r>
          </w:p>
        </w:tc>
        <w:tc>
          <w:tcPr>
            <w:tcW w:w="3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48,000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on line of credit</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(50,987)</w:t>
            </w:r>
          </w:p>
        </w:tc>
        <w:tc>
          <w:tcPr>
            <w:tcW w:w="0" w:type="dxa"/>
            <w:vAlign w:val="bottom"/>
          </w:tcPr>
          <w:p>
            <w:pPr>
              <w:spacing w:after="0"/>
              <w:rPr>
                <w:sz w:val="1"/>
                <w:szCs w:val="1"/>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Proceeds from stock options exercised</w:t>
            </w:r>
          </w:p>
        </w:tc>
        <w:tc>
          <w:tcPr>
            <w:tcW w:w="34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purchased</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(12,564)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Contingent consideration payments in connection with business combinations</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(3,858)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for) financing activities</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(50,058)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44,903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(5,504)</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(25,344)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year</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67,339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59,834</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41,995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53,359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cash flow information:</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Income taxes paid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5,453</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5,770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1,697</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related party vendors.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nine months ended September 30, 2018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Judgments and Assumptions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 Any adjustment may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Accounting Standards Update ("ASU") 2014-09, "Revenue from Contracts with Customers," and all related amendments as of January 1, 2018. The impact of this new guidance on our accounting policies and consolidated financial statements is also described below. There have been no other significant changes in our accounting policies during the three and nine months ended September 30, 2018 compared to the significant accounting policies described in our Annual Report on Form 10-K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These performance obligations are satisfied at a point in time or over time, as described below. Payment terms are typically on open credit terms consistent with industry practice and do not have significant financing components. Some contracts contain early payment discounts, which are recognized as a reduction to revenue if the customer typically meets the early payment conditions. Consideration may be variable based on indeterminate volumes.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such as a firm order or other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for the sale of tooling at a point in time, which is generally upon completion of the tooling and, if applicable, acceptance by the customer.</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 our intellectual property including our patented technologies, trademarks, and database of control codes. When license fees are paid on a per-unit basis, we record license revenue when our customers manufacture or ship a product incorporating our intellectual property and we have a present right to payment. When a fixed up-front license fee is received in exchange for the 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prior accounting standards, we recognized revenue on the sale of products when title of the goods had transferred, there was persuasive evidence of an arrangement (such as a purchase order from the customer), the sales price was fixed or determinable and collectability was reasonably assured. Revenue for term license fees were recognized on a straight-line basis over the effective term of the license when we could not reliably predict in which periods, within the term of the license, the licensee would benefit from the use of our patented inventions.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2018, we adopted ASU 2014-09 using the modified retrospective transition method. Under this method, we evaluated all contracts that were in effect at the beginning of 2018 as if those contracts had been accounted for under the new revenue standard based on the terms in effect as of the adoption date. Under the modified retrospective transition approach, periods prior to the adoption date were not adjusted and continue to be reported in accordance with historical U.S. GAAP. A cumulative catch-up adjustment was recorded to beginning retained earnings to reflect the impact of all existing arrangements under the new revenue standard.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effects of the changes made to our consolidated January 1, 2018 balance sheet for the adoption of ASU 2014-09,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jc w:val="right"/>
              <w:ind w:right="794"/>
              <w:spacing w:after="0"/>
              <w:rPr>
                <w:sz w:val="20"/>
                <w:szCs w:val="20"/>
                <w:color w:val="auto"/>
              </w:rPr>
            </w:pPr>
            <w:r>
              <w:rPr>
                <w:rFonts w:ascii="Arial" w:cs="Arial" w:eastAsia="Arial" w:hAnsi="Arial"/>
                <w:sz w:val="14"/>
                <w:szCs w:val="14"/>
                <w:b w:val="1"/>
                <w:bCs w:val="1"/>
                <w:color w:val="auto"/>
              </w:rPr>
              <w:t>As reported</w:t>
            </w:r>
          </w:p>
        </w:tc>
        <w:tc>
          <w:tcPr>
            <w:tcW w:w="16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97"/>
              </w:rPr>
              <w:t>Adjustments due to</w:t>
            </w:r>
          </w:p>
        </w:tc>
        <w:tc>
          <w:tcPr>
            <w:tcW w:w="380" w:type="dxa"/>
            <w:vAlign w:val="bottom"/>
          </w:tcPr>
          <w:p>
            <w:pPr>
              <w:spacing w:after="0"/>
              <w:rPr>
                <w:sz w:val="16"/>
                <w:szCs w:val="16"/>
                <w:color w:val="auto"/>
              </w:rPr>
            </w:pPr>
          </w:p>
        </w:tc>
        <w:tc>
          <w:tcPr>
            <w:tcW w:w="1380" w:type="dxa"/>
            <w:vAlign w:val="bottom"/>
          </w:tcPr>
          <w:p>
            <w:pPr>
              <w:jc w:val="right"/>
              <w:ind w:right="43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84"/>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 Balance Sheet (In thousands)</w:t>
            </w:r>
          </w:p>
        </w:tc>
        <w:tc>
          <w:tcPr>
            <w:tcW w:w="1680" w:type="dxa"/>
            <w:vAlign w:val="bottom"/>
          </w:tcPr>
          <w:p>
            <w:pPr>
              <w:spacing w:after="0"/>
              <w:rPr>
                <w:sz w:val="7"/>
                <w:szCs w:val="7"/>
                <w:color w:val="auto"/>
              </w:rPr>
            </w:pPr>
          </w:p>
        </w:tc>
        <w:tc>
          <w:tcPr>
            <w:tcW w:w="1840" w:type="dxa"/>
            <w:vAlign w:val="bottom"/>
            <w:vMerge w:val="restart"/>
          </w:tcPr>
          <w:p>
            <w:pPr>
              <w:jc w:val="right"/>
              <w:ind w:right="834"/>
              <w:spacing w:after="0"/>
              <w:rPr>
                <w:sz w:val="20"/>
                <w:szCs w:val="20"/>
                <w:color w:val="auto"/>
              </w:rPr>
            </w:pPr>
            <w:r>
              <w:rPr>
                <w:rFonts w:ascii="Arial" w:cs="Arial" w:eastAsia="Arial" w:hAnsi="Arial"/>
                <w:sz w:val="14"/>
                <w:szCs w:val="14"/>
                <w:b w:val="1"/>
                <w:bCs w:val="1"/>
                <w:color w:val="auto"/>
              </w:rPr>
              <w:t>12/31/2017</w:t>
            </w:r>
          </w:p>
        </w:tc>
        <w:tc>
          <w:tcPr>
            <w:tcW w:w="16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3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1/1/2018</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ASU 2014-09</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29,759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680" w:type="dxa"/>
            <w:vAlign w:val="bottom"/>
          </w:tcPr>
          <w:p>
            <w:pPr>
              <w:spacing w:after="0"/>
              <w:rPr>
                <w:sz w:val="21"/>
                <w:szCs w:val="21"/>
                <w:color w:val="auto"/>
              </w:rPr>
            </w:pPr>
          </w:p>
        </w:tc>
        <w:tc>
          <w:tcPr>
            <w:tcW w:w="1840" w:type="dxa"/>
            <w:vAlign w:val="bottom"/>
          </w:tcPr>
          <w:p>
            <w:pPr>
              <w:jc w:val="right"/>
              <w:ind w:right="334"/>
              <w:spacing w:after="0"/>
              <w:rPr>
                <w:sz w:val="20"/>
                <w:szCs w:val="20"/>
                <w:color w:val="auto"/>
              </w:rPr>
            </w:pPr>
            <w:r>
              <w:rPr>
                <w:rFonts w:ascii="Arial" w:cs="Arial" w:eastAsia="Arial" w:hAnsi="Arial"/>
                <w:sz w:val="18"/>
                <w:szCs w:val="18"/>
                <w:color w:val="auto"/>
              </w:rPr>
              <w:t>162,589</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(23,830)</w:t>
            </w: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138,759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11,687</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1680" w:type="dxa"/>
            <w:vAlign w:val="bottom"/>
          </w:tcPr>
          <w:p>
            <w:pPr>
              <w:spacing w:after="0"/>
              <w:rPr>
                <w:sz w:val="21"/>
                <w:szCs w:val="21"/>
                <w:color w:val="auto"/>
              </w:rPr>
            </w:pPr>
          </w:p>
        </w:tc>
        <w:tc>
          <w:tcPr>
            <w:tcW w:w="1840" w:type="dxa"/>
            <w:vAlign w:val="bottom"/>
          </w:tcPr>
          <w:p>
            <w:pPr>
              <w:jc w:val="right"/>
              <w:ind w:right="334"/>
              <w:spacing w:after="0"/>
              <w:rPr>
                <w:sz w:val="20"/>
                <w:szCs w:val="20"/>
                <w:color w:val="auto"/>
              </w:rPr>
            </w:pPr>
            <w:r>
              <w:rPr>
                <w:rFonts w:ascii="Arial" w:cs="Arial" w:eastAsia="Arial" w:hAnsi="Arial"/>
                <w:sz w:val="18"/>
                <w:szCs w:val="18"/>
                <w:color w:val="auto"/>
              </w:rPr>
              <w:t>7,913</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current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332,935</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1,528</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334,463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1680" w:type="dxa"/>
            <w:vAlign w:val="bottom"/>
          </w:tcPr>
          <w:p>
            <w:pPr>
              <w:spacing w:after="0"/>
              <w:rPr>
                <w:sz w:val="21"/>
                <w:szCs w:val="21"/>
                <w:color w:val="auto"/>
              </w:rPr>
            </w:pPr>
          </w:p>
        </w:tc>
        <w:tc>
          <w:tcPr>
            <w:tcW w:w="1840" w:type="dxa"/>
            <w:vAlign w:val="bottom"/>
          </w:tcPr>
          <w:p>
            <w:pPr>
              <w:jc w:val="right"/>
              <w:ind w:right="334"/>
              <w:spacing w:after="0"/>
              <w:rPr>
                <w:sz w:val="20"/>
                <w:szCs w:val="20"/>
                <w:color w:val="auto"/>
              </w:rPr>
            </w:pPr>
            <w:r>
              <w:rPr>
                <w:rFonts w:ascii="Arial" w:cs="Arial" w:eastAsia="Arial" w:hAnsi="Arial"/>
                <w:sz w:val="18"/>
                <w:szCs w:val="18"/>
                <w:color w:val="auto"/>
              </w:rPr>
              <w:t>4,423</w:t>
            </w:r>
          </w:p>
        </w:tc>
        <w:tc>
          <w:tcPr>
            <w:tcW w:w="166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6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266,780</w:t>
            </w:r>
          </w:p>
        </w:tc>
        <w:tc>
          <w:tcPr>
            <w:tcW w:w="1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4,084</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270,864</w:t>
            </w:r>
          </w:p>
        </w:tc>
        <w:tc>
          <w:tcPr>
            <w:tcW w:w="0" w:type="dxa"/>
            <w:vAlign w:val="bottom"/>
          </w:tcPr>
          <w:p>
            <w:pPr>
              <w:spacing w:after="0"/>
              <w:rPr>
                <w:sz w:val="1"/>
                <w:szCs w:val="1"/>
                <w:color w:val="auto"/>
              </w:rPr>
            </w:pPr>
          </w:p>
        </w:tc>
      </w:tr>
      <w:tr>
        <w:trPr>
          <w:trHeight w:val="891"/>
        </w:trPr>
        <w:tc>
          <w:tcPr>
            <w:tcW w:w="448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compare the reported consolidated balance sheet and statements of operations as of and for the three and nine months ended September 30, 2018, to pro forma amounts had the previous guidance been in effect. The guidance did not have a significant impact on the Company's consolidated statement of cash flows.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1"/>
              </w:rPr>
              <w:t>As of September 30, 2018</w:t>
            </w: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 Balance Sheet (In thousands)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As reported</w:t>
            </w:r>
          </w:p>
        </w:tc>
        <w:tc>
          <w:tcPr>
            <w:tcW w:w="1940" w:type="dxa"/>
            <w:vAlign w:val="bottom"/>
            <w:gridSpan w:val="2"/>
          </w:tcPr>
          <w:p>
            <w:pPr>
              <w:jc w:val="center"/>
              <w:ind w:left="15"/>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420" w:type="dxa"/>
            <w:vAlign w:val="bottom"/>
          </w:tcPr>
          <w:p>
            <w:pPr>
              <w:spacing w:after="0"/>
              <w:rPr>
                <w:sz w:val="13"/>
                <w:szCs w:val="1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2014-09</w:t>
            </w: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26,257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135,888</w:t>
            </w:r>
          </w:p>
        </w:tc>
        <w:tc>
          <w:tcPr>
            <w:tcW w:w="24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156,553</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15,429</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15,419</w:t>
            </w: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7,371</w:t>
            </w:r>
          </w:p>
        </w:tc>
        <w:tc>
          <w:tcPr>
            <w:tcW w:w="24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7,379</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273,347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271,734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293,895</w:t>
            </w:r>
          </w:p>
        </w:tc>
        <w:tc>
          <w:tcPr>
            <w:tcW w:w="24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289,914</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4"/>
          </w:tcPr>
          <w:p>
            <w:pPr>
              <w:jc w:val="center"/>
              <w:ind w:left="1114"/>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 Statements of Operations (In thousands)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As reported</w:t>
            </w:r>
          </w:p>
        </w:tc>
        <w:tc>
          <w:tcPr>
            <w:tcW w:w="1940" w:type="dxa"/>
            <w:vAlign w:val="bottom"/>
            <w:gridSpan w:val="2"/>
          </w:tcPr>
          <w:p>
            <w:pPr>
              <w:jc w:val="center"/>
              <w:ind w:left="15"/>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420" w:type="dxa"/>
            <w:vAlign w:val="bottom"/>
          </w:tcPr>
          <w:p>
            <w:pPr>
              <w:spacing w:after="0"/>
              <w:rPr>
                <w:sz w:val="13"/>
                <w:szCs w:val="1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2014-09</w:t>
            </w: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182,717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184,559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142,401</w:t>
            </w:r>
          </w:p>
        </w:tc>
        <w:tc>
          <w:tcPr>
            <w:tcW w:w="24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144,426</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29,994</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30,029</w:t>
            </w: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1"/>
                <w:szCs w:val="21"/>
                <w:color w:val="auto"/>
              </w:rPr>
            </w:pP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355</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959</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697</w:t>
            </w: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4"/>
          </w:tcPr>
          <w:p>
            <w:pPr>
              <w:jc w:val="center"/>
              <w:ind w:left="1074"/>
              <w:spacing w:after="0"/>
              <w:rPr>
                <w:sz w:val="20"/>
                <w:szCs w:val="20"/>
                <w:color w:val="auto"/>
              </w:rPr>
            </w:pPr>
            <w:r>
              <w:rPr>
                <w:rFonts w:ascii="Arial" w:cs="Arial" w:eastAsia="Arial" w:hAnsi="Arial"/>
                <w:sz w:val="14"/>
                <w:szCs w:val="14"/>
                <w:b w:val="1"/>
                <w:bCs w:val="1"/>
                <w:color w:val="auto"/>
                <w:w w:val="91"/>
              </w:rPr>
              <w:t>Nine months ended September 30, 2018</w:t>
            </w:r>
          </w:p>
        </w:tc>
        <w:tc>
          <w:tcPr>
            <w:tcW w:w="1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Statements of Operations (In thousands)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As reported</w:t>
            </w:r>
          </w:p>
        </w:tc>
        <w:tc>
          <w:tcPr>
            <w:tcW w:w="19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Without Adoption of ASU</w:t>
            </w:r>
          </w:p>
        </w:tc>
        <w:tc>
          <w:tcPr>
            <w:tcW w:w="42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2014-09</w:t>
            </w:r>
          </w:p>
        </w:tc>
        <w:tc>
          <w:tcPr>
            <w:tcW w:w="4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509,938</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512,880</w:t>
            </w:r>
          </w:p>
        </w:tc>
        <w:tc>
          <w:tcPr>
            <w:tcW w:w="4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405,661</w:t>
            </w:r>
          </w:p>
        </w:tc>
        <w:tc>
          <w:tcPr>
            <w:tcW w:w="240" w:type="dxa"/>
            <w:vAlign w:val="bottom"/>
          </w:tcPr>
          <w:p>
            <w:pPr>
              <w:spacing w:after="0"/>
              <w:rPr>
                <w:sz w:val="21"/>
                <w:szCs w:val="21"/>
                <w:color w:val="auto"/>
              </w:rPr>
            </w:pPr>
          </w:p>
        </w:tc>
        <w:tc>
          <w:tcPr>
            <w:tcW w:w="1700" w:type="dxa"/>
            <w:vAlign w:val="bottom"/>
          </w:tcPr>
          <w:p>
            <w:pPr>
              <w:jc w:val="right"/>
              <w:ind w:right="53"/>
              <w:spacing w:after="0"/>
              <w:rPr>
                <w:sz w:val="20"/>
                <w:szCs w:val="20"/>
                <w:color w:val="auto"/>
              </w:rPr>
            </w:pPr>
            <w:r>
              <w:rPr>
                <w:rFonts w:ascii="Arial" w:cs="Arial" w:eastAsia="Arial" w:hAnsi="Arial"/>
                <w:sz w:val="18"/>
                <w:szCs w:val="18"/>
                <w:color w:val="auto"/>
              </w:rPr>
              <w:t>408,427</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90,811</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90,866</w:t>
            </w: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2,233</w:t>
            </w:r>
          </w:p>
        </w:tc>
        <w:tc>
          <w:tcPr>
            <w:tcW w:w="240" w:type="dxa"/>
            <w:vAlign w:val="bottom"/>
          </w:tcPr>
          <w:p>
            <w:pPr>
              <w:spacing w:after="0"/>
              <w:rPr>
                <w:sz w:val="21"/>
                <w:szCs w:val="21"/>
                <w:color w:val="auto"/>
              </w:rPr>
            </w:pPr>
          </w:p>
        </w:tc>
        <w:tc>
          <w:tcPr>
            <w:tcW w:w="1700" w:type="dxa"/>
            <w:vAlign w:val="bottom"/>
          </w:tcPr>
          <w:p>
            <w:pPr>
              <w:jc w:val="right"/>
              <w:ind w:right="53"/>
              <w:spacing w:after="0"/>
              <w:rPr>
                <w:sz w:val="20"/>
                <w:szCs w:val="20"/>
                <w:color w:val="auto"/>
              </w:rPr>
            </w:pPr>
            <w:r>
              <w:rPr>
                <w:rFonts w:ascii="Arial" w:cs="Arial" w:eastAsia="Arial" w:hAnsi="Arial"/>
                <w:sz w:val="18"/>
                <w:szCs w:val="18"/>
                <w:color w:val="auto"/>
              </w:rPr>
              <w:t>2,250</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23,031</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23,134</w:t>
            </w: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3"/>
              <w:spacing w:after="0"/>
              <w:rPr>
                <w:sz w:val="20"/>
                <w:szCs w:val="20"/>
                <w:color w:val="auto"/>
              </w:rPr>
            </w:pPr>
            <w:r>
              <w:rPr>
                <w:rFonts w:ascii="Arial" w:cs="Arial" w:eastAsia="Arial" w:hAnsi="Arial"/>
                <w:sz w:val="18"/>
                <w:szCs w:val="18"/>
                <w:color w:val="auto"/>
              </w:rPr>
              <w:t>1.66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Financial Accounting Standards Board ("FASB") issued ASU 2016-15, "Classification of Certain Cash Receipts and Cash Payments," which amends Accounting Standards Codification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The adoption of ASU 2016-15 did not have a material impact to the presentation of our consolidated statement of cash flows.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2016, the FASB issued ASU 2016-16, "Intra-Entity Transfers of Assets Other Than Inventory," which changes the accounting for income tax consequences of intra-entity transfers of assets other than inventory. Current guidance prohibits the recognition of current and deferred income taxes for an intra-entity asset transfer until the asset has been sold to an outside party. Under this new guidance, the income tax consequences of an intra-entity transfer of an asset other than inventory will be recognized when the transfer occurs. ASU 2016-16 is effective for fiscal periods beginning after December 15, 2017. The adoption of ASU 2016-16 did not have a material impact on our consolidated financial statements.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2016, the FASB issued ASU 2016-18,"Restricted Cash," which amends ASC 230, "Statement of Cash Flows." This new guidance addresses the classifications and presentation of changes in restricted cash in the statement of cash flows. ASU 2016-18 is effective for fiscal periods beginning after December 15, 2017 and must be adopted retrospectively. The adoption of ASU 2016-18 modified our current disclosures by reclassifying certain amounts within the consolidated statement of cash flows, but did not have a material effect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In July 2018, the FASB issued ASU 2018-11, which provides an additional transition method when adopting ASU 2016-02. Under the original guidance, the modified retrospective approach provided that ASU 2016-02 be applied at the beginning of the earliest period presented. ASU 2018-11 allows for the application of the new guidance as of the adoption date with a cumulative-effect adjustment to the opening balance of retained earnings. We plan to adopt ASU 2016-02 effective January 1, 2019 using the new transition guidance provided in ASU 2018-11 and are currently evaluating the impact that ASU 2016-02 will have on our consolidated financial statements.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15, 2019. Early adoption is permitted. We do not expect the adoption of ASU 2017-04 will have a material impact on our consolidated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2018, the FASB issued ASU 2018-07, "Improvements to Non-employee Share-Based Payment Accounting." This guidance expands the scope of Topic 718, "Compensation - Stock Compensation" to include share-based payment transactions for acquiring goods and services from non-employees, but excludes awards granted in conjunction with selling goods or services to a customer as part of a contract accounted for under ASC 606, "Revenue from Contracts with Customers." We are currently evaluating the impact that ASU 2018-07 will have on our consolidated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which amends ASC 350-40, "Intangibles - Goodwill and Other - Internal-Use Software." The ASU aligns the requirements for capitalizing implementation costs incurred in a hosting arrangement that is a service contract with the requirements for capitalizing implementation costs incurred to develop or obtain internal-use software and requires the capitalized implementation costs to be expensed over the term of the hosting arrangement. The accounting for the service element of a hosting arrangement that is a service contract is not affected. Effective for fiscal periods beginning after December 15, 2019, and interim periods within those fiscal years. We are currently evaluating the impact that ASU 2018-07 will have on our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23,283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18,071</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9,190</w:t>
            </w:r>
          </w:p>
        </w:tc>
      </w:tr>
      <w:tr>
        <w:trPr>
          <w:trHeight w:val="257"/>
        </w:trPr>
        <w:tc>
          <w:tcPr>
            <w:tcW w:w="7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41,995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62,438</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pending sale of our Guangzhou factory in the PRC (Note 10), a prospective buyer made a cash deposit of RMB 32 million ($5.1 million based on April 2018 exchange rates) into an escrow account on September 29, 2016. Under the terms of the escrow account, these funds were not to be paid to us until the close of the sale. Accordingly, this deposit was presented as restricted cash within our consolidated balance sheet. In April 2018, the sale transaction with this buyer was terminated and this deposit was returned to the buyer.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7"/>
              </w:rPr>
              <w:t>September 30, 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2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142,299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2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25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144,243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140,673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10,905</w:t>
            </w: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5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151,885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151,578</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2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vMerge w:val="continu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40" w:type="dxa"/>
            <w:vAlign w:val="bottom"/>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2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5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520" w:type="dxa"/>
            <w:vAlign w:val="bottom"/>
            <w:vMerge w:val="restart"/>
          </w:tcPr>
          <w:p>
            <w:pPr>
              <w:jc w:val="right"/>
              <w:ind w:right="177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56"/>
              <w:spacing w:after="0"/>
              <w:rPr>
                <w:sz w:val="20"/>
                <w:szCs w:val="20"/>
                <w:color w:val="auto"/>
              </w:rPr>
            </w:pPr>
            <w:r>
              <w:rPr>
                <w:rFonts w:ascii="Arial" w:cs="Arial" w:eastAsia="Arial" w:hAnsi="Arial"/>
                <w:sz w:val="14"/>
                <w:szCs w:val="14"/>
                <w:b w:val="1"/>
                <w:bCs w:val="1"/>
                <w:color w:val="auto"/>
                <w:w w:val="99"/>
              </w:rPr>
              <w:t>Three Months Ended September 30,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6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1208"/>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22"/>
                <w:szCs w:val="22"/>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gridSpan w:val="2"/>
          </w:tcPr>
          <w:p>
            <w:pPr>
              <w:spacing w:after="0"/>
              <w:rPr>
                <w:sz w:val="22"/>
                <w:szCs w:val="22"/>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5"/>
              </w:rPr>
              <w:t>% of Net Sales</w:t>
            </w:r>
          </w:p>
        </w:tc>
        <w:tc>
          <w:tcPr>
            <w:tcW w:w="12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 (thousands)</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of Net Sales</w:t>
            </w:r>
          </w:p>
        </w:tc>
        <w:tc>
          <w:tcPr>
            <w:tcW w:w="60" w:type="dxa"/>
            <w:vAlign w:val="bottom"/>
          </w:tcPr>
          <w:p>
            <w:pPr>
              <w:spacing w:after="0"/>
              <w:rPr>
                <w:sz w:val="22"/>
                <w:szCs w:val="22"/>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32,336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center"/>
              <w:ind w:left="396"/>
              <w:spacing w:after="0"/>
              <w:rPr>
                <w:sz w:val="20"/>
                <w:szCs w:val="20"/>
                <w:color w:val="auto"/>
              </w:rPr>
            </w:pPr>
            <w:r>
              <w:rPr>
                <w:rFonts w:ascii="Arial" w:cs="Arial" w:eastAsia="Arial" w:hAnsi="Arial"/>
                <w:sz w:val="18"/>
                <w:szCs w:val="18"/>
                <w:color w:val="auto"/>
                <w:w w:val="90"/>
              </w:rPr>
              <w:t>36,811</w:t>
            </w:r>
          </w:p>
        </w:tc>
        <w:tc>
          <w:tcPr>
            <w:tcW w:w="1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1"/>
                <w:szCs w:val="21"/>
                <w:color w:val="auto"/>
              </w:rPr>
            </w:pPr>
          </w:p>
        </w:tc>
      </w:tr>
      <w:tr>
        <w:trPr>
          <w:trHeight w:val="341"/>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 xml:space="preserve">AT&amp;T </w:t>
            </w:r>
            <w:r>
              <w:rPr>
                <w:rFonts w:ascii="Arial" w:cs="Arial" w:eastAsia="Arial" w:hAnsi="Arial"/>
                <w:sz w:val="25"/>
                <w:szCs w:val="25"/>
                <w:color w:val="auto"/>
                <w:vertAlign w:val="superscript"/>
              </w:rPr>
              <w:t>(1)</w:t>
            </w:r>
          </w:p>
        </w:tc>
        <w:tc>
          <w:tcPr>
            <w:tcW w:w="3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w:t>
            </w:r>
          </w:p>
        </w:tc>
        <w:tc>
          <w:tcPr>
            <w:tcW w:w="1340" w:type="dxa"/>
            <w:vAlign w:val="bottom"/>
            <w:gridSpan w:val="5"/>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396"/>
              <w:spacing w:after="0"/>
              <w:rPr>
                <w:sz w:val="20"/>
                <w:szCs w:val="20"/>
                <w:color w:val="auto"/>
              </w:rPr>
            </w:pPr>
            <w:r>
              <w:rPr>
                <w:rFonts w:ascii="Arial" w:cs="Arial" w:eastAsia="Arial" w:hAnsi="Arial"/>
                <w:sz w:val="18"/>
                <w:szCs w:val="18"/>
                <w:color w:val="auto"/>
                <w:w w:val="90"/>
              </w:rPr>
              <w:t>20,117</w:t>
            </w:r>
          </w:p>
        </w:tc>
        <w:tc>
          <w:tcPr>
            <w:tcW w:w="1580" w:type="dxa"/>
            <w:vAlign w:val="bottom"/>
            <w:gridSpan w:val="5"/>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4"/>
                <w:szCs w:val="24"/>
                <w:color w:val="auto"/>
              </w:rPr>
            </w:pPr>
          </w:p>
        </w:tc>
      </w:tr>
      <w:tr>
        <w:trPr>
          <w:trHeight w:val="341"/>
        </w:trPr>
        <w:tc>
          <w:tcPr>
            <w:tcW w:w="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116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r>
      <w:tr>
        <w:trPr>
          <w:trHeight w:val="264"/>
        </w:trPr>
        <w:tc>
          <w:tcPr>
            <w:tcW w:w="60" w:type="dxa"/>
            <w:vAlign w:val="bottom"/>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9"/>
              </w:rPr>
              <w:t>% of Net Sales</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 (thousands)</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6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99,853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center"/>
              <w:ind w:left="396"/>
              <w:spacing w:after="0"/>
              <w:rPr>
                <w:sz w:val="20"/>
                <w:szCs w:val="20"/>
                <w:color w:val="auto"/>
              </w:rPr>
            </w:pPr>
            <w:r>
              <w:rPr>
                <w:rFonts w:ascii="Arial" w:cs="Arial" w:eastAsia="Arial" w:hAnsi="Arial"/>
                <w:sz w:val="18"/>
                <w:szCs w:val="18"/>
                <w:color w:val="auto"/>
                <w:w w:val="89"/>
              </w:rPr>
              <w:t>122,009</w:t>
            </w:r>
          </w:p>
        </w:tc>
        <w:tc>
          <w:tcPr>
            <w:tcW w:w="164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r>
      <w:tr>
        <w:trPr>
          <w:trHeight w:val="341"/>
        </w:trPr>
        <w:tc>
          <w:tcPr>
            <w:tcW w:w="6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 xml:space="preserve">AT&amp;T </w:t>
            </w:r>
            <w:r>
              <w:rPr>
                <w:rFonts w:ascii="Arial" w:cs="Arial" w:eastAsia="Arial" w:hAnsi="Arial"/>
                <w:sz w:val="25"/>
                <w:szCs w:val="25"/>
                <w:color w:val="auto"/>
                <w:vertAlign w:val="superscript"/>
              </w:rPr>
              <w:t>(1)</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340" w:type="dxa"/>
            <w:vAlign w:val="bottom"/>
            <w:gridSpan w:val="5"/>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61,057</w:t>
            </w:r>
          </w:p>
        </w:tc>
        <w:tc>
          <w:tcPr>
            <w:tcW w:w="1640" w:type="dxa"/>
            <w:vAlign w:val="bottom"/>
            <w:gridSpan w:val="6"/>
          </w:tcPr>
          <w:p>
            <w:pPr>
              <w:jc w:val="right"/>
              <w:ind w:right="40"/>
              <w:spacing w:after="0"/>
              <w:rPr>
                <w:sz w:val="20"/>
                <w:szCs w:val="20"/>
                <w:color w:val="auto"/>
              </w:rPr>
            </w:pPr>
            <w:r>
              <w:rPr>
                <w:rFonts w:ascii="Arial" w:cs="Arial" w:eastAsia="Arial" w:hAnsi="Arial"/>
                <w:sz w:val="18"/>
                <w:szCs w:val="18"/>
                <w:color w:val="auto"/>
              </w:rPr>
              <w:t>11.9%</w:t>
            </w:r>
          </w:p>
        </w:tc>
      </w:tr>
    </w:tbl>
    <w:p>
      <w:pPr>
        <w:ind w:left="660" w:hanging="328"/>
        <w:spacing w:after="0" w:line="188"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Sales associated with this customer did not total more than 10% of our net sales for the indicated period.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775"/>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 (thousands)</w:t>
            </w:r>
          </w:p>
        </w:tc>
        <w:tc>
          <w:tcPr>
            <w:tcW w:w="100" w:type="dxa"/>
            <w:vAlign w:val="bottom"/>
            <w:vMerge w:val="restart"/>
          </w:tcPr>
          <w:p>
            <w:pPr>
              <w:spacing w:after="0"/>
              <w:rPr>
                <w:sz w:val="13"/>
                <w:szCs w:val="13"/>
                <w:color w:val="auto"/>
              </w:rPr>
            </w:pPr>
          </w:p>
        </w:tc>
        <w:tc>
          <w:tcPr>
            <w:tcW w:w="1740" w:type="dxa"/>
            <w:vAlign w:val="bottom"/>
            <w:gridSpan w:val="4"/>
          </w:tcPr>
          <w:p>
            <w:pPr>
              <w:jc w:val="right"/>
              <w:ind w:right="580"/>
              <w:spacing w:after="0" w:line="153" w:lineRule="exact"/>
              <w:rPr>
                <w:sz w:val="20"/>
                <w:szCs w:val="20"/>
                <w:color w:val="auto"/>
              </w:rPr>
            </w:pPr>
            <w:r>
              <w:rPr>
                <w:rFonts w:ascii="Arial" w:cs="Arial" w:eastAsia="Arial" w:hAnsi="Arial"/>
                <w:sz w:val="14"/>
                <w:szCs w:val="14"/>
                <w:b w:val="1"/>
                <w:bCs w:val="1"/>
                <w:color w:val="auto"/>
              </w:rPr>
              <w:t>% of Accounts</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1"/>
              </w:rPr>
              <w:t>$ (thousands)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 of Accounts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Receivable, 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Receivable, Net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jc w:val="center"/>
              <w:ind w:right="3770"/>
              <w:spacing w:after="0"/>
              <w:rPr>
                <w:sz w:val="20"/>
                <w:szCs w:val="20"/>
                <w:color w:val="auto"/>
              </w:rPr>
            </w:pPr>
            <w:r>
              <w:rPr>
                <w:rFonts w:ascii="Arial" w:cs="Arial" w:eastAsia="Arial" w:hAnsi="Arial"/>
                <w:sz w:val="18"/>
                <w:szCs w:val="18"/>
                <w:color w:val="auto"/>
                <w:w w:val="90"/>
              </w:rPr>
              <w:t>Comcast Corporation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20,084</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13.2%  $</w:t>
            </w:r>
          </w:p>
        </w:tc>
        <w:tc>
          <w:tcPr>
            <w:tcW w:w="11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25,142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 Net and Significant Suppliers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00" w:type="dxa"/>
            <w:vAlign w:val="bottom"/>
            <w:gridSpan w:val="2"/>
          </w:tcPr>
          <w:p>
            <w:pPr>
              <w:spacing w:after="0"/>
              <w:rPr>
                <w:sz w:val="20"/>
                <w:szCs w:val="20"/>
                <w:color w:val="auto"/>
              </w:rPr>
            </w:pPr>
            <w:r>
              <w:rPr>
                <w:rFonts w:ascii="Arial" w:cs="Arial" w:eastAsia="Arial" w:hAnsi="Arial"/>
                <w:sz w:val="18"/>
                <w:szCs w:val="18"/>
                <w:color w:val="auto"/>
              </w:rPr>
              <w:t>Inventories, net were as follows: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Components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13,763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58,195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105,178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440" w:type="dxa"/>
            <w:vAlign w:val="bottom"/>
          </w:tcPr>
          <w:p>
            <w:pPr>
              <w:jc w:val="center"/>
              <w:ind w:right="3790"/>
              <w:spacing w:after="0"/>
              <w:rPr>
                <w:sz w:val="20"/>
                <w:szCs w:val="20"/>
                <w:color w:val="auto"/>
              </w:rPr>
            </w:pPr>
            <w:r>
              <w:rPr>
                <w:rFonts w:ascii="Arial" w:cs="Arial" w:eastAsia="Arial" w:hAnsi="Arial"/>
                <w:sz w:val="18"/>
                <w:szCs w:val="18"/>
                <w:color w:val="auto"/>
                <w:w w:val="90"/>
              </w:rPr>
              <w:t>Inventories, net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135,888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162,589</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right"/>
              <w:ind w:right="959"/>
              <w:spacing w:after="0"/>
              <w:rPr>
                <w:sz w:val="20"/>
                <w:szCs w:val="20"/>
                <w:color w:val="auto"/>
              </w:rPr>
            </w:pPr>
            <w:r>
              <w:rPr>
                <w:rFonts w:ascii="Arial" w:cs="Arial" w:eastAsia="Arial" w:hAnsi="Arial"/>
                <w:sz w:val="18"/>
                <w:szCs w:val="18"/>
                <w:color w:val="auto"/>
                <w:w w:val="79"/>
              </w:rPr>
              <w:t>12</w:t>
            </w: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4,205</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5,353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1,960</w:t>
            </w: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(2,090)</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7,283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3,125</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$1.1 million and $0.2 million for the nine months ended September 30, 2018 and 2017,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Texas Instruments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615"/>
        </w:trPr>
        <w:tc>
          <w:tcPr>
            <w:tcW w:w="50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of Total</w:t>
            </w: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Texas Instruments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33,693</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Purchases associated with this supplier did not total more than 10% of our total inventory purchases for the indicated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2018 and 2017, we purchased certain printed circuit board assemblies from a related party supplier. The supplier was considered a related party for financial reporting purposes because our Senior Vice President of Strategic Operations owned 40% of this supplier. In the second quarter of 2018, our Senior Vice President sold his interest in this supplier, and thus this supplier is no longer considered a related party.</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inventory purchases made from this supplier while it was a related party were $1.1 million during the nine months ended September 30, 2018 and $1.4 million and $4.0 million during the three and nine months ended September 30, 2017, respectively.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48,651</w:t>
            </w: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4"/>
          </w:tcPr>
          <w:p>
            <w:pPr>
              <w:spacing w:after="0"/>
              <w:rPr>
                <w:sz w:val="20"/>
                <w:szCs w:val="20"/>
                <w:color w:val="auto"/>
              </w:rPr>
            </w:pPr>
            <w:r>
              <w:rPr>
                <w:rFonts w:ascii="Arial" w:cs="Arial" w:eastAsia="Arial" w:hAnsi="Arial"/>
                <w:sz w:val="18"/>
                <w:szCs w:val="18"/>
                <w:color w:val="auto"/>
                <w:w w:val="97"/>
              </w:rPr>
              <w:t>The components of intangible assets, net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2018</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13,139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62,656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61,766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(32,725)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29,041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$6.8 million and $6.0 million at September 30, 2018 and December 31, 2017, respectively.</w:t>
      </w: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and order backlog, which are recorded in cost of sales. Amortization expense by income statement caption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5,032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05"/>
        </w:trPr>
        <w:tc>
          <w:tcPr>
            <w:tcW w:w="1100" w:type="dxa"/>
            <w:vAlign w:val="bottom"/>
            <w:tcBorders>
              <w:top w:val="single" w:sz="8" w:color="0000EE"/>
            </w:tcBorders>
          </w:tcPr>
          <w:p>
            <w:pPr>
              <w:spacing w:after="0"/>
              <w:rPr>
                <w:sz w:val="17"/>
                <w:szCs w:val="17"/>
                <w:color w:val="auto"/>
              </w:rPr>
            </w:pPr>
          </w:p>
        </w:tc>
        <w:tc>
          <w:tcPr>
            <w:tcW w:w="8820" w:type="dxa"/>
            <w:vAlign w:val="bottom"/>
          </w:tcPr>
          <w:p>
            <w:pPr>
              <w:jc w:val="center"/>
              <w:ind w:left="33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8820" w:type="dxa"/>
            <w:vAlign w:val="bottom"/>
          </w:tcPr>
          <w:p>
            <w:pPr>
              <w:jc w:val="center"/>
              <w:ind w:left="33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882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SEPTEMBER 30, 2018</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8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(Unaudited)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729"/>
        </w:trPr>
        <w:tc>
          <w:tcPr>
            <w:tcW w:w="9920" w:type="dxa"/>
            <w:vAlign w:val="bottom"/>
            <w:gridSpan w:val="2"/>
          </w:tcPr>
          <w:p>
            <w:pPr>
              <w:spacing w:after="0"/>
              <w:rPr>
                <w:sz w:val="20"/>
                <w:szCs w:val="20"/>
                <w:color w:val="auto"/>
              </w:rPr>
            </w:pPr>
            <w:r>
              <w:rPr>
                <w:rFonts w:ascii="Arial" w:cs="Arial" w:eastAsia="Arial" w:hAnsi="Arial"/>
                <w:sz w:val="18"/>
                <w:szCs w:val="18"/>
                <w:color w:val="auto"/>
              </w:rPr>
              <w:t>Estimated future annual amortization expense related to our intangible assets at September 30, 2018, was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99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(remaining 3 months)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2019</w:t>
            </w:r>
          </w:p>
        </w:tc>
        <w:tc>
          <w:tcPr>
            <w:tcW w:w="8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7,018</w:t>
            </w:r>
          </w:p>
        </w:tc>
      </w:tr>
      <w:tr>
        <w:trPr>
          <w:trHeight w:val="27"/>
        </w:trPr>
        <w:tc>
          <w:tcPr>
            <w:tcW w:w="11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5,883</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2021</w:t>
            </w:r>
          </w:p>
        </w:tc>
        <w:tc>
          <w:tcPr>
            <w:tcW w:w="8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2,325</w:t>
            </w:r>
          </w:p>
        </w:tc>
      </w:tr>
      <w:tr>
        <w:trPr>
          <w:trHeight w:val="27"/>
        </w:trPr>
        <w:tc>
          <w:tcPr>
            <w:tcW w:w="11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2,216</w:t>
            </w:r>
          </w:p>
        </w:tc>
      </w:tr>
      <w:tr>
        <w:trPr>
          <w:trHeight w:val="243"/>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6,360</w:t>
            </w:r>
          </w:p>
        </w:tc>
      </w:tr>
      <w:tr>
        <w:trPr>
          <w:trHeight w:val="27"/>
        </w:trPr>
        <w:tc>
          <w:tcPr>
            <w:tcW w:w="110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25,580</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and Wells Fargo Bank, National Association provides for a $170.0 million revolving line of credit ("Credit Line") that expires on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September 30, 2018.</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September 30, 2018 was 3.97%.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September 30, 2018, we were in compliance with the covenants and conditions of the Second Amended Credit Agreement.</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2018, we had $103.5 million outstanding under the Credit Line. Our total interest expense on borrowings was $1.2 million and $0.8 million during the three months ended September 30, 2018 and 2017, respectively. Our total interest expense on borrowings was $3.7 million and $1.8 million during the nine months ended September 30, 2018 and 2017, respectively.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income tax expense of $0.3 million and $1.8 million for the three months ended September 30, 2018 and 2017, respectively, and our effective tax rate was 24.5% and 51.4% for the three months ended September 30, 2018 and 2017, respectively. The decrease in our effective tax rate was primarily due to certain transactions in China during the three months ended September 30, 2017 being nondeductible as a result of the pending sale of our Guangzhou factory.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2018 and 2017, we recorded income tax expense of $2.2 million and $2.9 million, respectively, and our effective tax rate was 8.8% and 31.1% during the nine months ended September 30, 2018 and 2017, respectively. The decrease in our effective tax rate was primarily a result of the tax rate applicable to the gain recognized on the sale of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Guangzhou factory being lower than our blended consolidated tax rate. Additionally, during the nine months ended September 30, 2017, certain transactions in China were nondeductible as a result of the pending sale of our Guangzhou factory.</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Tax Cuts and Jobs Act (the "Tax Act") was enacted on December 22, 2017. The Tax Act reduces the U.S. federal corporate income tax rate from 35% to 21%, requires companies to pay a one-time transition tax on earnings of certain foreign subsidiaries that were previously tax deferred and creates new taxes on certain foreign sourced earnings. We are applying the guidance in SAB 118 when accounting for the enactment-date effects of the Tax Act. At September 30, 2018, we have not completed our accounting for all of the tax effects of the Tax Act. Additionally, we have made a reasonable estimate of other effects. During the three and nine month periods ended September 30, 2018, we recognized no adjustments to the provisional amounts recorded at December 31, 2017. We are awaiting further guidance from the U.S. federal and state regulatory bodies with regards to the final accounting and reporting of these items in the jurisdictions where we file tax returns. In all cases, we will continue to make and refine our calculations as additional analysis is completed. Our estimates may also be affected as we gain a more thorough understanding of tax law. These changes could be material to income tax expense.</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Additionally, we have provided provisional amounts for the legislative provisions that are effective as of January 1, 2018, including, but not limited to, the creation of the base erosion anti-abuse tax ("BEAT"), a new minimum tax, a new provision designed to tax global intangible low-taxed income ("Global Minimum Tax" or "GMT"), a new limitation on deductible interest expense, and limitations on the use of net operating losses. Our accounting for these elements of the Tax Act is incomplete; however, we were able to make reasonable estimates and therefore recorded provisional adjustments. Similar to the above elements, we are in the process of collecting and preparing necessary data, and interpreting guidance as issued by the U.S. Treasury Department, Internal Revenue Service, FASB, and other federal and state standard-setting regulatory bodies. However, we continue to gather additional information to complete our accounting for these items and expect to complete the accounting within the prescribed measurement period. Given the complexity of the GMT provisions, we are still evaluating the effects of the GMT provisions and have not yet determined our accounting policy. At September 30, 2018, we are still evaluating the GMT provisions and our analysis of future taxable income that is subject to GMT, we have included GMT related to current year operations only in our estimated annual effective tax rate and have not provided additional GMT on deferred items.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2018, we had gross unrecognized tax benefits of $4.6 million, including interest and penalties, of which approximately $4.3 million, if not for the state Research and Experimentation income tax credit valuation allowance, would affect the annual effective tax rate if these tax benefits are realized. Further, we are unaware of any positions for which it is reasonably possible that the total amount of unrecognized tax benefits will significantly change within the next twelve months. Based on federal, state and foreign statute expirations in various jurisdictions, we do not anticipate any decrease in unrecognized tax benefits within the next twelve months. We have classified uncertain tax positions as non-current income tax liabilities unless expected to be paid within one year.</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$0.6 million and $0.5 million at September 30, 2018 and December 31, 2017, respectively, are included in our unrecognized tax benefits.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2017</w:t>
            </w:r>
          </w:p>
        </w:tc>
      </w:tr>
      <w:tr>
        <w:trPr>
          <w:trHeight w:val="270"/>
        </w:trPr>
        <w:tc>
          <w:tcPr>
            <w:tcW w:w="79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17,216</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17,727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7,910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2,769</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2,329</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accrued compensation</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2,675</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September 30, 2018 and December 31, 2017.</w:t>
      </w:r>
    </w:p>
    <w:p>
      <w:pPr>
        <w:spacing w:after="0" w:line="94" w:lineRule="exact"/>
        <w:rPr>
          <w:rFonts w:ascii="Arial" w:cs="Arial" w:eastAsia="Arial" w:hAnsi="Arial"/>
          <w:sz w:val="25"/>
          <w:szCs w:val="25"/>
          <w:color w:val="auto"/>
          <w:vertAlign w:val="superscript"/>
        </w:rPr>
      </w:pPr>
    </w:p>
    <w:p>
      <w:pPr>
        <w:jc w:val="both"/>
        <w:ind w:left="660" w:hanging="328"/>
        <w:spacing w:after="0" w:line="230" w:lineRule="auto"/>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was $0.1 million and $0.7 million at September 30, 2018 and December 31, 2017, respectively.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sale of Guangzhou factory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Duties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1,184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 and handling fees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1,578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Sales taxes and VAT</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2,955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3,800</w:t>
            </w:r>
          </w:p>
        </w:tc>
      </w:tr>
      <w:tr>
        <w:trPr>
          <w:trHeight w:val="270"/>
        </w:trPr>
        <w:tc>
          <w:tcPr>
            <w:tcW w:w="7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1,843</w:t>
            </w: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8,324</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other accrued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28,719</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3740" w:hanging="5288"/>
        <w:spacing w:after="0" w:line="716" w:lineRule="auto"/>
        <w:tabs>
          <w:tab w:leader="none" w:pos="652"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liability for product warranty claim costs were as follows:</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beginning of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Accruals for 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Settlements (in cash or in kind) during the period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end of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 and Sale of Guangzhou Factory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2017</w:t>
            </w:r>
          </w:p>
        </w:tc>
      </w:tr>
      <w:tr>
        <w:trPr>
          <w:trHeight w:val="33"/>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134</w:t>
            </w:r>
          </w:p>
        </w:tc>
      </w:tr>
      <w:tr>
        <w:trPr>
          <w:trHeight w:val="270"/>
        </w:trPr>
        <w:tc>
          <w:tcPr>
            <w:tcW w:w="42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169</w:t>
            </w:r>
          </w:p>
        </w:tc>
      </w:tr>
      <w:tr>
        <w:trPr>
          <w:trHeight w:val="270"/>
        </w:trPr>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218</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17" w:lineRule="exact"/>
        <w:rPr>
          <w:sz w:val="20"/>
          <w:szCs w:val="20"/>
          <w:color w:val="auto"/>
        </w:rPr>
      </w:pPr>
    </w:p>
    <w:p>
      <w:pPr>
        <w:sectPr>
          <w:pgSz w:w="11900" w:h="16838" w:orient="portrait"/>
          <w:cols w:equalWidth="0" w:num="2">
            <w:col w:w="7140" w:space="720"/>
            <w:col w:w="3560"/>
          </w:cols>
          <w:pgMar w:left="240" w:top="118" w:right="2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color w:val="auto"/>
        </w:rPr>
        <w:t>In the first quarter of 2016, we implemented a plan to transition manufacturing activities from our southern-most China factory, located in the city of Guangzhou in the Guangdong province, to our other China factories. As a result, we incurred severance costs of $0.4 million and $6.1 million during the three and nine months ended September 30, 2017, respectively, which are included within operating expenses. All operations ceased in our Guangzhou factory in the third quarter of 2017 and the transition to the other China factories was completed by the end of 2017. Since all operations at our Guangzhou manufacturing facility ceased as of the end of July 2017, the related building and land lease assets were classified as assets held for sale in our consolidated balance sheet at December 31, 2017.</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26, 2016, we entered into an agreement to sell our Guangzhou manufacturing facility for RMB 320 million. In accordance with the terms of the agreement, the buyer deposited 10% of the purchase price into an escrow account upon the execution of the agreement, which we presented as restricted cash in our consolidated balance sheet at December 31, 2017 (also refer to Note 2). In April 2018, we and the buyer mutually agreed to terminate the sale. The mutually agreed termination took effect immediately with no incremental penalty or costs to either party. In connection with this termination, the deposit was returned to the buyer.</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23, 2018, we entered into a new agreement to sell our Guangzhou manufacturing facility to a second buyer for RMB 339 million (approximately $51.4 million based on exchange rates in effect at the time of closing). On April 26, 2018, the second buyer paid to us a deposit of RMB 34 million (approximately $5.1 million based on exchange rates in effect at the time of closing), which under the terms of the agreement was nonrefundable. Upon receipt by the Governmental Agency of the second buyer’s application of approval of transfer, the second buyer was to pay to us RMB 237 million (approximately $35.8 million based on exchange rates in effect at the time of closing). Additionally, within two days after the second payment was made to us, the second buyer was to deposit the remaining consideration of RMB 68 million (approximately $10.3 million based on exchange rates in effect at the time of closing) into escrow, which was to be released to us upon the closing of the sale. Per the terms of the agreement, the sale was to be completed no later than June 30, 2018. On June 26, 2018, all conditions to closing were satisfied and the sale was completed, resulting in a pre-tax gain of $37.0 million ($32.1 million, net of income taxes).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in this ruling. The parties have fully briefed and argued before the appellate court and we are awaiting the appellate court’s ruling. In addition, on or about February 9, 2016, Ruwido filed a writ of summons for proceeding on the merits with respect to the asserted patents. UEBV and Telenet have replied, denying all of Ruwido's allegations and in June 2017, a hearing was held before the trial court. During this hearing, Ruwido sought to have a second product which we are currently selling to Telenet included in this case. In September 2017, the Court ruled in our favor that our current product cannot be made part of this case. The Court also refused to rule on whether the original product (which we are no longer selling) infringes the Ruwido patent, instead deciding to wait until the European Patent Office has ruled on our Opposition (see below). Finally, the Court ruled that our original product (which we are no longer selling) infringes certain of Ruwido’s design rights, but stayed any decision of compensation and/or damages until all aspects of the case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have been decided. We have filed an appeal as to the Court’s ruling of infringement, and submission by the parties were due to the Court during the second quarter of 2018 with a hearing expected to take place in late 2018. Subsequent to the Court's ruling that a second product could not be added to the first case on the merits, Ruwido filed a separate case on the merits with respect to this second product, claiming that it too infringes the same patent at issue in the first suit. We have denied these claims. According to the Court’s trial schedule, briefs from both parties will be due during the second half of 2018 and early 2019 with a trial date set for January 2019. In September 2015, UEBV filed an Opposition with the European Patent Office seeking to invalidate the one utility patent asserted against UEBV and Telenet by Ruwido. The hearing on this opposition was held in July 2017. During this hearing the panel requested additional information. We have assembled this additional information and the final hearing has been scheduled for January 29, 2019. On September 5, 2017, Ruwido and FMH filed a patent infringement case on the merits against UEBV and Telenet in the Netherlands alleging the same claims of infringement as in the Belgium Courts (see above). We have denied these claims and filed a counterclaim seeking to invalidate the Ruwido patent. A November 30, 2018 hearing date has been set by the Court.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5, 2018, we filed a lawsuit against Roku, Inc. (“Roku”) in the United States District Court, Central District of California (Universal Electronics Inc. v. Roku, Inc.) alleging that Roku is infringing nine patents that are in four patent families related to remote control set-up and touchscreen remotes. We have alleged that this complaint relates to multiple Roku streaming players and components therefore and certain universal control devices, including but not limited, the Roku App, Roku TV, Roku Ultra, Roku Express, Roku Streaming Stick, Roku Ultra, Roku Premiere, Roku 4, Roku 3, Roku 2, Roku Enhanced Remote and any other Roku product that provides for the remote control of an external device such as a TV, audiovisual receiver, sound bar or Roku TV Wireless Speakers. Roku has not yet answered our complaint.</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the open market. On July 26, 2018, our Board approved a repurchase plan authorizing the repurchase of up to $5.0 million of our common stock. As of September 30, 2018, we had $3.3 million of authorized repurchases remaining under the Board's authorizations. On October 30, 2018, our Board approved an adjustment to the amount of common stock that we could purchase under our existing repurchase plan to an amount not to exceed $5.0 million of our common stock. We may utilize various methods to effect the repurchases, which could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330</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20,217</w:t>
            </w:r>
          </w:p>
        </w:tc>
      </w:tr>
      <w:tr>
        <w:trPr>
          <w:trHeight w:val="486"/>
        </w:trPr>
        <w:tc>
          <w:tcPr>
            <w:tcW w:w="3800" w:type="dxa"/>
            <w:vAlign w:val="bottom"/>
          </w:tcPr>
          <w:p>
            <w:pPr>
              <w:spacing w:after="0"/>
              <w:rPr>
                <w:sz w:val="24"/>
                <w:szCs w:val="24"/>
                <w:color w:val="auto"/>
              </w:rPr>
            </w:pPr>
          </w:p>
        </w:tc>
        <w:tc>
          <w:tcPr>
            <w:tcW w:w="4100" w:type="dxa"/>
            <w:vAlign w:val="bottom"/>
          </w:tcPr>
          <w:p>
            <w:pPr>
              <w:jc w:val="right"/>
              <w:ind w:right="201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Foreign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243,801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253,259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36,888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91,755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77,679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18,785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18,877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58,245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56,041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22,051</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182,717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175,652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509,938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514,638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85,808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96,984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3,870</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105,360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115,528</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5,562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w w:val="98"/>
              </w:rPr>
              <w:t>Total employee and director stock-based compensation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9,476</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2,307</w:t>
            </w:r>
          </w:p>
        </w:tc>
      </w:tr>
      <w:tr>
        <w:trPr>
          <w:trHeight w:val="70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 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60" w:type="dxa"/>
            <w:vAlign w:val="bottom"/>
          </w:tcPr>
          <w:p>
            <w:pPr>
              <w:spacing w:after="0"/>
              <w:rPr>
                <w:sz w:val="12"/>
                <w:szCs w:val="12"/>
                <w:color w:val="auto"/>
              </w:rPr>
            </w:pPr>
          </w:p>
        </w:tc>
        <w:tc>
          <w:tcPr>
            <w:tcW w:w="110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44.95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September 30, 2018 </w:t>
            </w:r>
            <w:r>
              <w:rPr>
                <w:rFonts w:ascii="Arial" w:cs="Arial" w:eastAsia="Arial" w:hAnsi="Arial"/>
                <w:sz w:val="25"/>
                <w:szCs w:val="25"/>
                <w:color w:val="auto"/>
                <w:vertAlign w:val="superscript"/>
              </w:rPr>
              <w:t>(1)</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September 30, 2018 </w:t>
            </w:r>
            <w:r>
              <w:rPr>
                <w:rFonts w:ascii="Arial" w:cs="Arial" w:eastAsia="Arial" w:hAnsi="Arial"/>
                <w:sz w:val="25"/>
                <w:szCs w:val="25"/>
                <w:color w:val="auto"/>
                <w:vertAlign w:val="superscript"/>
              </w:rPr>
              <w:t>(1)</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September 30, 2018 </w:t>
            </w:r>
            <w:r>
              <w:rPr>
                <w:rFonts w:ascii="Arial" w:cs="Arial" w:eastAsia="Arial" w:hAnsi="Arial"/>
                <w:sz w:val="25"/>
                <w:szCs w:val="25"/>
                <w:color w:val="auto"/>
                <w:vertAlign w:val="superscript"/>
              </w:rPr>
              <w:t>(1)</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41.74</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third quarter of 2018 and the exercise price, multiplied by the number of in-the-money options) that would have been received by the option holders had they all exercised their options on September 30, 2018.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4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19.61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spacing w:after="0"/>
              <w:rPr>
                <w:sz w:val="21"/>
                <w:szCs w:val="21"/>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88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1"/>
              </w:rPr>
              <w:t>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4.52</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2018, we expect to recognize $2.3 million of total unrecognized pre-tax stock-based compensation expense related to non-vested stock options over a remaining weighted-average life of 1.9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61.19</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42.65</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60.02</w:t>
            </w: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55.94</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2018</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49.03</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we expect to recognize $8.8 million of total unrecognized pre-tax stock-based compensation expense related to non-vested restricted stock awards over a weighted-average life of 1.8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Performance-Based Common Stock Warrants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9, 2016, we issued common stock purchase warrants to Comcast to purchase up to 725,000 shares of our common stock at a price of $54.55 per share. The right to exercise the warrants is subject to vesting over three successive two-year periods (the first two-year period commenced on January 1, 2016 and ended December 31, 2017)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4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6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0"/>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At September 30, 2018, 175,000 vested warrants were outstanding. To fully vest in the rights to purchase all of the remaining unearned 475,000 underlying shares, Comcast and its affiliates must purchase an aggregate of $680 million in goods and services from us during the remaining four-year vesting period.</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Through September 30, 2018, no warrants had vested for the two-year period beginning January 1, 2018.</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we utilized in the Black Scholes option pricing model and the resulting weighted average fair value of the warrants were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gridSpan w:val="3"/>
          </w:tcPr>
          <w:p>
            <w:pPr>
              <w:ind w:left="34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$24.17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$38.95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$62.10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$38.95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$62.10</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41.00%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34.41%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41.00%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34.41%</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5.26</w:t>
            </w:r>
          </w:p>
        </w:tc>
      </w:tr>
      <w:tr>
        <w:trPr>
          <w:trHeight w:val="513"/>
        </w:trPr>
        <w:tc>
          <w:tcPr>
            <w:tcW w:w="5620" w:type="dxa"/>
            <w:vAlign w:val="bottom"/>
          </w:tcPr>
          <w:p>
            <w:pPr>
              <w:spacing w:after="0"/>
              <w:rPr>
                <w:sz w:val="24"/>
                <w:szCs w:val="24"/>
                <w:color w:val="auto"/>
              </w:rPr>
            </w:pPr>
          </w:p>
        </w:tc>
        <w:tc>
          <w:tcPr>
            <w:tcW w:w="1380" w:type="dxa"/>
            <w:vAlign w:val="bottom"/>
          </w:tcPr>
          <w:p>
            <w:pPr>
              <w:jc w:val="right"/>
              <w:ind w:right="1114"/>
              <w:spacing w:after="0"/>
              <w:rPr>
                <w:sz w:val="20"/>
                <w:szCs w:val="20"/>
                <w:color w:val="auto"/>
              </w:rPr>
            </w:pPr>
            <w:r>
              <w:rPr>
                <w:rFonts w:ascii="Arial" w:cs="Arial" w:eastAsia="Arial" w:hAnsi="Arial"/>
                <w:sz w:val="18"/>
                <w:szCs w:val="18"/>
                <w:color w:val="auto"/>
                <w:w w:val="79"/>
              </w:rPr>
              <w:t>22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Reduction/(increase) to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2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418</w:t>
            </w: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2018, we estimated the number of warrants that will vest based on projected future purchases that will be made by Comcast and its affiliates. These estimates may increase or decrease based on actual future purchases. The aggregate unrecognized estimated fair value of unvested warrants at September 30, 2018 was $4.0 million.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70"/>
        </w:trPr>
        <w:tc>
          <w:tcPr>
            <w:tcW w:w="5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2,512</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r>
      <w:tr>
        <w:trPr>
          <w:trHeight w:val="27"/>
        </w:trPr>
        <w:tc>
          <w:tcPr>
            <w:tcW w:w="5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17 for further details).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23,031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6,531</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14,412</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0.45</w:t>
            </w:r>
          </w:p>
        </w:tc>
      </w:tr>
      <w:tr>
        <w:trPr>
          <w:trHeight w:val="284"/>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6,531</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13,836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14,381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13,997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14,412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Dilutive effect of stock options, restricted stock and common stock warrants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13,959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14,689</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78"/>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23</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10"/>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6"/>
                <w:szCs w:val="16"/>
                <w:color w:val="auto"/>
              </w:rPr>
            </w:pPr>
          </w:p>
        </w:tc>
        <w:tc>
          <w:tcPr>
            <w:tcW w:w="2720" w:type="dxa"/>
            <w:vAlign w:val="bottom"/>
            <w:gridSpan w:val="9"/>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3"/>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3"/>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5"/>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Note 17 — Derivatives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gridSpan w:val="6"/>
          </w:tcPr>
          <w:p>
            <w:pPr>
              <w:spacing w:after="0"/>
              <w:rPr>
                <w:sz w:val="20"/>
                <w:szCs w:val="20"/>
                <w:color w:val="auto"/>
              </w:rPr>
            </w:pPr>
            <w:r>
              <w:rPr>
                <w:rFonts w:ascii="Arial" w:cs="Arial" w:eastAsia="Arial" w:hAnsi="Arial"/>
                <w:sz w:val="18"/>
                <w:szCs w:val="18"/>
                <w:color w:val="auto"/>
                <w:w w:val="95"/>
              </w:rPr>
              <w:t>The following table sets forth the total net fair value of derivatives: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124"/>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3"/>
              </w:rPr>
              <w:t>December 31, 2017</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8"/>
          </w:tcPr>
          <w:p>
            <w:pPr>
              <w:jc w:val="center"/>
              <w:ind w:right="44"/>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w w:val="99"/>
              </w:rPr>
              <w:t>Fair Value Measurement Using</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6"/>
                <w:szCs w:val="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6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6"/>
                <w:szCs w:val="6"/>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4"/>
              </w:rPr>
              <w:t>Total Balance</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4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6"/>
                <w:szCs w:val="6"/>
                <w:color w:val="auto"/>
              </w:rPr>
            </w:pPr>
          </w:p>
        </w:tc>
        <w:tc>
          <w:tcPr>
            <w:tcW w:w="9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147</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(565)</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rPr>
              <w:t>$   (565)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gain of $0.1 million and a net pre-tax loss of $1.5 million for the three months ended September 30, 2018 and 2017, respectively. For the nine months ended September 30, 2018 and 2017, we had a net pre-tax gain of $0.6 million and a net pre-tax loss of $2.9 million, respectively (see Note 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Currency</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26, 2018</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30, 2018</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6.8963</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October 26, 2018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26, 2018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January 5, 2018</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2017</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6.6481</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January 5, 2018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3.2350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24, 2018</w:t>
            </w:r>
          </w:p>
        </w:tc>
        <w:tc>
          <w:tcPr>
            <w:tcW w:w="0" w:type="dxa"/>
            <w:vAlign w:val="bottom"/>
          </w:tcPr>
          <w:p>
            <w:pPr>
              <w:spacing w:after="0"/>
              <w:rPr>
                <w:sz w:val="1"/>
                <w:szCs w:val="1"/>
                <w:color w:val="auto"/>
              </w:rPr>
            </w:pP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38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Combination</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April 6, 2017, we acquired substantially all of the net assets of Residential Control Systems, Inc. ("RCS"), a U.S.-based designer and manufacturer of energy management and control products for the residential, small commercial and hospitality markets. The purchase price of $12.6 million was comprised of $8.9 million in cash and $3.7 million of contingent consideration. The acquisition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these assets will allow us to expand our product offering of home sensing, monitoring and control solutions to include smart thermostat, sensing and monitoring products previously sold and marketed by RCS.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statement of operations for the three and nine months ended September 30, 2018 includes net sales of $1.4 million and $3.3 million, respectively, and net losses of $0.4 million and $1.3 million, respectively, attributable to RCS. Our consolidated statement of operations for the three and nine months ended September 30, 2017 includes net sales of $0.8 million and $2.2 million and net losses of $0.3 million and $0.7 million, attributable to RCS for the period commencing on April 6,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required to make additional earnout payments of up to $10.0 million upon the achievement of certain operating income levels attributable to RCS over the period commencing on the acquisition date through June 30, 2022. The amount of contingent consideration is calculated at the end of each calendar year and is based on the agreed upon percentage of operating income as defined in the Asset Purchase Agreement ("APA"). Operating income will be calculated using certain revenues, costs and expenses directly attributable to RCS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24.8%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September 30, 2018, the fair value of earnout consideration attributed to RCS was $2.6 million which is presented within long-term contingent consideration in our consolidated balance sheet.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is recorded as goodwill. The goodwill is expected to be deductible for income tax purposes. Management's purchase price allocation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Lives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0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1,508</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1-4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20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8"/>
              </w:rPr>
              <w:t>8 years</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0" w:type="dxa"/>
            <w:vAlign w:val="bottom"/>
            <w:gridSpan w:val="3"/>
          </w:tcPr>
          <w:p>
            <w:pPr>
              <w:jc w:val="center"/>
              <w:ind w:right="400"/>
              <w:spacing w:after="0"/>
              <w:rPr>
                <w:sz w:val="20"/>
                <w:szCs w:val="20"/>
                <w:color w:val="auto"/>
              </w:rPr>
            </w:pPr>
            <w:r>
              <w:rPr>
                <w:rFonts w:ascii="Arial" w:cs="Arial" w:eastAsia="Arial" w:hAnsi="Arial"/>
                <w:sz w:val="18"/>
                <w:szCs w:val="18"/>
                <w:color w:val="auto"/>
                <w:w w:val="86"/>
              </w:rPr>
              <w:t>10 years</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200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7"/>
              </w:rPr>
              <w:t>1 year</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5,494</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8,894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was based primarily on significant inputs not observable in an active market and thus represent Level 3 fair value measurements as defined under U.S. GAAP.</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assigned to the RCS trade name intangible asset was determined utilizing a relief from royalty method. The fair value assigned to RCS customer relationships and order backlog intangible assets were determined utilizing a multi-period excess earnings approach.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customer relationships and order backlog intangible assets are expected to be deductible for income tax purposes.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RCS as if this transaction had occurred on January 1, 2016. This unaudited pro forma financial information is not intended to represent or be indicative of the consolidated results of operations that would have been achieved had the acquisition actually been completed as of January 1, 2016, and should not be taken as a projection of the future consolidated results of our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182,717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509,938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515,200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23,031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6,292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0.43</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determining pro forma net income, adjustments were made to the three and nine months ended September 30, 2017. The pro forma net income assumes that amortization of acquired intangible assets began at January 1, 2016 rather than on April 6, 2017. The result is a net increase in amortization expense of $0.1 million for the nine months ended September 30, 2017. Additionally, acquisition costs totaling $0.1 million are excluded from pro forma net income. All adjustments have been made net of their related tax effects.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develop and manufacture a broad line of pre-programmed universal remote control products, AV accessories, software and intelligent wireless security, sensing and automation components dedicated to redefining the home entertainment and automation experience. Our customers operate primarily in the consumer electronics market and include subscription broadcasters, OEMs, international retailers, private label brands, pro-security installers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beginning in 1986, we have compiled an extensive device control code database that covers over one million individual device functions and approximately 8,600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wider adoption of more advanced control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developed a comprehensive patent portfolio of almost 500 issued and pending United States patents related to remote control, home security, safety and automation as well as hundreds of foreign counterpart patents and applications in various territories around the world.</w:t>
      </w:r>
    </w:p>
    <w:p>
      <w:pPr>
        <w:spacing w:after="0" w:line="3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as one business segment. We have 24 international subsidiaries located in Argentina, Brazil, British Virgin Islands, Cayman Islands, France, Germany, Hong Kong (3), India, Italy, Japan, Korea, Mexico, the Netherlands, People's Republic of China (6),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September 30, 2018:</w:t>
      </w:r>
    </w:p>
    <w:p>
      <w:pPr>
        <w:spacing w:after="0" w:line="63"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increased 4.0% to $182.7 million for the three months ended September 30, 2018 from $175.7 million for the three months ended September 30, 2017.</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decreased from 24.5% for the three months ended September 30, 2017 to 22.1% for the three months ended September 30, 2018.</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 of net sales, decreased from 22.1% for the three months ended September 30, 2017 to 19.5% for the three months ended September 30, 2018.</w:t>
      </w:r>
    </w:p>
    <w:p>
      <w:pPr>
        <w:spacing w:after="0" w:line="8"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income increased from $4.2 million for the three months ended September 30, 2017 to $4.7 million for the three months ended September 30, 2018, and our operating margin percentage increased from 2.4% for the three months ended September 30, 2017 to 2.6% for the three months ended September 30, 2018.</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effective tax rate decreased to 24.5% for the three months ended September 30, 2018, compared to 51.4% for the three months ended September 30,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2018 include the following:</w:t>
      </w:r>
    </w:p>
    <w:p>
      <w:pPr>
        <w:spacing w:after="0" w:line="6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that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As further discussed in "Notes to Consolidated Financial Statements - Note 1," effective January 1, 2018, we adopted Accounting Standards Update ("ASU") 2014-09, "Revenues from Contracts with Customers." The critical accounting policy below updates the items that we disclosed as our critical accounting policies and estimates in Item 7, "Management's Discussion and Analysis of Financial Condition and Results of Operations" contained in our Annual Report on Form 10-K for our fiscal year ended December 31,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performance obligations primarily arise from manufacturing and delivering universal control, sensing and automation products and AV accessories, which are sold through multiple channels, and intellectual property that is embedded in these products or licensed to others. These performance obligations are satisfied at a point in time or over time, as described below. Payment terms are typically on open credit terms consistent with industry practice and do not have significant financing components. Some contracts contain early payment discounts, which are recognized as a reduction to revenue if the customer typically meets the early payment conditions. Consideration may be variable based on indeterminate volumes.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2018, revenue is recognized over time when the customer simultaneously receives and consumes the benefits provided by our performance, our performance creates or enhances an asset that the customer controls, or when our performance creates an asset with no alternative use to us (custom products) and we have an enforceable right to payment for performance completed to date, such as a firm order or other contractual commitment from the customer. An asset does not have an alternative use if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typically recognize revenue for the sale of tooling at a point in time, which is generally upon completion of the tooling and, if applicable, acceptance by the customer.</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license our intellectual property including our patented technologies, trademarks, and database of control codes. When license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fees are paid on a per-unit basis, we record license revenue when our customers manufacture or ship a product incorporating our intellectual property and we have a present right to payment. When a fixed up-front license fee is received in exchange for the delivery of a particular database of infrared codes or the contract contains a minimum guarantee provision, we record revenue when delivery of the intellectual property has occurred. Tiered royalties are recorded on a straight-line basis according to the forecasted per-unit fees taking into account the pricing tiers.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assets represent revenue which has been recognized based on our accounting policies but for which the customer has not yet been invoiced and thus an account receivable has not yet been recorded.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prior accounting standards, we recognized revenue on the sale of products when title of the goods had transferred, there was persuasive evidence of an arrangement (such as a purchase order from the customer), the sales price was fixed or determinable and collectability was reasonably assured. Revenue for term license fees were recognized on a straight-line basis over the effective term of the license when we could not reliably predict in which periods, within the term of the license, the licensee would benefit from the use of our patented inventions.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30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2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0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75.2</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24.8</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18.4</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(0.3)</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Guangzhou factory</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0.0</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0.6</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Adoption of ASU 2014-09. </w:t>
      </w:r>
      <w:r>
        <w:rPr>
          <w:rFonts w:ascii="Arial" w:cs="Arial" w:eastAsia="Arial" w:hAnsi="Arial"/>
          <w:sz w:val="18"/>
          <w:szCs w:val="18"/>
          <w:color w:val="auto"/>
        </w:rPr>
        <w:t>Effective January 1, 2018, we adopted ASU 2014-09 on a modified retrospective basis. Thus the comparability between periods of</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net sales, gross profit and selling, general and administrative expenses is impacted. The discussion below provides insights into underlying business trends that affected our reported results of operations. For further details as to the impact of adopting ASU 2014-09, refer to Note 1 in "Notes to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Three Months Ended September 30, 2017</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September 30, 2018 were $182.7 million, an increase of 4.0% compared to $175.7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2017</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7.2</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92.5% of net sales for the three months ended September 30, 2018 compared to 92.8% for the three months ended September 30, 2017. Net sales in our Business lines for the three months ended September 30, 2018 increased by 3.6% to $169.0 million from $163.1 million. The increase in Business line net sales was primarily due to increased sales to consumer electronics companies in Asia and increased sales of home security products. These increases were partially offset by decreased sales to subscription broadcasting customers in North America and Latin America, particularly in Brazil.</w:t>
      </w:r>
    </w:p>
    <w:p>
      <w:pPr>
        <w:spacing w:after="0" w:line="13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7.5% of net sales for the three months ended September 30, 2018 compared to 7.2% for the three months ended September 30, 2017. Net sales in our Consumer lines for the three months ended September 30, 2018 increased by 8.7% to $13.7 million from $12.6 million during the three months ended September 30, 2017 driven by growth in North America and Europe, partially offset by decreased sales in Latin America and Asia.</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three months ended September 30, 2018 was $40.3 million compared to $43.1 million for the three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2017. Gross profit as a percent of sales decreased to 22.1% for the three months ended September 30, 2018 compared to 24.5% for the three months ended September 30, 2017. The gross margin percentage was unfavorably impacted by inflation in the cost of certain components; the impact of higher U.S. tariffs on certain products manufactured in China and imported into the U.S.; and increased labor rates in China. We anticipate that our gross margin rate will continue to be negatively impacted for the foreseeable future by higher U.S. tariffs on many of our products that are presently manufactured in China and imported into the U.S., until such time as we are able to mitigate this impact by implementing countermeasures within</w:t>
      </w:r>
    </w:p>
    <w:p>
      <w:pPr>
        <w:sectPr>
          <w:pgSz w:w="11900" w:h="16838" w:orient="portrait"/>
          <w:cols w:equalWidth="0" w:num="1">
            <w:col w:w="11420"/>
          </w:cols>
          <w:pgMar w:left="240" w:top="118"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18" w:right="23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supply chain, manufacturing operations and customer pricing arrangements. We presently are in the process of implementing such countermeasures and believe that the most significant of such countermeasures will be put into place over the next 6-9 months.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3.3% to $5.6 million for the three months ended September 30, 2018 from $5.4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2017 primarily due to our continued investment in the development of new products that enhance the user experience in home entertainment and home automation.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Factory transition restructuring charges. </w:t>
      </w:r>
      <w:r>
        <w:rPr>
          <w:rFonts w:ascii="Arial" w:cs="Arial" w:eastAsia="Arial" w:hAnsi="Arial"/>
          <w:sz w:val="18"/>
          <w:szCs w:val="18"/>
          <w:color w:val="auto"/>
        </w:rPr>
        <w:t>In the first quarter of 2016, we implemented a plan to transition manufacturing activities from our southern-most</w:t>
      </w:r>
      <w:r>
        <w:rPr>
          <w:rFonts w:ascii="Arial" w:cs="Arial" w:eastAsia="Arial" w:hAnsi="Arial"/>
          <w:sz w:val="18"/>
          <w:szCs w:val="18"/>
          <w:i w:val="1"/>
          <w:iCs w:val="1"/>
          <w:color w:val="auto"/>
        </w:rPr>
        <w:t xml:space="preserve"> </w:t>
      </w:r>
      <w:r>
        <w:rPr>
          <w:rFonts w:ascii="Arial" w:cs="Arial" w:eastAsia="Arial" w:hAnsi="Arial"/>
          <w:sz w:val="18"/>
          <w:szCs w:val="18"/>
          <w:color w:val="auto"/>
        </w:rPr>
        <w:t>China factory, located in the city of Guangzhou in the Guangdong province, to our other China factories. As a result, we incurred severance costs of $0.4 million for the three months ended September 30, 2017.</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SG&amp;A expenses decreased to $30.0 million for the three months ended September 30, 2018 from</w:t>
      </w:r>
      <w:r>
        <w:rPr>
          <w:rFonts w:ascii="Arial" w:cs="Arial" w:eastAsia="Arial" w:hAnsi="Arial"/>
          <w:sz w:val="16"/>
          <w:szCs w:val="16"/>
          <w:i w:val="1"/>
          <w:iCs w:val="1"/>
          <w:color w:val="auto"/>
        </w:rPr>
        <w:t xml:space="preserve"> </w:t>
      </w:r>
      <w:r>
        <w:rPr>
          <w:rFonts w:ascii="Arial" w:cs="Arial" w:eastAsia="Arial" w:hAnsi="Arial"/>
          <w:sz w:val="16"/>
          <w:szCs w:val="16"/>
          <w:color w:val="auto"/>
        </w:rPr>
        <w:t>$33.0 million for the three months ended September 30, 2017, primarily due to a decrease in the incremental amount of contingent consideration recorded in connection with our acquisition of the net assets of Ecolink Intelligent Technology, Inc. (“Ecolink”), and a decrease in stock-based compensation expense.</w:t>
      </w:r>
    </w:p>
    <w:p>
      <w:pPr>
        <w:spacing w:after="0" w:line="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Net interest expense was $1.2 million for the three months ended September 30, 2018 compared to net interest expense of $0.7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2017 as a result of an increased level of borrowings and a higher interest rate on our line of credit.</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$2.3 million for the three months ended September 30, 2018 compared to net other income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2017. This change was driven primarily by foreign currency losses associated with fluctuations in the Chinese Yuan Renminbi and Argentinian Peso exchange rates versus the U.S. Dollar.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$0.3 million for the three months ended September 30, 2018 compared to $1.8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Our effective tax rate was 24.5% for the three months ended September 30, 2018 compared to 51.4% for the three months ended September 30, 2017. The decrease in our effective tax rate was primarily due to certain transactions in China during the three months ended September 30, 2017 being nondeductible as a result of the pending sale of our Guangzhou factory.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Nine Months Ended September 30, 2017</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nine months ended September 30, 2018 were $509.9 million, a decrease of 0.9% compared to $514.6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2017</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7.1</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in our Business lines (subscription broadcasting, OEM, and computing companies) were 91.9% of net sales for the nine months ended September 30, 2018 compared to 92.9% for the nine months ended September 30, 2017. Net sales in our Business lines for the nine months ended September 30, 2018 decreased by 2.0% to $468.5 million from $477.9 million. The decrease in Business line net sales was driven primarily by decreased sales to subscription broadcasting customers in North America, which was largely driven by lower order levels from customers undergoing platform transitions. Additionally, we experienced a decrease in sales in Latin America, particularly in Brazil. These decreases were partially offset by increased sales to consumer electronics companies in Asia and increased sales of home security products.</w:t>
      </w:r>
    </w:p>
    <w:p>
      <w:pPr>
        <w:spacing w:after="0" w:line="13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8.1% of net sales for the nine months ended September 30, 2018 compared to 7.1% for the nine months ended September 30, 2017. Net sales in our Consumer lines for the nine months ended September 30, 2018 increased by 12.8% to $41.4 million from $36.7 million during the nine months ended September 30, 2017 driven by growth in North America and Europe, partially offset by decreased sales in Latin America and Asia.</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nine months ended September 30, 2018 was $104.3 million compared to $127.9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Gross profit as a percent of sales decreased to 20.4% for the nine months ended September 30, 2018 compared to 24.8% for the nine months ended September 30, 2017. The gross margin percentage was unfavorably impacted by inflation in the cost of certain components; the strengthening of the Chinese Yuan Renminbi relative to the U.S. Dollar; factory underutilization associated with ceasing manufacturing activities while transitioning our Asia operations onto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new global ERP system, which went live in Asia in April 2018; and asset write-downs associated with the sale and closure of our Guangzhou factory. As described above, we anticipate that our gross margin rate will be negatively impacted for the foreseeable future by higher U.S. tariffs on many of our products that are presently manufactured in China and imported into the U.S., until such time as we are able to mitigate this impact by implementing countermeasures within our supply chain, manufacturing operations and customer pricing arrangements. We presently are in the process of implementing such countermeasures and believe that the most significant of such countermeasures will be put into place over the next 6-9 months.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11.6% to $17.7 million for the nine months ended September 30, 2018 from $15.9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2017 primarily due to our continued investment in the development of new products that enhance the user experience in home entertainment and home automation.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Factory transition restructuring charges. </w:t>
      </w:r>
      <w:r>
        <w:rPr>
          <w:rFonts w:ascii="Arial" w:cs="Arial" w:eastAsia="Arial" w:hAnsi="Arial"/>
          <w:sz w:val="18"/>
          <w:szCs w:val="18"/>
          <w:color w:val="auto"/>
        </w:rPr>
        <w:t>In the first quarter of 2016, we implemented a plan to transition manufacturing activities from our southern-most</w:t>
      </w:r>
      <w:r>
        <w:rPr>
          <w:rFonts w:ascii="Arial" w:cs="Arial" w:eastAsia="Arial" w:hAnsi="Arial"/>
          <w:sz w:val="18"/>
          <w:szCs w:val="18"/>
          <w:i w:val="1"/>
          <w:iCs w:val="1"/>
          <w:color w:val="auto"/>
        </w:rPr>
        <w:t xml:space="preserve"> </w:t>
      </w:r>
      <w:r>
        <w:rPr>
          <w:rFonts w:ascii="Arial" w:cs="Arial" w:eastAsia="Arial" w:hAnsi="Arial"/>
          <w:sz w:val="18"/>
          <w:szCs w:val="18"/>
          <w:color w:val="auto"/>
        </w:rPr>
        <w:t>China factory, located in the city of Guangzhou in the Guangdong province, to our other China factories. As a result, we incurred severance costs of $6.1 million for the nine months ended September 30, 2017.</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decreased to $90.8 million for the nine months ended September 30, 2018 from $94.7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2017, primarily due to a decrease in the incremental amount of contingent consideration recorded in connection with our acquisition of the net assets of Ecolink, and a decrease in stock-based compensation expense.</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Net interest expense was $3.5 million for the nine months ended September 30, 2018 compared to net interest expense of $1.7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2017 as a result of an increased level of borrowings and a higher interest rate on our line of credit.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sale of Guangzhou factory. </w:t>
      </w:r>
      <w:r>
        <w:rPr>
          <w:rFonts w:ascii="Arial" w:cs="Arial" w:eastAsia="Arial" w:hAnsi="Arial"/>
          <w:sz w:val="18"/>
          <w:szCs w:val="18"/>
          <w:color w:val="auto"/>
        </w:rPr>
        <w:t>In June 2018, we completed the sale of our Guangzhou manufacturing facility in exchange for cash proceeds of $51.3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resulting in a pre-tax gain of $37.0 million.</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$4.0 million for the nine months ended September 30, 2018 compared to net other income of $2.0</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nine months ended September 30, 2017. This change was driven primarily by foreign currency losses associated with fluctuations in the Chinese Yuan Renminbi and Argentinian Peso exchange rates versus the U.S. Dollar.</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$2.2 million for the nine months ended September 30, 2018 compared to $2.9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Our effective tax rate was 8.8% for the nine months ended September 30, 2018 compared to 31.1% for the nine months ended September 30, 2017. The decrease in our effective tax rate was primarily a result of the tax rate applicable to the gain recognized on the sale of our Guangzhou factory being lower than our blended consolidated tax rate. Additionally, during the nine months ended September 30, 2017, certain transactions in China were nondeductible as a result of the pending sale of our Guangzhou factory.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4"/>
                <w:szCs w:val="14"/>
                <w:color w:val="auto"/>
              </w:rPr>
            </w:pPr>
          </w:p>
        </w:tc>
        <w:tc>
          <w:tcPr>
            <w:tcW w:w="162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7"/>
              </w:rPr>
              <w:t>September 30, 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Cash provided by (used for) investing activities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27,489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67,580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(40,091)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44,903</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w w:val="88"/>
              </w:rPr>
              <w:t>Effect of exchange rate changes on cash, cash equivalents and restricted cash</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7,303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Net increase (decrease) in cash, cash equivalents and restricted cash</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7"/>
              </w:rPr>
              <w:t>September 30, 2018</w:t>
            </w:r>
          </w:p>
        </w:tc>
        <w:tc>
          <w:tcPr>
            <w:tcW w:w="10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24"/>
                <w:szCs w:val="24"/>
                <w:color w:val="auto"/>
              </w:rPr>
            </w:pPr>
          </w:p>
        </w:tc>
        <w:tc>
          <w:tcPr>
            <w:tcW w:w="162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100,802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26,440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74,362</w:t>
            </w:r>
          </w:p>
        </w:tc>
        <w:tc>
          <w:tcPr>
            <w:tcW w:w="0" w:type="dxa"/>
            <w:vAlign w:val="bottom"/>
          </w:tcPr>
          <w:p>
            <w:pPr>
              <w:spacing w:after="0"/>
              <w:rPr>
                <w:sz w:val="1"/>
                <w:szCs w:val="1"/>
                <w:color w:val="auto"/>
              </w:rPr>
            </w:pPr>
          </w:p>
        </w:tc>
      </w:tr>
      <w:tr>
        <w:trPr>
          <w:trHeight w:val="486"/>
        </w:trPr>
        <w:tc>
          <w:tcPr>
            <w:tcW w:w="560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32</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used for operating activities </w:t>
      </w:r>
      <w:r>
        <w:rPr>
          <w:rFonts w:ascii="Arial" w:cs="Arial" w:eastAsia="Arial" w:hAnsi="Arial"/>
          <w:sz w:val="18"/>
          <w:szCs w:val="18"/>
          <w:color w:val="auto"/>
        </w:rPr>
        <w:t>was $4.6 million during the nine months ended September 30, 2018 compared to $5.8 million of net cash used for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activities during the nine months ended September 30, 2017. Although net cash flows from operations were consistent between periods, days sales outstanding have decreased from 79 days at September 30, 2017 to 74 days at September 30, 2018, primarily as a result of collection timing. Inventory turns were 3.5 at September 30, 2018, compared to 3.6 turns at September 30, 2017. We expect inventory turns to improve over the next six months as we continue to focus on reducing inventory levels and operating more efficiently.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 cash provided by investing activities </w:t>
      </w:r>
      <w:r>
        <w:rPr>
          <w:rFonts w:ascii="Arial" w:cs="Arial" w:eastAsia="Arial" w:hAnsi="Arial"/>
          <w:sz w:val="17"/>
          <w:szCs w:val="17"/>
          <w:color w:val="auto"/>
        </w:rPr>
        <w:t>during the nine months ended September 30, 2018 was $27.5 million compared to net cash used in investing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of $40.1 million during the nine months ended September 30, 2017. The increase in cash provided by investing activities was driven primarily by the sale of our Guangzhou factory, which closed in June 2018 and generated cash proceeds of $51.3 million. Additionally, our investments in property, plant and equipment were elevated in the prior year as a result of our investments in our China factories in connection with transitioning manufacturing operations out of our Guangzhou factory and to support the manufacturing of more advanced remote controls, as well as our investments in a new global ERP system which is now live in North America and Asia. We expect property, plant and equipment purchases in 2018 and 2019 to move back to a more normalized run rate of approximately $20 million per year. Net cash provided by investing activities also increased due to our investment of $8.9 million to acquire the net assets of Residential Control Systems, Inc. in April 2017.</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was $50.1 million during the nine months ended September 30, 2018 compared to $44.9 million of net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during the nine months ended September 30, 2017. The change in financing activity cash flows was driven primarily by borrowing and repayment activity on our line of credit. During the nine months ended September 30, 2018, we had net repayments on our line of credit of $34.5 million, compared to net borrowings of $64.0 million during the nine months ended September 30, 2017.</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nine months ended September 30, 2018, we repurchased 373,511 shares of our common stock at a cost of $12.6 million compared to our repurchase of 329,964 shares at a cost of $20.2 million during the nine months ended September 30, 2017. We hold these shares as treasury stock and they are available for reissue. Presently, we have no plans to distribute these shares, although we may change these plans if necessary to fulfill our on-going business objectives. See Note 11 contained in "Notes to Consolidated Financial Statements" for further information regarding our share repurchase programs.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9,110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33,627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10,179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98" w:lineRule="exact"/>
        <w:rPr>
          <w:rFonts w:ascii="Arial" w:cs="Arial" w:eastAsia="Arial" w:hAnsi="Arial"/>
          <w:sz w:val="25"/>
          <w:szCs w:val="25"/>
          <w:color w:val="auto"/>
          <w:vertAlign w:val="superscript"/>
        </w:rPr>
      </w:pPr>
    </w:p>
    <w:p>
      <w:pPr>
        <w:ind w:left="660" w:hanging="328"/>
        <w:spacing w:after="0" w:line="211"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Contingent consideration consists of contingent payments related to our purchases of the net assets of Ecolink and RCS.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649"/>
        </w:trPr>
        <w:tc>
          <w:tcPr>
            <w:tcW w:w="68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2018</w:t>
            </w:r>
          </w:p>
        </w:tc>
        <w:tc>
          <w:tcPr>
            <w:tcW w:w="300" w:type="dxa"/>
            <w:vAlign w:val="bottom"/>
          </w:tcPr>
          <w:p>
            <w:pPr>
              <w:spacing w:after="0"/>
              <w:rPr>
                <w:sz w:val="24"/>
                <w:szCs w:val="24"/>
                <w:color w:val="auto"/>
              </w:rPr>
            </w:pPr>
          </w:p>
        </w:tc>
        <w:tc>
          <w:tcPr>
            <w:tcW w:w="18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6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62,438</w:t>
            </w: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Available borrowing resources</w:t>
            </w:r>
          </w:p>
        </w:tc>
        <w:tc>
          <w:tcPr>
            <w:tcW w:w="30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66,500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32,000</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not provided for the state income tax liability or foreign withholding tax on these amounts for financial statement purposes as this cash is considered indefinitely reinvested outside of the United States. Our intent is to meet our domestic liquidity needs through ongoing cash flows, external borrowings, or both.</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September 30, 2018, we had $3.7 million, $20.0 million, $1.4 million, $8.0 million and $9.0 million of cash and cash equivalents in the United States, the PRC, Asia (excluding the PRC), Europe, and South America, respectively. On December 31, 2017, we had $10.5 million, $23.3 million, $1.4 million, $18.1 million, and $9.2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and Wells Fargo Bank, National Association provides for a $170.0 million revolving line of credit ("Credit Line") that expires on November 1, 2019. The Credit Line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September 30, 2018.</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September 30, 2018 was 3.97%.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September 30, 2018, we were in compliance with the covenants and conditions of the Second Amended Credit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we had an outstanding balance of $103.5 million on our Credit Line and $66.5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2017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efforts to refocus their operations to broadband and OTT versus traditional linear video, their failure to grow as we anticipated, their internal inventory control measures, including to mitigate effects due to increases in tariffs,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our inability to successfully, timely and profitably restructure and/or relocate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$0.8 million annual impact on net income based on our outstanding line of credit balance at September 30, 2018.</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September 30, 2018, we had wholly-owned subsidiaries in Argentina, Brazil,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2018, we believe that movements in foreign currency rates may have a material effect on our financial position and results of operations. We estimate that if the exchange rates for the Chinese Yuan Renminbi, Euro, British Pound, Argentinian Peso, Mexican Peso, Brazilian Real, Indian Rupee and Japanese Yen relative to the U.S. Dollar fluctuate 10% from September 30, 2018, net income in the fourth quarter of 2018 would fluctuate by approximately $10.2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280"/>
        <w:spacing w:after="0" w:line="277" w:lineRule="auto"/>
        <w:rPr>
          <w:sz w:val="20"/>
          <w:szCs w:val="20"/>
          <w:color w:val="auto"/>
        </w:rPr>
      </w:pPr>
      <w:r>
        <w:rPr>
          <w:rFonts w:ascii="Arial" w:cs="Arial" w:eastAsia="Arial" w:hAnsi="Arial"/>
          <w:sz w:val="18"/>
          <w:szCs w:val="18"/>
          <w:color w:val="auto"/>
        </w:rPr>
        <w:t>There have been no changes in internal controls or in other factors that may significantly affect our internal controls during the fiscal quarter covered by this Quarterly Report on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presented below updates and supplements the risk factors discussed in "Part I, Item 1A: Risk Factors" of the Company's 2017 Annual Report on Form 10-K incorporated herein by reference. The reader should carefully consider these risk factors in connection with the other information in this report. These factors may cause our actual results to differ materially from those stated in forward-looking statements contained in this document and elsewhere.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Business Risk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operate our businesses worldwide. There are risks inherent in doing business internationally, including global financial market turmoil; economic volatility and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subjects us to risks relating to political or social unrest, as well as corruption and government regulation, including U.S. laws such as the Foreign Corrupt Practices Act, that impose stringent requirements on how we conduct our foreign operations. If any of these events occur, our businesses may be adversely affected, and costs as well as timing to mitigate these risks are difficult to estimate and may exceed management's expectations.</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Significant Developments From the Recent and Potential Changes in U.S. Trade Policies Could Have a Material Adverse Effect on Our Business, Financial Condition and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government has indicated its intent to alter its approach to international trade policy and in some cases to renegotiate, or potentially terminate, certain existing bilateral or multi-lateral trade agreements and treaties with foreign countries. On various dates in July, August and September 2018, the U.S. government implemented additional tariffs of 25% and 10% (increasing to 25% on January 1, 2019), on certain goods imported from China. We manufacture a substantial amount of our products in China and are presently subjected to these additional tariffs. These tariffs, and other governmental action relating to international trade agreements or policies, the adoption and expansion of trade restrictions, or the occurrence of a trade war may adversely impact demand for our products, our costs, customers, suppliers and/or the U.S. economy or certain sectors thereof and, as a 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these tariffs and other governmental action, we are presently shifting some of our production capabilities outside of China, which may result in potentially significant, material costs and disruption to our operations as we pursue the processes of recreating a new supply chain, identifying substitute components and establishing new manufacturing locations. Any shift in production outside of China may not be successful, and we may not be successful in reducing our costs, or off-setting the impact of tariffs.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for the three months ended September 30, 2018,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Total Number of</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Total Dollar Value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62"/>
        </w:trPr>
        <w:tc>
          <w:tcPr>
            <w:tcW w:w="3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2018 - July 31, 2018</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106,008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104,772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3,612,700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August 1, 2018 - August 31, 2018</w:t>
            </w:r>
          </w:p>
        </w:tc>
        <w:tc>
          <w:tcPr>
            <w:tcW w:w="1280" w:type="dxa"/>
            <w:vAlign w:val="bottom"/>
          </w:tcPr>
          <w:p>
            <w:pPr>
              <w:jc w:val="right"/>
              <w:ind w:right="42"/>
              <w:spacing w:after="0"/>
              <w:rPr>
                <w:sz w:val="20"/>
                <w:szCs w:val="20"/>
                <w:color w:val="auto"/>
              </w:rPr>
            </w:pPr>
            <w:r>
              <w:rPr>
                <w:rFonts w:ascii="Arial" w:cs="Arial" w:eastAsia="Arial" w:hAnsi="Arial"/>
                <w:sz w:val="18"/>
                <w:szCs w:val="18"/>
                <w:color w:val="auto"/>
              </w:rPr>
              <w:t>32,476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21"/>
                <w:szCs w:val="21"/>
                <w:color w:val="auto"/>
              </w:rPr>
            </w:pPr>
          </w:p>
        </w:tc>
        <w:tc>
          <w:tcPr>
            <w:tcW w:w="1480" w:type="dxa"/>
            <w:vAlign w:val="bottom"/>
          </w:tcPr>
          <w:p>
            <w:pPr>
              <w:jc w:val="right"/>
              <w:ind w:right="2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1,288,220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3,711,780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2018 - September 30, 2018</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10,048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40.05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9,423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378,038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3,333,742</w:t>
            </w:r>
          </w:p>
        </w:tc>
        <w:tc>
          <w:tcPr>
            <w:tcW w:w="0" w:type="dxa"/>
            <w:vAlign w:val="bottom"/>
          </w:tcPr>
          <w:p>
            <w:pPr>
              <w:spacing w:after="0"/>
              <w:rPr>
                <w:sz w:val="1"/>
                <w:szCs w:val="1"/>
                <w:color w:val="auto"/>
              </w:rPr>
            </w:pPr>
          </w:p>
        </w:tc>
      </w:tr>
      <w:tr>
        <w:trPr>
          <w:trHeight w:val="257"/>
        </w:trPr>
        <w:tc>
          <w:tcPr>
            <w:tcW w:w="37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148,532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144,195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5,278,958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27"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Of the repurchases in July, August and September, 1,236, 2,476 and 625 shares, respectively, represent common shares of the Company that were owned and tendered by employees to satisfy tax withholding obligations in connection with the vesting of restricted shares.</w:t>
      </w:r>
    </w:p>
    <w:p>
      <w:pPr>
        <w:spacing w:after="0" w:line="94" w:lineRule="exact"/>
        <w:rPr>
          <w:rFonts w:ascii="Arial" w:cs="Arial" w:eastAsia="Arial" w:hAnsi="Arial"/>
          <w:sz w:val="24"/>
          <w:szCs w:val="24"/>
          <w:color w:val="auto"/>
          <w:vertAlign w:val="superscript"/>
        </w:rPr>
      </w:pPr>
    </w:p>
    <w:p>
      <w:pPr>
        <w:ind w:left="660" w:right="2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Amounts in this column reflect the weighted average price paid for shares purchased under our share repurchase authorizations. The weighted average price includes commissions paid to brokers on shares purchased under our share repurchase authorizations.</w:t>
      </w:r>
    </w:p>
    <w:p>
      <w:pPr>
        <w:spacing w:after="0" w:line="95" w:lineRule="exact"/>
        <w:rPr>
          <w:rFonts w:ascii="Arial" w:cs="Arial" w:eastAsia="Arial" w:hAnsi="Arial"/>
          <w:sz w:val="25"/>
          <w:szCs w:val="25"/>
          <w:color w:val="auto"/>
          <w:vertAlign w:val="superscript"/>
        </w:rPr>
      </w:pPr>
    </w:p>
    <w:p>
      <w:pPr>
        <w:jc w:val="both"/>
        <w:ind w:left="660" w:hanging="328"/>
        <w:spacing w:after="0" w:line="262"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On July 26, 2018, our board of directors approved a repurchase plan authorizing the repurchase of up to $5.0 million of our common stock. Under these authorizations, shares may be repurchased in privately negotiated and/or open market transactions, including under plans complying with Rule 10b5-1 under the Exchange Act. On September 30, 2018, we had $3.3 million of authorized repurchases remaining under the Board's authorizations.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120" w:type="dxa"/>
            <w:vAlign w:val="bottom"/>
            <w:gridSpan w:val="3"/>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535"/>
        </w:trPr>
        <w:tc>
          <w:tcPr>
            <w:tcW w:w="1420" w:type="dxa"/>
            <w:vAlign w:val="bottom"/>
          </w:tcPr>
          <w:p>
            <w:pPr>
              <w:jc w:val="right"/>
              <w:ind w:right="1010"/>
              <w:spacing w:after="0"/>
              <w:rPr>
                <w:sz w:val="20"/>
                <w:szCs w:val="20"/>
                <w:color w:val="auto"/>
              </w:rPr>
            </w:pPr>
            <w:r>
              <w:rPr>
                <w:rFonts w:ascii="Arial" w:cs="Arial" w:eastAsia="Arial" w:hAnsi="Arial"/>
                <w:sz w:val="18"/>
                <w:szCs w:val="18"/>
                <w:color w:val="auto"/>
                <w:w w:val="85"/>
              </w:rPr>
              <w:t>31.1</w:t>
            </w:r>
          </w:p>
        </w:tc>
        <w:tc>
          <w:tcPr>
            <w:tcW w:w="9380" w:type="dxa"/>
            <w:vAlign w:val="bottom"/>
            <w:tcBorders>
              <w:bottom w:val="single" w:sz="8" w:color="0000FF"/>
            </w:tcBorders>
            <w:gridSpan w:val="4"/>
          </w:tcPr>
          <w:p>
            <w:pPr>
              <w:spacing w:after="0"/>
              <w:rPr>
                <w:rFonts w:ascii="Arial" w:cs="Arial" w:eastAsia="Arial" w:hAnsi="Arial"/>
                <w:sz w:val="18"/>
                <w:szCs w:val="18"/>
                <w:color w:val="0000FF"/>
                <w:w w:val="96"/>
              </w:rPr>
            </w:pPr>
            <w:hyperlink w:anchor="page42">
              <w:r>
                <w:rPr>
                  <w:rFonts w:ascii="Arial" w:cs="Arial" w:eastAsia="Arial" w:hAnsi="Arial"/>
                  <w:sz w:val="18"/>
                  <w:szCs w:val="18"/>
                  <w:color w:val="0000FF"/>
                  <w:w w:val="96"/>
                </w:rPr>
                <w:t>Rule 13a-14(a) Certifications of Paul D. Arling, Chief Executive Officer (principal executive officer) of Universal Electronics</w:t>
              </w:r>
            </w:hyperlink>
          </w:p>
        </w:tc>
      </w:tr>
      <w:tr>
        <w:trPr>
          <w:trHeight w:val="196"/>
        </w:trPr>
        <w:tc>
          <w:tcPr>
            <w:tcW w:w="1420" w:type="dxa"/>
            <w:vAlign w:val="bottom"/>
          </w:tcPr>
          <w:p>
            <w:pPr>
              <w:spacing w:after="0"/>
              <w:rPr>
                <w:sz w:val="17"/>
                <w:szCs w:val="17"/>
                <w:color w:val="auto"/>
              </w:rPr>
            </w:pPr>
          </w:p>
        </w:tc>
        <w:tc>
          <w:tcPr>
            <w:tcW w:w="9380" w:type="dxa"/>
            <w:vAlign w:val="bottom"/>
            <w:gridSpan w:val="4"/>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Inc.</w:t>
              </w:r>
            </w:hyperlink>
          </w:p>
        </w:tc>
      </w:tr>
      <w:tr>
        <w:trPr>
          <w:trHeight w:val="20"/>
        </w:trPr>
        <w:tc>
          <w:tcPr>
            <w:tcW w:w="14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20" w:type="dxa"/>
            <w:vAlign w:val="bottom"/>
          </w:tcPr>
          <w:p>
            <w:pPr>
              <w:jc w:val="right"/>
              <w:ind w:right="1010"/>
              <w:spacing w:after="0"/>
              <w:rPr>
                <w:sz w:val="20"/>
                <w:szCs w:val="20"/>
                <w:color w:val="auto"/>
              </w:rPr>
            </w:pPr>
            <w:r>
              <w:rPr>
                <w:rFonts w:ascii="Arial" w:cs="Arial" w:eastAsia="Arial" w:hAnsi="Arial"/>
                <w:sz w:val="18"/>
                <w:szCs w:val="18"/>
                <w:color w:val="auto"/>
                <w:w w:val="85"/>
              </w:rPr>
              <w:t>31.2</w:t>
            </w:r>
          </w:p>
        </w:tc>
        <w:tc>
          <w:tcPr>
            <w:tcW w:w="938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Rule 13a-14(a) Certifications of Bryan M. Hackworth, Chief Financial Officer (principal financial officer and principal</w:t>
              </w:r>
            </w:hyperlink>
          </w:p>
        </w:tc>
      </w:tr>
      <w:tr>
        <w:trPr>
          <w:trHeight w:val="196"/>
        </w:trPr>
        <w:tc>
          <w:tcPr>
            <w:tcW w:w="142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w:anchor="page43">
              <w:r>
                <w:rPr>
                  <w:rFonts w:ascii="Arial" w:cs="Arial" w:eastAsia="Arial" w:hAnsi="Arial"/>
                  <w:sz w:val="18"/>
                  <w:szCs w:val="18"/>
                  <w:color w:val="0000FF"/>
                  <w:w w:val="92"/>
                </w:rPr>
                <w:t>accounting officer) of Universal Electronics Inc.</w:t>
              </w:r>
            </w:hyperlink>
          </w:p>
        </w:tc>
        <w:tc>
          <w:tcPr>
            <w:tcW w:w="58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188" w:lineRule="exact"/>
        <w:rPr>
          <w:sz w:val="20"/>
          <w:szCs w:val="20"/>
          <w:color w:val="auto"/>
        </w:rPr>
      </w:pPr>
    </w:p>
    <w:p>
      <w:pPr>
        <w:jc w:val="both"/>
        <w:ind w:left="1800" w:hanging="1414"/>
        <w:spacing w:after="0" w:line="264" w:lineRule="auto"/>
        <w:tabs>
          <w:tab w:leader="none" w:pos="1800" w:val="left"/>
        </w:tabs>
        <w:numPr>
          <w:ilvl w:val="0"/>
          <w:numId w:val="16"/>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Section 1350 Certifications of Paul D. Arling, Chief Executive Officer (principal executive officer) of Universal Electronics Inc.,</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and Bryan M. Hackworth, Chief Financial Officer (principal financial officer and principal accounting officer) of Universal</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Electronics Inc., pursuant to 18 U.S.C. Section 1350</w:t>
        </w:r>
      </w:hyperlink>
    </w:p>
    <w:p>
      <w:pPr>
        <w:spacing w:after="0" w:line="141" w:lineRule="exact"/>
        <w:rPr>
          <w:rFonts w:ascii="Arial" w:cs="Arial" w:eastAsia="Arial" w:hAnsi="Arial"/>
          <w:sz w:val="18"/>
          <w:szCs w:val="18"/>
          <w:u w:val="single" w:color="auto"/>
          <w:color w:val="0000FF"/>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0" w:lineRule="exact"/>
        <w:rPr>
          <w:rFonts w:ascii="Arial" w:cs="Arial" w:eastAsia="Arial" w:hAnsi="Arial"/>
          <w:sz w:val="18"/>
          <w:szCs w:val="18"/>
          <w:u w:val="single" w:color="auto"/>
          <w:color w:val="0000FF"/>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118" w:right="4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color w:val="auto"/>
                <w:w w:val="91"/>
              </w:rPr>
              <w:t>Dated:November 8, 2018</w:t>
            </w:r>
          </w:p>
        </w:tc>
        <w:tc>
          <w:tcPr>
            <w:tcW w:w="7500" w:type="dxa"/>
            <w:vAlign w:val="bottom"/>
            <w:gridSpan w:val="2"/>
          </w:tcPr>
          <w:p>
            <w:pPr>
              <w:ind w:left="174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880" w:type="dxa"/>
            <w:vAlign w:val="bottom"/>
          </w:tcPr>
          <w:p>
            <w:pPr>
              <w:spacing w:after="0"/>
              <w:rPr>
                <w:sz w:val="24"/>
                <w:szCs w:val="24"/>
                <w:color w:val="auto"/>
              </w:rPr>
            </w:pPr>
          </w:p>
        </w:tc>
        <w:tc>
          <w:tcPr>
            <w:tcW w:w="2360" w:type="dxa"/>
            <w:vAlign w:val="bottom"/>
          </w:tcPr>
          <w:p>
            <w:pPr>
              <w:ind w:left="174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8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bl>
    <w:p>
      <w:pPr>
        <w:spacing w:after="0" w:line="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(principal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2018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2019-12-28T18:03:48Z</dcterms:created>
  <dcterms:modified xsi:type="dcterms:W3CDTF">2019-12-28T18:03:48Z</dcterms:modified>
</cp:coreProperties>
</file>