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For the quarterly period ended June 30, 2018</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69" w:right="23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9" w:lineRule="exact"/>
        <w:rPr>
          <w:sz w:val="24"/>
          <w:szCs w:val="24"/>
          <w:color w:val="auto"/>
        </w:rPr>
      </w:pPr>
    </w:p>
    <w:p>
      <w:pPr>
        <w:sectPr>
          <w:pgSz w:w="11900" w:h="16838" w:orient="portrait"/>
          <w:cols w:equalWidth="0" w:num="2">
            <w:col w:w="3240" w:space="640"/>
            <w:col w:w="7540"/>
          </w:cols>
          <w:pgMar w:left="240" w:top="269"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Commission File Number: 0-21044</w:t>
      </w:r>
    </w:p>
    <w:p>
      <w:pPr>
        <w:spacing w:after="0" w:line="82"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_______________________________________</w:t>
      </w:r>
    </w:p>
    <w:p>
      <w:pPr>
        <w:sectPr>
          <w:pgSz w:w="11900" w:h="16838" w:orient="portrait"/>
          <w:cols w:equalWidth="0" w:num="1">
            <w:col w:w="11420"/>
          </w:cols>
          <w:pgMar w:left="240" w:top="269" w:right="2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UNIVERSAL ELECTRONICS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43"/>
        </w:trPr>
        <w:tc>
          <w:tcPr>
            <w:tcW w:w="2780" w:type="dxa"/>
            <w:vAlign w:val="bottom"/>
          </w:tcPr>
          <w:p>
            <w:pPr>
              <w:spacing w:after="0"/>
              <w:rPr>
                <w:sz w:val="21"/>
                <w:szCs w:val="21"/>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80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40" w:right="6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44"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13,830,823 shares of Common Stock, par value $0.01 per share, of the registrant were outstanding on August 6, 2018.</w:t>
      </w:r>
    </w:p>
    <w:p>
      <w:pPr>
        <w:sectPr>
          <w:pgSz w:w="11900" w:h="16838" w:orient="portrait"/>
          <w:cols w:equalWidth="0" w:num="1">
            <w:col w:w="11420"/>
          </w:cols>
          <w:pgMar w:left="240" w:top="2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60" w:type="dxa"/>
            <w:vAlign w:val="bottom"/>
            <w:gridSpan w:val="3"/>
          </w:tcPr>
          <w:p>
            <w:pPr>
              <w:jc w:val="center"/>
              <w:ind w:right="3020"/>
              <w:spacing w:after="0"/>
              <w:rPr>
                <w:sz w:val="20"/>
                <w:szCs w:val="20"/>
                <w:color w:val="auto"/>
              </w:rPr>
            </w:pPr>
            <w:r>
              <w:rPr>
                <w:rFonts w:ascii="Arial" w:cs="Arial" w:eastAsia="Arial" w:hAnsi="Arial"/>
                <w:sz w:val="18"/>
                <w:szCs w:val="18"/>
                <w:b w:val="1"/>
                <w:bCs w:val="1"/>
                <w:color w:val="auto"/>
              </w:rPr>
              <w:t>UNIVERSAL ELECTRONICS INC.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20" w:type="dxa"/>
            <w:vAlign w:val="bottom"/>
            <w:gridSpan w:val="2"/>
          </w:tcPr>
          <w:p>
            <w:pPr>
              <w:jc w:val="center"/>
              <w:ind w:right="3980"/>
              <w:spacing w:after="0"/>
              <w:rPr>
                <w:sz w:val="20"/>
                <w:szCs w:val="20"/>
                <w:color w:val="auto"/>
              </w:rPr>
            </w:pPr>
            <w:r>
              <w:rPr>
                <w:rFonts w:ascii="Arial" w:cs="Arial" w:eastAsia="Arial" w:hAnsi="Arial"/>
                <w:sz w:val="18"/>
                <w:szCs w:val="18"/>
                <w:b w:val="1"/>
                <w:bCs w:val="1"/>
                <w:color w:val="auto"/>
              </w:rPr>
              <w:t>INDEX</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40" w:type="dxa"/>
            <w:vAlign w:val="bottom"/>
            <w:gridSpan w:val="7"/>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04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5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6460" w:type="dxa"/>
            <w:vAlign w:val="bottom"/>
            <w:gridSpan w:val="3"/>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28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w:t>
              </w:r>
            </w:hyperlink>
          </w:p>
        </w:tc>
        <w:tc>
          <w:tcPr>
            <w:tcW w:w="7360" w:type="dxa"/>
            <w:vAlign w:val="bottom"/>
            <w:gridSpan w:val="8"/>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240" w:type="dxa"/>
            <w:vAlign w:val="bottom"/>
          </w:tcPr>
          <w:p>
            <w:pPr>
              <w:spacing w:after="0"/>
              <w:rPr>
                <w:sz w:val="21"/>
                <w:szCs w:val="21"/>
                <w:color w:val="auto"/>
              </w:rPr>
            </w:pPr>
          </w:p>
        </w:tc>
        <w:tc>
          <w:tcPr>
            <w:tcW w:w="101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640" w:type="dxa"/>
            <w:vAlign w:val="bottom"/>
            <w:gridSpan w:val="4"/>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1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 Management's Discussion and Analysis of Financial Condition and Results of Operations</w:t>
              </w:r>
            </w:hyperlink>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5"/>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552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6"/>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20" w:type="dxa"/>
            <w:vAlign w:val="bottom"/>
            <w:gridSpan w:val="17"/>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5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 Legal Proceedings</w:t>
              </w:r>
            </w:hyperlink>
          </w:p>
        </w:tc>
        <w:tc>
          <w:tcPr>
            <w:tcW w:w="7660" w:type="dxa"/>
            <w:vAlign w:val="bottom"/>
            <w:gridSpan w:val="9"/>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8540" w:type="dxa"/>
            <w:vAlign w:val="bottom"/>
            <w:gridSpan w:val="1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5"/>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2. Unregistered Sales of Equity Securities and Use of Proceeds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8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2"/>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380" w:type="dxa"/>
            <w:vAlign w:val="bottom"/>
          </w:tcPr>
          <w:p>
            <w:pPr>
              <w:spacing w:after="0"/>
              <w:rPr>
                <w:sz w:val="21"/>
                <w:szCs w:val="21"/>
                <w:color w:val="auto"/>
              </w:rPr>
            </w:pPr>
          </w:p>
        </w:tc>
        <w:tc>
          <w:tcPr>
            <w:tcW w:w="9280" w:type="dxa"/>
            <w:vAlign w:val="bottom"/>
            <w:gridSpan w:val="14"/>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40"/>
          </w:cols>
          <w:pgMar w:left="280" w:top="364" w:right="6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62,438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4,901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151,578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Contract assets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28,253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162,589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14,312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11,687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395,355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407,297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107,039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110,962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48,651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26,708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29,041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4,566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589,102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608,430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116,590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119,165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138,000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32,964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34,499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28,719</w:t>
            </w:r>
          </w:p>
        </w:tc>
        <w:tc>
          <w:tcPr>
            <w:tcW w:w="0" w:type="dxa"/>
            <w:vAlign w:val="bottom"/>
          </w:tcPr>
          <w:p>
            <w:pPr>
              <w:spacing w:after="0"/>
              <w:rPr>
                <w:sz w:val="1"/>
                <w:szCs w:val="1"/>
                <w:color w:val="auto"/>
              </w:rPr>
            </w:pP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296,256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332,935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Long-term contingent consideration</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9,730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13,400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311,617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354,881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Common stock, $0.01 par value, 50,000,000 shares authorized; 23,861,547 and 23,760,434 shares issued on</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June 30, 2018 and December 31, 2017, respectively</w:t>
            </w:r>
          </w:p>
        </w:tc>
        <w:tc>
          <w:tcPr>
            <w:tcW w:w="28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265,195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w w:val="90"/>
              </w:rPr>
              <w:t>Treasury stock, at cost, 9,927,853 and 9,702,874 shares on June 30, 2018 and December 31, 2017, respectively</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(269,179)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(262,065)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292,936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266,780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253,549</w:t>
            </w:r>
          </w:p>
        </w:tc>
        <w:tc>
          <w:tcPr>
            <w:tcW w:w="0" w:type="dxa"/>
            <w:vAlign w:val="bottom"/>
          </w:tcPr>
          <w:p>
            <w:pPr>
              <w:spacing w:after="0"/>
              <w:rPr>
                <w:sz w:val="1"/>
                <w:szCs w:val="1"/>
                <w:color w:val="auto"/>
              </w:rPr>
            </w:pPr>
          </w:p>
        </w:tc>
      </w:tr>
      <w:tr>
        <w:trPr>
          <w:trHeight w:val="231"/>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589,102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12700</wp:posOffset>
            </wp:positionV>
            <wp:extent cx="238379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177,580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327,221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338,986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135,764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133,829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263,260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254,201</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84,785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12,110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10,444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Factory transition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30,570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31,053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60,817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61,704</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income (expense), net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Guangzhou factory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Shares used in computing earnings per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14,158</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14,683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14,195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1,991</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17,601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5,292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20,660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operating activities: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22,072</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4,803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(used for) operating activities: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16,913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15,954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Provision for doubtful accounts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Provision for inventory write-downs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820"/>
              <w:spacing w:after="0"/>
              <w:rPr>
                <w:sz w:val="20"/>
                <w:szCs w:val="20"/>
                <w:color w:val="auto"/>
              </w:rPr>
            </w:pPr>
            <w:r>
              <w:rPr>
                <w:rFonts w:ascii="Arial" w:cs="Arial" w:eastAsia="Arial" w:hAnsi="Arial"/>
                <w:sz w:val="15"/>
                <w:szCs w:val="15"/>
                <w:color w:val="auto"/>
              </w:rPr>
              <w:t>Gain on sale of Guangzhou factory</w:t>
            </w:r>
          </w:p>
        </w:tc>
        <w:tc>
          <w:tcPr>
            <w:tcW w:w="38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(36,978)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Shares issued for employee benefit plan</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Employee and director stock-based compensation</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4,669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Performance-based common stock warrants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Impairment of China factory equipment</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Accounts receivable and contract assets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6,164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(20,427)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Inventories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(11,249)</w:t>
            </w:r>
          </w:p>
        </w:tc>
        <w:tc>
          <w:tcPr>
            <w:tcW w:w="0" w:type="dxa"/>
            <w:vAlign w:val="bottom"/>
          </w:tcPr>
          <w:p>
            <w:pPr>
              <w:spacing w:after="0"/>
              <w:rPr>
                <w:sz w:val="1"/>
                <w:szCs w:val="1"/>
                <w:color w:val="auto"/>
              </w:rPr>
            </w:pP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Prepaid expenses and other assets</w:t>
            </w:r>
          </w:p>
        </w:tc>
        <w:tc>
          <w:tcPr>
            <w:tcW w:w="38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Accounts payable and accrued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(7,329)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260"/>
              <w:spacing w:after="0"/>
              <w:rPr>
                <w:sz w:val="20"/>
                <w:szCs w:val="20"/>
                <w:color w:val="auto"/>
              </w:rPr>
            </w:pPr>
            <w:r>
              <w:rPr>
                <w:rFonts w:ascii="Arial" w:cs="Arial" w:eastAsia="Arial" w:hAnsi="Arial"/>
                <w:sz w:val="14"/>
                <w:szCs w:val="14"/>
                <w:color w:val="auto"/>
              </w:rPr>
              <w:t>Accrued income taxes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operating activities</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Cash provided by (used for) investing activities: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Proceeds from sale of Guangzhou factory</w:t>
            </w:r>
          </w:p>
        </w:tc>
        <w:tc>
          <w:tcPr>
            <w:tcW w:w="38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51,291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(13,416)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(17,519)</w:t>
            </w: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Refund of deposit received toward sale of Guangzhou factory</w:t>
            </w:r>
          </w:p>
        </w:tc>
        <w:tc>
          <w:tcPr>
            <w:tcW w:w="38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Acquisitions of intangible assets</w:t>
            </w:r>
          </w:p>
        </w:tc>
        <w:tc>
          <w:tcPr>
            <w:tcW w:w="38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net assets of Residential Control Systems, Inc.</w:t>
            </w:r>
          </w:p>
        </w:tc>
        <w:tc>
          <w:tcPr>
            <w:tcW w:w="3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0" w:type="dxa"/>
            <w:vAlign w:val="bottom"/>
          </w:tcPr>
          <w:p>
            <w:pPr>
              <w:spacing w:after="0"/>
              <w:rPr>
                <w:sz w:val="1"/>
                <w:szCs w:val="1"/>
                <w:color w:val="auto"/>
              </w:rPr>
            </w:pPr>
          </w:p>
        </w:tc>
      </w:tr>
      <w:tr>
        <w:trPr>
          <w:trHeight w:val="74"/>
        </w:trPr>
        <w:tc>
          <w:tcPr>
            <w:tcW w:w="8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600"/>
              <w:spacing w:after="0"/>
              <w:rPr>
                <w:sz w:val="20"/>
                <w:szCs w:val="20"/>
                <w:color w:val="auto"/>
              </w:rPr>
            </w:pPr>
            <w:r>
              <w:rPr>
                <w:rFonts w:ascii="Arial" w:cs="Arial" w:eastAsia="Arial" w:hAnsi="Arial"/>
                <w:sz w:val="14"/>
                <w:szCs w:val="14"/>
                <w:color w:val="auto"/>
              </w:rPr>
              <w:t>Net cash provided by (used for) investing activities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31,574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(27,138)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financing activities: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Borrowings under line of credit</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on line of credit</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(42,987)</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Proceeds from stock options exercised</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purchased</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Contingent consideration payments in connection with business combinations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financing activities</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(37,268)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27,970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(7,906)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year</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67,339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59,834</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54,411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cash flow information:</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Income taxes paid</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2018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Accounting Standards Update ("ASU") 2014-09, "Revenue from Contracts with Customers," and all related amendments as of January 1, 2018. The impact of this new guidance on our accounting policies and consolidated financial statements is also described below. There have been no other significant changes in our accounting policies during the three and six months ended June 30, 2018 compared to the significant accounting policies described in our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Consideration may be variable based on indeterminate volumes.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prior accounting standards,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we adopted ASU 2014-09 using the modified retrospective transition method. Under this method, we evaluated all contracts that were in effect at the beginning of 2018 as if those contracts had been accounted for under the new revenue standard based on the terms in effect as of the adoption date. Under the modified retrospective transition approach, periods prior to the adoption date were not adjusted and continue to be reported in accordance with historical U.S. GAAP. A cumulative catch-up adjustment was recorded to beginning retained earnings to reflect the impact of all existing arrangements under the new revenue standard.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effects of the changes made to our consolidated January 1, 2018 balance sheet for the adoption of ASU 2014-09,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jc w:val="right"/>
              <w:ind w:right="794"/>
              <w:spacing w:after="0"/>
              <w:rPr>
                <w:sz w:val="20"/>
                <w:szCs w:val="20"/>
                <w:color w:val="auto"/>
              </w:rPr>
            </w:pPr>
            <w:r>
              <w:rPr>
                <w:rFonts w:ascii="Arial" w:cs="Arial" w:eastAsia="Arial" w:hAnsi="Arial"/>
                <w:sz w:val="14"/>
                <w:szCs w:val="14"/>
                <w:b w:val="1"/>
                <w:bCs w:val="1"/>
                <w:color w:val="auto"/>
              </w:rPr>
              <w:t>As reported</w:t>
            </w:r>
          </w:p>
        </w:tc>
        <w:tc>
          <w:tcPr>
            <w:tcW w:w="1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7"/>
              </w:rPr>
              <w:t>Adjustments due to</w:t>
            </w:r>
          </w:p>
        </w:tc>
        <w:tc>
          <w:tcPr>
            <w:tcW w:w="380" w:type="dxa"/>
            <w:vAlign w:val="bottom"/>
          </w:tcPr>
          <w:p>
            <w:pPr>
              <w:spacing w:after="0"/>
              <w:rPr>
                <w:sz w:val="16"/>
                <w:szCs w:val="16"/>
                <w:color w:val="auto"/>
              </w:rPr>
            </w:pP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84"/>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Balance Sheet (In thousands)</w:t>
            </w:r>
          </w:p>
        </w:tc>
        <w:tc>
          <w:tcPr>
            <w:tcW w:w="1680" w:type="dxa"/>
            <w:vAlign w:val="bottom"/>
          </w:tcPr>
          <w:p>
            <w:pPr>
              <w:spacing w:after="0"/>
              <w:rPr>
                <w:sz w:val="7"/>
                <w:szCs w:val="7"/>
                <w:color w:val="auto"/>
              </w:rPr>
            </w:pPr>
          </w:p>
        </w:tc>
        <w:tc>
          <w:tcPr>
            <w:tcW w:w="1840" w:type="dxa"/>
            <w:vAlign w:val="bottom"/>
            <w:vMerge w:val="restart"/>
          </w:tcPr>
          <w:p>
            <w:pPr>
              <w:jc w:val="right"/>
              <w:ind w:right="834"/>
              <w:spacing w:after="0"/>
              <w:rPr>
                <w:sz w:val="20"/>
                <w:szCs w:val="20"/>
                <w:color w:val="auto"/>
              </w:rPr>
            </w:pPr>
            <w:r>
              <w:rPr>
                <w:rFonts w:ascii="Arial" w:cs="Arial" w:eastAsia="Arial" w:hAnsi="Arial"/>
                <w:sz w:val="14"/>
                <w:szCs w:val="14"/>
                <w:b w:val="1"/>
                <w:bCs w:val="1"/>
                <w:color w:val="auto"/>
              </w:rPr>
              <w:t>12/31/2017</w:t>
            </w:r>
          </w:p>
        </w:tc>
        <w:tc>
          <w:tcPr>
            <w:tcW w:w="16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3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1/1/2018</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ASU 2014-09</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29,759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162,589</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(23,830)</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138,759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11,687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7,913</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332,935</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1,528</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334,463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4,423</w:t>
            </w:r>
          </w:p>
        </w:tc>
        <w:tc>
          <w:tcPr>
            <w:tcW w:w="16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266,780</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4,084</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270,864</w:t>
            </w:r>
          </w:p>
        </w:tc>
        <w:tc>
          <w:tcPr>
            <w:tcW w:w="0" w:type="dxa"/>
            <w:vAlign w:val="bottom"/>
          </w:tcPr>
          <w:p>
            <w:pPr>
              <w:spacing w:after="0"/>
              <w:rPr>
                <w:sz w:val="1"/>
                <w:szCs w:val="1"/>
                <w:color w:val="auto"/>
              </w:rPr>
            </w:pPr>
          </w:p>
        </w:tc>
      </w:tr>
      <w:tr>
        <w:trPr>
          <w:trHeight w:val="891"/>
        </w:trPr>
        <w:tc>
          <w:tcPr>
            <w:tcW w:w="448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compare the reported consolidated balance sheet and statements of operations as of and for the three and six months ended June 30, 2018, to pro forma amounts had the previous guidance been in effect. The guidance did not have a significant impact on the Company's unaudited condensed consolidated statement of cash flows.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As of June 30, 2018</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 Balance Sheet (In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reported</w:t>
            </w:r>
          </w:p>
        </w:tc>
        <w:tc>
          <w:tcPr>
            <w:tcW w:w="2100" w:type="dxa"/>
            <w:vAlign w:val="bottom"/>
            <w:gridSpan w:val="2"/>
          </w:tcPr>
          <w:p>
            <w:pPr>
              <w:jc w:val="center"/>
              <w:ind w:left="17"/>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26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3"/>
              </w:rPr>
              <w:t>2014-09</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28,253</w:t>
            </w: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147,186</w:t>
            </w:r>
          </w:p>
        </w:tc>
        <w:tc>
          <w:tcPr>
            <w:tcW w:w="400" w:type="dxa"/>
            <w:vAlign w:val="bottom"/>
          </w:tcPr>
          <w:p>
            <w:pPr>
              <w:spacing w:after="0"/>
              <w:rPr>
                <w:sz w:val="21"/>
                <w:szCs w:val="21"/>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169,855</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(22,669)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14,307</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7,152</w:t>
            </w:r>
          </w:p>
        </w:tc>
        <w:tc>
          <w:tcPr>
            <w:tcW w:w="400" w:type="dxa"/>
            <w:vAlign w:val="bottom"/>
          </w:tcPr>
          <w:p>
            <w:pPr>
              <w:spacing w:after="0"/>
              <w:rPr>
                <w:sz w:val="21"/>
                <w:szCs w:val="21"/>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7,250</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296,256</w:t>
            </w: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294,484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292,936</w:t>
            </w:r>
          </w:p>
        </w:tc>
        <w:tc>
          <w:tcPr>
            <w:tcW w:w="400" w:type="dxa"/>
            <w:vAlign w:val="bottom"/>
          </w:tcPr>
          <w:p>
            <w:pPr>
              <w:spacing w:after="0"/>
              <w:rPr>
                <w:sz w:val="21"/>
                <w:szCs w:val="21"/>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289,217</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3"/>
              </w:rPr>
              <w:t>Three Months Ended June 30, 2018</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 Statements of Operations (In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reported</w:t>
            </w:r>
          </w:p>
        </w:tc>
        <w:tc>
          <w:tcPr>
            <w:tcW w:w="2100" w:type="dxa"/>
            <w:vAlign w:val="bottom"/>
            <w:gridSpan w:val="2"/>
          </w:tcPr>
          <w:p>
            <w:pPr>
              <w:jc w:val="center"/>
              <w:ind w:left="17"/>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26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3"/>
              </w:rPr>
              <w:t>2014-09</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162,523</w:t>
            </w: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156,133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135,764</w:t>
            </w:r>
          </w:p>
        </w:tc>
        <w:tc>
          <w:tcPr>
            <w:tcW w:w="400" w:type="dxa"/>
            <w:vAlign w:val="bottom"/>
          </w:tcPr>
          <w:p>
            <w:pPr>
              <w:spacing w:after="0"/>
              <w:rPr>
                <w:sz w:val="21"/>
                <w:szCs w:val="21"/>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129,745</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30,570</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30,427</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2,088</w:t>
            </w:r>
          </w:p>
        </w:tc>
        <w:tc>
          <w:tcPr>
            <w:tcW w:w="400" w:type="dxa"/>
            <w:vAlign w:val="bottom"/>
          </w:tcPr>
          <w:p>
            <w:pPr>
              <w:spacing w:after="0"/>
              <w:rPr>
                <w:sz w:val="21"/>
                <w:szCs w:val="21"/>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2,040</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22,659</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22,478</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1.60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90"/>
              </w:rPr>
              <w:t>Six months ended June 30, 2018</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Operations (In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reported</w:t>
            </w:r>
          </w:p>
        </w:tc>
        <w:tc>
          <w:tcPr>
            <w:tcW w:w="2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260" w:type="dxa"/>
            <w:vAlign w:val="bottom"/>
          </w:tcPr>
          <w:p>
            <w:pPr>
              <w:spacing w:after="0"/>
              <w:rPr>
                <w:sz w:val="13"/>
                <w:szCs w:val="13"/>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tcPr>
          <w:p>
            <w:pPr>
              <w:jc w:val="center"/>
              <w:ind w:right="253"/>
              <w:spacing w:after="0"/>
              <w:rPr>
                <w:sz w:val="20"/>
                <w:szCs w:val="20"/>
                <w:color w:val="auto"/>
              </w:rPr>
            </w:pPr>
            <w:r>
              <w:rPr>
                <w:rFonts w:ascii="Arial" w:cs="Arial" w:eastAsia="Arial" w:hAnsi="Arial"/>
                <w:sz w:val="14"/>
                <w:szCs w:val="14"/>
                <w:b w:val="1"/>
                <w:bCs w:val="1"/>
                <w:color w:val="auto"/>
                <w:w w:val="93"/>
              </w:rPr>
              <w:t>2014-09</w:t>
            </w:r>
          </w:p>
        </w:tc>
        <w:tc>
          <w:tcPr>
            <w:tcW w:w="2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327,221</w:t>
            </w:r>
          </w:p>
        </w:tc>
        <w:tc>
          <w:tcPr>
            <w:tcW w:w="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328,321</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263,260</w:t>
            </w:r>
          </w:p>
        </w:tc>
        <w:tc>
          <w:tcPr>
            <w:tcW w:w="400" w:type="dxa"/>
            <w:vAlign w:val="bottom"/>
          </w:tcPr>
          <w:p>
            <w:pPr>
              <w:spacing w:after="0"/>
              <w:rPr>
                <w:sz w:val="21"/>
                <w:szCs w:val="21"/>
                <w:color w:val="auto"/>
              </w:rPr>
            </w:pP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264,001</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60,817</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60,837</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1,922</w:t>
            </w:r>
          </w:p>
        </w:tc>
        <w:tc>
          <w:tcPr>
            <w:tcW w:w="400" w:type="dxa"/>
            <w:vAlign w:val="bottom"/>
          </w:tcPr>
          <w:p>
            <w:pPr>
              <w:spacing w:after="0"/>
              <w:rPr>
                <w:sz w:val="21"/>
                <w:szCs w:val="21"/>
                <w:color w:val="auto"/>
              </w:rPr>
            </w:pP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1,895</w:t>
            </w:r>
          </w:p>
        </w:tc>
        <w:tc>
          <w:tcPr>
            <w:tcW w:w="26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22,072</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22,437</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w:t>
            </w:r>
          </w:p>
        </w:tc>
        <w:tc>
          <w:tcPr>
            <w:tcW w:w="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1.59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Financial Accounting Standards Board ("FASB") issued ASU 2016-15, "Classification of Certain Cash Receipts and Cash Payments," which amends Accounting Standards Codification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The adoption of ASU 2016-15 did not have a material impact to the presentation of our consolidated statement of cash flows.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2016, the FASB issued ASU 2016-16, "Intra-Entity Transfers of Assets Other Than Inventory," which changes the accounting for income tax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The adoption of ASU 2016-16 did not have a material impact on our consolidated financial statements.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The adoption of ASU 2016-18 modified our current disclosures by reclassifying certain amounts within the consolidated statement of cash flows, but did not have a material effect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15, 2019. Early adoption is permitted. We do not expect the adoption of ASU 2017-04 will have a material impact on our consolidated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FASB issued ASU 2018-07, "Improvements to Nonemployee Share-Based Payment Accounting." This guidance expands the scope of Topic 718, "Compensation - Stock Compensation" to include share-based payment transactions for acquiring goods and services from non-employees, but excludes awards granted in conjunction with selling goods or services to a customer as part of a contract accounted for under ASC 606, "Revenue from Contracts with Customers." We are currently evaluating the impact that ASU 2018-07 will have on our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34,710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23,283</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8,139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18,071</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9,190</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59,433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62,438</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pending sale of our Guangzhou factory in the PRC (Note 10), a prospective buyer made a cash deposit of RMB 32 million ($5.1 million based on April 2018 exchange rates) into an escrow account on September 29, 2016. Under the terms of the escrow account, these funds were not to be paid to us until the close of the sale. Accordingly, this deposit was presented as restricted cash within our consolidated balance sheet. In April 2018, the sale transaction with this buyer was terminated and this deposit was returned to the buyer.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140,483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142,299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138,879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140,673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143,662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151,578</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June 30, 2018 and December 31, 2017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$0.4 million on June 30, 2018 and December 31, 2017, respectively. The value of these returned goods was included in our inventory balance at June 30, 2018 and December 31,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336"/>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20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22"/>
                <w:szCs w:val="22"/>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 of Net Sales</w:t>
            </w:r>
          </w:p>
        </w:tc>
        <w:tc>
          <w:tcPr>
            <w:tcW w:w="12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c>
          <w:tcPr>
            <w:tcW w:w="60" w:type="dxa"/>
            <w:vAlign w:val="bottom"/>
          </w:tcPr>
          <w:p>
            <w:pPr>
              <w:spacing w:after="0"/>
              <w:rPr>
                <w:sz w:val="22"/>
                <w:szCs w:val="2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29,542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42,951</w:t>
            </w:r>
          </w:p>
        </w:tc>
        <w:tc>
          <w:tcPr>
            <w:tcW w:w="1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21"/>
                <w:szCs w:val="21"/>
                <w:color w:val="auto"/>
              </w:rPr>
            </w:pPr>
          </w:p>
        </w:tc>
      </w:tr>
      <w:tr>
        <w:trPr>
          <w:trHeight w:val="341"/>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 xml:space="preserve">AT&amp;T </w:t>
            </w:r>
            <w:r>
              <w:rPr>
                <w:rFonts w:ascii="Arial" w:cs="Arial" w:eastAsia="Arial" w:hAnsi="Arial"/>
                <w:sz w:val="25"/>
                <w:szCs w:val="25"/>
                <w:color w:val="auto"/>
                <w:vertAlign w:val="superscript"/>
              </w:rPr>
              <w:t>(1)</w:t>
            </w: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1340" w:type="dxa"/>
            <w:vAlign w:val="bottom"/>
            <w:gridSpan w:val="5"/>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21,740</w:t>
            </w:r>
          </w:p>
        </w:tc>
        <w:tc>
          <w:tcPr>
            <w:tcW w:w="1580" w:type="dxa"/>
            <w:vAlign w:val="bottom"/>
            <w:gridSpan w:val="5"/>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4"/>
                <w:szCs w:val="24"/>
                <w:color w:val="auto"/>
              </w:rPr>
            </w:pPr>
          </w:p>
        </w:tc>
      </w:tr>
      <w:tr>
        <w:trPr>
          <w:trHeight w:val="341"/>
        </w:trPr>
        <w:tc>
          <w:tcPr>
            <w:tcW w:w="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376"/>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16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9"/>
              </w:rPr>
              <w:t>% of Net Sales</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6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67,517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85,198</w:t>
            </w:r>
          </w:p>
        </w:tc>
        <w:tc>
          <w:tcPr>
            <w:tcW w:w="164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341"/>
        </w:trPr>
        <w:tc>
          <w:tcPr>
            <w:tcW w:w="6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 xml:space="preserve">AT&amp;T </w:t>
            </w:r>
            <w:r>
              <w:rPr>
                <w:rFonts w:ascii="Arial" w:cs="Arial" w:eastAsia="Arial" w:hAnsi="Arial"/>
                <w:sz w:val="25"/>
                <w:szCs w:val="25"/>
                <w:color w:val="auto"/>
                <w:vertAlign w:val="superscript"/>
              </w:rPr>
              <w:t>(1)</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40,940</w:t>
            </w:r>
          </w:p>
        </w:tc>
        <w:tc>
          <w:tcPr>
            <w:tcW w:w="1640" w:type="dxa"/>
            <w:vAlign w:val="bottom"/>
            <w:gridSpan w:val="6"/>
          </w:tcPr>
          <w:p>
            <w:pPr>
              <w:jc w:val="right"/>
              <w:ind w:right="40"/>
              <w:spacing w:after="0"/>
              <w:rPr>
                <w:sz w:val="20"/>
                <w:szCs w:val="20"/>
                <w:color w:val="auto"/>
              </w:rPr>
            </w:pPr>
            <w:r>
              <w:rPr>
                <w:rFonts w:ascii="Arial" w:cs="Arial" w:eastAsia="Arial" w:hAnsi="Arial"/>
                <w:sz w:val="18"/>
                <w:szCs w:val="18"/>
                <w:color w:val="auto"/>
              </w:rPr>
              <w:t>12.1%</w:t>
            </w:r>
          </w:p>
        </w:tc>
      </w:tr>
    </w:tbl>
    <w:p>
      <w:pPr>
        <w:ind w:left="660" w:hanging="328"/>
        <w:spacing w:after="0" w:line="188"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Sales associated with this customer did not total more than 10% of our net sales for the indicated period.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775"/>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(thousands)</w:t>
            </w:r>
          </w:p>
        </w:tc>
        <w:tc>
          <w:tcPr>
            <w:tcW w:w="100" w:type="dxa"/>
            <w:vAlign w:val="bottom"/>
            <w:vMerge w:val="restart"/>
          </w:tcPr>
          <w:p>
            <w:pPr>
              <w:spacing w:after="0"/>
              <w:rPr>
                <w:sz w:val="13"/>
                <w:szCs w:val="13"/>
                <w:color w:val="auto"/>
              </w:rPr>
            </w:pPr>
          </w:p>
        </w:tc>
        <w:tc>
          <w:tcPr>
            <w:tcW w:w="12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 of Accounts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1"/>
              </w:rPr>
              <w:t>$ (thousands)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 of Accounts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Receivable, Net</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Receivable, 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jc w:val="center"/>
              <w:ind w:right="3770"/>
              <w:spacing w:after="0"/>
              <w:rPr>
                <w:sz w:val="20"/>
                <w:szCs w:val="20"/>
                <w:color w:val="auto"/>
              </w:rPr>
            </w:pPr>
            <w:r>
              <w:rPr>
                <w:rFonts w:ascii="Arial" w:cs="Arial" w:eastAsia="Arial" w:hAnsi="Arial"/>
                <w:sz w:val="18"/>
                <w:szCs w:val="18"/>
                <w:color w:val="auto"/>
                <w:w w:val="90"/>
              </w:rPr>
              <w:t>Comcast Corporation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19,570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13.6%  $</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25,142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 Net and Significant Suppliers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00" w:type="dxa"/>
            <w:vAlign w:val="bottom"/>
            <w:gridSpan w:val="2"/>
          </w:tcPr>
          <w:p>
            <w:pPr>
              <w:spacing w:after="0"/>
              <w:rPr>
                <w:sz w:val="20"/>
                <w:szCs w:val="20"/>
                <w:color w:val="auto"/>
              </w:rPr>
            </w:pPr>
            <w:r>
              <w:rPr>
                <w:rFonts w:ascii="Arial" w:cs="Arial" w:eastAsia="Arial" w:hAnsi="Arial"/>
                <w:sz w:val="18"/>
                <w:szCs w:val="18"/>
                <w:color w:val="auto"/>
              </w:rPr>
              <w:t>Inventories, net were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11,545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79,007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105,178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440" w:type="dxa"/>
            <w:vAlign w:val="bottom"/>
          </w:tcPr>
          <w:p>
            <w:pPr>
              <w:jc w:val="center"/>
              <w:ind w:right="3790"/>
              <w:spacing w:after="0"/>
              <w:rPr>
                <w:sz w:val="20"/>
                <w:szCs w:val="20"/>
                <w:color w:val="auto"/>
              </w:rPr>
            </w:pPr>
            <w:r>
              <w:rPr>
                <w:rFonts w:ascii="Arial" w:cs="Arial" w:eastAsia="Arial" w:hAnsi="Arial"/>
                <w:sz w:val="18"/>
                <w:szCs w:val="18"/>
                <w:color w:val="auto"/>
                <w:w w:val="90"/>
              </w:rPr>
              <w:t>Inventories, net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147,186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162,589</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right"/>
              <w:ind w:right="959"/>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4,205</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1,218</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7,537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4,207</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$0.5 million and $0.2 million for the six months ended June 30, 2018 and 2017,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Texas Instruments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15"/>
        </w:trPr>
        <w:tc>
          <w:tcPr>
            <w:tcW w:w="50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Texas Instruments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Purchases associated with this supplier did not total more than 10% of our total inventory purchases for the indicated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and six months ended June 30, 2018 and 2017,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inventory purchases made from this supplier while it was a related party were $1.1 million during the six months ended June 30, 2018 and $1.6 million and $2.6 million during the three and six months ended June 30, 2017,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62,075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61,766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(32,725)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$6.8 million and $6.0 million at June 30, 2018 and December 31, 2017, respectively.</w:t>
      </w: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and order backlog, which are recorded in cost of sales. Amortization expense by income statement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w:t>
            </w:r>
          </w:p>
        </w:tc>
        <w:tc>
          <w:tcPr>
            <w:tcW w:w="20" w:type="dxa"/>
            <w:vAlign w:val="bottom"/>
          </w:tcPr>
          <w:p>
            <w:pPr>
              <w:spacing w:after="0"/>
              <w:rPr>
                <w:sz w:val="21"/>
                <w:szCs w:val="2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8100" w:type="dxa"/>
            <w:vAlign w:val="bottom"/>
            <w:gridSpan w:val="5"/>
          </w:tcPr>
          <w:p>
            <w:pPr>
              <w:spacing w:after="0"/>
              <w:rPr>
                <w:sz w:val="20"/>
                <w:szCs w:val="20"/>
                <w:color w:val="auto"/>
              </w:rPr>
            </w:pPr>
            <w:r>
              <w:rPr>
                <w:rFonts w:ascii="Arial" w:cs="Arial" w:eastAsia="Arial" w:hAnsi="Arial"/>
                <w:sz w:val="18"/>
                <w:szCs w:val="18"/>
                <w:color w:val="auto"/>
                <w:w w:val="91"/>
              </w:rPr>
              <w:t>Estimated future annual amortization expense related to our intangible assets at June 30, 2018, was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 6 months)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3,506</w:t>
            </w:r>
          </w:p>
        </w:tc>
        <w:tc>
          <w:tcPr>
            <w:tcW w:w="20" w:type="dxa"/>
            <w:vAlign w:val="bottom"/>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6,922</w:t>
            </w:r>
          </w:p>
        </w:tc>
        <w:tc>
          <w:tcPr>
            <w:tcW w:w="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5,791</w:t>
            </w:r>
          </w:p>
        </w:tc>
        <w:tc>
          <w:tcPr>
            <w:tcW w:w="20" w:type="dxa"/>
            <w:vAlign w:val="bottom"/>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2,143</w:t>
            </w:r>
          </w:p>
        </w:tc>
        <w:tc>
          <w:tcPr>
            <w:tcW w:w="20" w:type="dxa"/>
            <w:vAlign w:val="bottom"/>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6,093</w:t>
            </w:r>
          </w:p>
        </w:tc>
        <w:tc>
          <w:tcPr>
            <w:tcW w:w="20" w:type="dxa"/>
            <w:vAlign w:val="bottom"/>
          </w:tcPr>
          <w:p>
            <w:pPr>
              <w:spacing w:after="0"/>
              <w:rPr>
                <w:sz w:val="21"/>
                <w:szCs w:val="2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26,708</w:t>
            </w:r>
          </w:p>
        </w:tc>
        <w:tc>
          <w:tcPr>
            <w:tcW w:w="20" w:type="dxa"/>
            <w:vAlign w:val="bottom"/>
          </w:tcPr>
          <w:p>
            <w:pPr>
              <w:spacing w:after="0"/>
              <w:rPr>
                <w:sz w:val="22"/>
                <w:szCs w:val="22"/>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and Wells Fargo Bank, National Association provides for a $170.0 million revolving line of credit ("Credit Line") that expires on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June 30,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June 30, 2018 was 3.84%.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June 30, 2018, we were in compliance with the covenants and conditions of the Second Amended Credit Agreement.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we had $111.0 million outstanding under the Credit Line. Our total interest expense on borrowings was $1.4 million and $0.6 million during the three months ended June 30, 2018 and 2017, respectively. Our total interest expense on borrowings was $2.5 million and $1.1 million during the six months ended June 30, 2018 and 2017,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recorded income tax expense of $2.1 million and $1.4 million for the three months ended June 30, 2018 and 2017, respectively, and our effective tax rate was 8.4% and 23.2% for the three months ended June 30, 2018 and 2017, respectively. During the six months ended June 30, 2018 and 2017, we recorded income tax expense of $1.9 million and $1.1 million, respectively, and our effective tax rate was 8.0% and 18.9% during the six months ended June 30, 2018 and 2017, respectively. The decrease in our effective tax rate in the current year was primarily a result of the tax rate applicable to the gain recognized on the sale of our Guangzhou factory being lower than our blended consolidated tax rate.</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Tax Cuts and Jobs Act (the "Tax Act") was enacted on December 22, 2017. The Tax Act reduces the U.S. federal corporate income tax rate from 35% to 21%, requires companies to pay a one-time transition tax on earnings of certain foreign subsidiaries that were previously tax deferred and creates new taxes on certain foreign sourced earnings. We are applying the guidance in SAB 118 when accounting for the enactment-date effects of the Tax Act. At June 30, 2018, we have not completed our accounting for all of the tax effects of the Tax Act. Additionally, we have made a reasonable estimate of other effects. During the three and six month period ended June 30, 2018, we recognized no adjustments to the provisional amounts recorded at December 31, 2017. We are awaiting further guidance from the U.S. federal and state regulatory bodies with regards to the final accounting and reporting of these items in the jurisdictions where we file tax returns. In all cases, we will continue to make and refine our calculations as additional analysis is completed. Our estimates may also be affected as we gain a more thorough understanding of tax law. These changes could be material to income tax expense.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have provided provisional amounts for the legislative provisions that are effective as of January 1, 2018, including, but not limited to, the creation of the base erosion anti-abuse tax ("BEAT"), a new minimum tax, a new provision designed to tax global intangible low-taxed income ("Global Minimum Tax", or "GMT"), a new limitation on deductible interest expense, and limitations on the use of net operating losses. Our accounting for these elements of the Tax Act is incomplete; however, we were able to make reasonable estimates and therefore recorded provisional adjustments. Similar to the above elements, we are in the process of collecting and preparing necessary data, and interpreting guidance as issued by the U.S. Treasury Department, Internal Revenue Service, FASB, and other federal and state standard-setting regulatory bodies. However, we continue to gather additional information to complete our accounting for these items and expect to complete the accounting within the prescribed measurement period. Given the complexity of the GMT provisions, we are still evaluating the effects of the GMT provisions and have not yet determined our accounting policy. At June 30, 2018, we are still evaluating the GMT provisions and our analysis of future taxable income that is subject to GMT, we have included GMT related to current year operations only in our estimated annual effective tax rate and have not provided additional GMT on deferred items.</w:t>
      </w:r>
    </w:p>
    <w:p>
      <w:pPr>
        <w:spacing w:after="0" w:line="1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June 30, 2018, we had gross unrecognized tax benefits of $5.7 million, including interest and penalties, of which approximately $5.4 million, if not for the state Research and Experimentation income tax credit valuation allowance, would affect the annual effective tax rate if these tax benefits are realized. Further, we are unaware of any positions for which it is reasonably possible that the total amount of unrecognized tax benefits will significantly change within the next twelve months. Based on federal, state and foreign statute expirations in various jurisdictions, we do not anticipate any decrease in unrecognized tax benefits within the next twelve months. We have classified uncertain tax positions as non-current income tax liabilities unless expected to be paid within one year.</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$0.6 million and $0.5 million at June 30, 2018 and December 31, 2017, respectively, are included in our unrecognized tax benefits.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2017</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17,412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17,727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9,789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7,910</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2,769</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2,329</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286</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2,389</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34,499</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June 30, 2018 and December 31, 2017.</w:t>
      </w:r>
    </w:p>
    <w:p>
      <w:pPr>
        <w:spacing w:after="0" w:line="94"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$0.1 million and $0.7 million at June 30, 2018 and December 31, 2017, respectively.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215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sale of Guangzhou factory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Duties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1,184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974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1,578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2,955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599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630</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5,232</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28,719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2017</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167</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298</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2016, we implemented a plan to transition manufacturing activities from our southern-most China factory, located in the city of Guangzhou in the Guangdong province, to our other China factories. As a result, we incurred severance costs of $0.4 million and $5.7 million during the three and six months ended June 30, 2017, respectively, which are included within operating expenses. All operations ceased in our Guangzhou factory in the third quarter of 2017 and the transition to the other China factories was completed by the end of 2017. Since all operations at our Guangzhou manufacturing facility ceased as of the end of July 2017, the related building and land lease assets were classified as assets held for sale in our consolidated balance sheet at December 31,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26, 2016, we entered into an agreement to sell our Guangzhou manufacturing facility for RMB 320 million. In accordance with the terms of the agreement, the buyer deposited 10% of the purchase price into an escrow account upon the execution of the agreement, which we presented as restricted cash in our consolidated balance sheet at December 31, 2017 (also refer to Note 2). In April 2018, we and the buyer mutually agreed to terminate the sale. The mutually agreed termination took</w:t>
      </w:r>
    </w:p>
    <w:p>
      <w:pPr>
        <w:sectPr>
          <w:pgSz w:w="11900" w:h="16838" w:orient="portrait"/>
          <w:cols w:equalWidth="0" w:num="1">
            <w:col w:w="11420"/>
          </w:cols>
          <w:pgMar w:left="240" w:top="11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effect immediately with no incremental penalty or costs to either party. In connection with this termination, the deposit was returned to the buyer.</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23, 2018, we entered into a new agreement to sell our Guangzhou manufacturing facility to a second buyer for RMB 339 million (approximately $51.4 million based on exchange rates in effect at the time of closing). On April 26, 2018, the second buyer paid to us a deposit of RMB 34 million (approximately $5.1 million based on exchange rates in effect at the time of closing), which under the terms of the agreement was nonrefundable. Upon receipt by the Governmental Agency of the second buyer’s application of approval of transfer, the second buyer was to pay to us RMB 237 million (approximately $35.8 million based on exchange rates in effect at the time of closing). Additionally, within two days after the second payment was made to us, the second buyer was to deposit the remaining consideration of RMB 68 million (approximately $10.3 million based on exchange rates in effect at the time of closing) into escrow, which was to be released to us upon the closing of the sale. Per the terms of the agreement, the sale was to be completed no later than June 30, 2018. On June 26, 2018, all conditions to closing were satisfied and the sale was completed, resulting in a pretax gain of $37.0 million ($32.1 million, net of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the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has ruled on our Opposition (see below). Finally, the Court ruled that our original product (which we are no longer selling) infringes certain of Ruwido’s design rights, but stayed any decision of compensation and/or damages until all aspects of the case have been decided. We have filed an appeal as to the Court’s ruling of infringement, and submission by the parties were due to the Court during the second quarter of 2018 with a hearing expected to take place in late 2018. Subsequent to the Court's ruling that a second product could not be added to the first case on the merits, Ruwido filed a separate case on the merits with respect to this second product, claiming that it too infringes the same patent at issue in the first suit. We have denied these claims. According to the Court’s trial schedule, briefs from both parties will be due during the second half of 2018 and early 2019 with a trial date set for January 2019. In September 2015, UEBV filed an Opposition with the European Patent Office seeking to invalidate the one utility patent asserted against UEBV and Telenet by Ruwido. The hearing on this opposition was held in July 2017. During this hearing the panel requested additional information. We have assembled this additional information and the final hearing has been scheduled for January 29, 2019. On September 5, 2017, Ruwido and FMH filed a patent infringement case on the merits against UEBV and Telenet in the Netherlands alleging the same claims of infringement as in the Belgium Courts (see above). We have denied these claims and filed a counterclaim seeking to invalidate the Ruwido patent. A November 30, 2018 hearing date has been set by the Court.</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On May 11, 2018, our Board approved a repurchase plan authorizing the repurchase of up to $10.0 million of our common stock. As of June 30, 2018, we had $3.6 million of authorized repurchases remaining under the Board's authorizations. On July 26, 2018, our Board approved a new repurchase plan authorizing the repurchase of up to $5.0 million of our common stock bringing the total amount of authorized repurchases as of approval date to $5.4 million. We may utilize various methods to effect the repurchases, which could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14,885</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167,497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27,467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54,867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51,566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37,578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39,460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37,164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14,155</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177,580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327,221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338,986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92,261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96,984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3,870</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111,365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115,528</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3,719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4,669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5,555</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44.95</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June 30, 2018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44.17</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June 30, 2018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602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June 30, 2018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41.03</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2018 and the exercise price, multiplied by the number of in-the-money options) that would have been received by the option holders had they all exercised their options on June 30, 2018. This amount will change based on the fair market value of our stock.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4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19.61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0.00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4.52</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we expect to recognize $2.8 million of total unrecognized pre-tax stock-based compensation expense related to non-vested stock options over a remaining weighted-average life of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61.19</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44.79</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63.20</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59.72</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2018</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51.22</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we expect to recognize $9.8 million of total unrecognized pre-tax stock-based compensation expense related to non-vested restricted stock awards over a weighted-average life of 2.1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9, 2016, we issued common stock purchase warrants to Comcast to purchase up to 725,000 shares of our common stock at a price of $54.55 per share. The right to exercise the warrants is subject to vesting over three successive two-year periods (the first two-year period commenced on January 1, 2016 and ended December 31, 2017)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At June 30, 2018, 175,000 vested warrants were outstanding. To fully vest in the rights to purchase all of the remaining unearned 475,000 underlying shares, Comcast and its affiliates must purchase an aggregate of $680 million in goods and services from us during the remaining four-year vesting period.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Through June 30, 2018, no warrants had vested for the two-year period beginning January 1, 2018.</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we utilized in the Black Scholes option pricing model and the resulting weighted average fair value of the warrants were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840" w:type="dxa"/>
            <w:vAlign w:val="bottom"/>
            <w:gridSpan w:val="3"/>
          </w:tcPr>
          <w:p>
            <w:pPr>
              <w:ind w:left="5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$28.89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$32.88</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$67.21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$32.88</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$67.21</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40.20%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35.05%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40.20%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35.05%</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5.50</w:t>
            </w:r>
          </w:p>
        </w:tc>
      </w:tr>
      <w:tr>
        <w:trPr>
          <w:trHeight w:val="27"/>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840" w:type="dxa"/>
            <w:vAlign w:val="bottom"/>
            <w:gridSpan w:val="3"/>
          </w:tcPr>
          <w:p>
            <w:pPr>
              <w:ind w:left="5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Reduction/(increase) to net sales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123</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471</w:t>
            </w: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we estimated the number of warrants that will vest based on projected future purchases that will be made by Comcast and its affiliates. These estimates may increase or decrease based on actual future purchases. The aggregate unrecognized estimated fair value of unvested warrants at June 30, 2018 was $2.9 million.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1,336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2460" w:hanging="5288"/>
        <w:spacing w:after="0" w:line="466" w:lineRule="auto"/>
        <w:tabs>
          <w:tab w:leader="none" w:pos="652"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17 for further details). 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22,659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22,072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4,803</w:t>
            </w: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14,427</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22,659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4,803</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14,070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14,404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14,078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14,427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14,700</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9"/>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3"/>
          </w:tcPr>
          <w:p>
            <w:pPr>
              <w:jc w:val="right"/>
              <w:ind w:right="39"/>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Note 17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gridSpan w:val="6"/>
          </w:tcPr>
          <w:p>
            <w:pPr>
              <w:spacing w:after="0"/>
              <w:rPr>
                <w:sz w:val="20"/>
                <w:szCs w:val="20"/>
                <w:color w:val="auto"/>
              </w:rPr>
            </w:pPr>
            <w:r>
              <w:rPr>
                <w:rFonts w:ascii="Arial" w:cs="Arial" w:eastAsia="Arial" w:hAnsi="Arial"/>
                <w:sz w:val="18"/>
                <w:szCs w:val="18"/>
                <w:color w:val="auto"/>
                <w:w w:val="95"/>
              </w:rPr>
              <w:t>The following table sets forth the total net fair value of derivatives: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June 30, 2018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Fair Value Measurement Using</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9"/>
          </w:tcPr>
          <w:p>
            <w:pPr>
              <w:jc w:val="center"/>
              <w:ind w:left="141"/>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6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62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auto"/>
                <w:w w:val="96"/>
              </w:rPr>
              <w:t>Level 2</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72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rPr>
              <w:t>$   (565)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gain of $1.9 million and a net pre-tax loss of $1.6 million for the three months ended June 30, 2018 and 2017, respectively. For the six months ended June 30, 2018 and 2017, we had a net pre-tax gain of $0.5 million and a net pre-tax loss of $1.4 million, respectively (see Note 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27, 2018</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6.6195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July 27,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27, 2018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January 5, 2018</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6.6481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January 5,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24, 2018</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38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Combination</w:t>
      </w:r>
    </w:p>
    <w:p>
      <w:pPr>
        <w:spacing w:after="0" w:line="9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April 6, 2017, we acquired substantially all of the net assets of Residential Control Systems, Inc. ("RCS"), a U.S.-based designer and manufacturer of energy management and control products for the residential, small commercial and hospitality markets. The purchase price of $12.6 million was comprised of $8.9 million in cash and $3.7 million of contingent consideration. The acquisition of these assets will allow us to expand our product offering of home sensing, monitoring and control solutions to include smart thermostat, sensing and monitoring products previously sold and marketed by RCS.</w:t>
      </w:r>
    </w:p>
    <w:p>
      <w:pPr>
        <w:spacing w:after="0" w:line="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consolidated statement of operations for the three and six months ended June 30, 2018 includes net sales of $0.8 million and $1.9 million, respectively, and net losses of $0.6 million and $0.9 million, respectively, attributable to RCS. Our consolidated statement of operations for the three and six months ended June 30, 2017 includes net sales of $1.4 million and a net loss of $0.4 million attributable to RCS for the period commencing on April 6,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on the agreed upon percentage of operating income as defined in the Asset Purchase Agreement ("APA"). Operating income will be calculated using certain revenues, costs and expenses directly attributable to RCS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24.8%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June 30, 2018, the fair value of earnout consideration attributed to RCS was $2.4 million which is presented within long-term contingent consideration in our consolidated balance sheet.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1,508</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1-4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8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10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20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7"/>
              </w:rPr>
              <w:t>1 year</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5,494</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8,894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assigned to the RCS trade name intangible asset was determined utilizing a relief from royalty method. The fair value assigned to RCS customer relationships and order backlog intangible assets were determined utilizing a multi-period excess earnings approach.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customer relationships and order backlog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RCS as if this transaction had occurred on January 1, 2016. This unaudited pro forma financial information is not intended to represent or be indicative of the consolidated results of operations that would have been achieved had the acquisition actually been completed as of January 1, 2016, and should not be taken as a projection of the future consolidated results of our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339,548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22,659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22,072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4,541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0.31</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determining pro forma net income, adjustments were made to the three and six months ended June 30, 2017. The pro forma net income assumes that amortization of acquired intangible assets began at January 1, 2016 rather than on April 6, 2017. The result is a net increase in amortization expense of $0.1 million for the six months ended June 30, 2017. Additionally, acquisition costs totaling $0.1 million are excluded from pro forma net income. All adjustments have been made net of their related tax effects.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and manufacture a broad line of pre-programmed universal remote control products, AV accessories, software and intelligent wireless security, sensing and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one million individual device functions and approximately 8,500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developed a comprehensive patent portfolio of almost 500 issued and pending United States patents related to remote control, home security, safety and automation as well as hundreds of foreign counterpart patents and applications in various territories around the world.</w:t>
      </w:r>
    </w:p>
    <w:p>
      <w:pPr>
        <w:spacing w:after="0" w:line="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24 international subsidiaries located in Argentina, Brazil, British Virgin Islands, Cayman Islands, France, Germany, Hong Kong (3), India, Italy, Japan, Korea,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2018:</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decreased 8.5% to $162.5 million for the three months ended June 30, 2018 from $177.6 million for the three months ended June 30, 2017.</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decreased from 24.6% for the three months ended June 30, 2017 to 16.5% for the three months ended June 30, 2018.</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net sales, increased from 20.5% for the three months ended June 30, 2017 to 22.6% for the three months ended June 30, 2018.</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decreased from operating income of $7.3 million for the three months ended June 30, 2017 to an operating loss of $9.9 million for the three months ended June 30, 2018, and our operating margin percentage decreased from 4.1% for the three months ended June 30, 2017 to an operating deficit of 6.1% for the three months ended June 30, 2018.</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 decreased to 8.4% for the three months ended June 30, 2018, compared to 23.2% for the three months ended June 30,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2018 include the following:</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As further discussed in "Notes to Consolidated Financial Statements - Note 1," effective January 1, 2018, we adopted Accounting Standards Update ("ASU") 2014-09, "Revenues from Contracts with Customers." The critical accounting policy below updates the items that we disclosed as our critical accounting policies and estimates in Item 7, "Management's Discussion and Analysis of Financial Condition and Results of Operations" contained in our Annual Report on Form 10-K for our fiscal year ended December 31,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Consideration may be variable based on indeterminate volumes.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prior accounting standards,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75.0</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18.2</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Guangzhou factory</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(0.0)</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Adoption of ASU 2014-09. </w:t>
      </w:r>
      <w:r>
        <w:rPr>
          <w:rFonts w:ascii="Arial" w:cs="Arial" w:eastAsia="Arial" w:hAnsi="Arial"/>
          <w:sz w:val="18"/>
          <w:szCs w:val="18"/>
          <w:color w:val="auto"/>
        </w:rPr>
        <w:t>Effective January 1, 2018, we adopted ASU 2014-09 on a modified retrospective basis. Thus the comparability between periods of</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net sales, gross profit and selling, general and administrative expenses is impacted. The discussion below provides insights into underlying business trends that affected our reported results of operations. For further details as to the impact of adopting ASU 2014-09, refer to Note 1 in "Notes to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Three Months Ended June 30, 2017</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three months ended June 30, 2018 were $162.5 million, a decrease of 8.5% compared to $177.6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Net sales by our Business and Consumer lines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7.4</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in our Business lines (subscription broadcasting, OEM, and computing companies) were 90.6% of net sales for the three months ended June 30, 2018 compared to 92.6% for the three months ended June 30, 2017. Net sales in our Business lines for the three months ended June 30, 2018 decreased by 10.5% to $147.3 million from $164.5 million. The decrease in Business line net sales was primarily due to decreased sales to subscription broadcasting customers in North America, which was largely driven by lower order levels from customers undergoing platform transitions. Additionally, we experienced a decrease in sales in Latin America, particularly in Brazil. These decreases were partially offset by increased sales of home security products and the strengthening of the Euro exchange rate versus the U.S. Dollar.</w:t>
      </w:r>
    </w:p>
    <w:p>
      <w:pPr>
        <w:spacing w:after="0" w:line="13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9.4% of net sales for the three months ended June 30, 2018 compared to 7.4% for the three months ended June 30, 2017. Net sales in our Consumer lines for the three months ended June 30, 2018 increased by 16.0% to $15.2 million from $13.1 million during the three months ended June 30, 2017 driven primarily by growth in North America and Europe as well as the strengthening of the Euro exchange rate versus the U.S. Dollar.</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June 30, 2018 was $26.8 million compared to $43.8 million for the three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 of sales decreased to 16.5% for the three months ended June 30, 2018 compared to 24.6% for the three months ended June 30, 2017. The gross margin percentage was unfavorably impacted by factory underutilization associated with ceasing manufacturing activities while transitioning our Asia operations onto our new global ERP system, which went live in Asia in April 2018; inflation in the cost of certain components; the strengthening of the Chinese Yuan</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Renminbi relative to the U.S. Dollar; and asset write-downs associated with the sale and closure of our Guangzhou factory. These unfavorable impacts were partially offset by production efficiencies achieved in our factories in China.</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22.5% to $6.1 million for the three months ended June 30, 2018 from $4.9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2017 primarily due to our continued investment in the development of new products that enhance the user experience in home entertainment and home automation.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transition manufacturing activities from our southern-most</w:t>
      </w:r>
      <w:r>
        <w:rPr>
          <w:rFonts w:ascii="Arial" w:cs="Arial" w:eastAsia="Arial" w:hAnsi="Arial"/>
          <w:sz w:val="18"/>
          <w:szCs w:val="18"/>
          <w:i w:val="1"/>
          <w:iCs w:val="1"/>
          <w:color w:val="auto"/>
        </w:rPr>
        <w:t xml:space="preserve"> </w:t>
      </w:r>
      <w:r>
        <w:rPr>
          <w:rFonts w:ascii="Arial" w:cs="Arial" w:eastAsia="Arial" w:hAnsi="Arial"/>
          <w:sz w:val="18"/>
          <w:szCs w:val="18"/>
          <w:color w:val="auto"/>
        </w:rPr>
        <w:t>China factory, located in the city of Guangzhou in the Guangdong province, to our other China factories. As a result, we incurred severance costs of $0.4 million for the three months ended June 30, 2017.</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slightly to $30.6 million for the three months ended June 30,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$31.1 million for the three months ended June 30, 2017.</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$1.3 million for the three months ended June 30, 2018 compared to net interest expense of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2017 as a result of an increased level of borrowings on our line of credit.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sale of Guangzhou factory. </w:t>
      </w:r>
      <w:r>
        <w:rPr>
          <w:rFonts w:ascii="Arial" w:cs="Arial" w:eastAsia="Arial" w:hAnsi="Arial"/>
          <w:sz w:val="18"/>
          <w:szCs w:val="18"/>
          <w:color w:val="auto"/>
        </w:rPr>
        <w:t>In June 2018, we completed the sale of our Guangzhou manufacturing facility in exchange for cash proceeds of $51.3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resulting in a pre-tax gain of $37.0 million.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$1.1 million for the three months ended June 30, 2018 compared to net other expense of $0.6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2017. This change was driven primarily by foreign currency losses associated with fluctuations in the Argentinian Peso and Chinese Yuan Renminbi exchange rates versus the U.S. Dollar.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$2.1 million for the three months ended June 30, 2018 compared to $1.4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Our effective tax rate was 8.4% for the three months ended June 30, 2018 compared to 23.2% for the three months ended June 30, 2017. The decrease in our effective tax rate was primarily a result of the tax rate applicable to the gain recognized on the sale of our Guangzhou factory being lower than our blended consolidated tax 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Six Months Ended June 30, 2017</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six months ended June 30, 2018 were $327.2 million, a decrease of 3.5% compared to $339.0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Net sales by our Business and Consumer lines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7.1</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in our Business lines (subscription broadcasting, OEM, and computing companies) were 91.5% of net sales for the six months ended June 30, 2018 compared to 92.9% for the six months ended June 30, 2017. Net sales in our Business lines for the six months ended June 30, 2018 decreased by 4.9% to $299.5 million from $314.9 million. The decrease in Business line net sales was driven primarily by decreased sales to subscription broadcasting customers in North America, which was largely driven by lower order levels from customers undergoing platform transitions. Additionally, we experienced a decrease in sales in Latin America, particularly in Brazil. These decreases were partially offset by increased sales of home security products, increased sales to consumer electronics companies in Asia, the continued rollout of higher end platforms in Europe, and the strengthening of the Euro exchange rate versus the U.S. Dollar.</w:t>
      </w:r>
    </w:p>
    <w:p>
      <w:pPr>
        <w:spacing w:after="0" w:line="13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8.5% of net sales for the six months ended June 30, 2018 compared to 7.1% for the six months ended June 30, 2017. Net sales in our Consumer lines for the six months ended June 30, 2018 increased by 14.9% to $27.7 million from $24.1 million during the six months ended June 30, 2017 driven primarily by growth in Europe and North America as well as the strengthening of the Euro exchange rate versus the U.S. Dollar.</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six months ended June 30, 2018 was $64.0 million compared to $84.8 million for the six months ended June 30, 2017.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as a percent of sales decreased to 19.5% for the six months ended June 30, 2018 compared to 25.0% for the six months ended June 30, 2017. The gross margin percentage was unfavorably impacted by factory underutilization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associated with ceasing manufacturing activities while transitioning our Asia operations onto our new global ERP system, which went live in Asia in April 2018; the strengthening of the Chinese Yuan Renminbi relative to the U.S. Dollar; inflation in the cost of certain components; and asset write-downs associated with the sale and closure of our Guangzhou factory. These unfavorable impacts were partially offset by production efficiencies achieved in our factories in China.</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16.0% to $12.1 million for the six months ended June 30, 2018 from $10.4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primarily due to our continued investment in the development of new products that enhance the user experience in home entertainment and home automation.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transition manufacturing activities from our southern-most</w:t>
      </w:r>
      <w:r>
        <w:rPr>
          <w:rFonts w:ascii="Arial" w:cs="Arial" w:eastAsia="Arial" w:hAnsi="Arial"/>
          <w:sz w:val="18"/>
          <w:szCs w:val="18"/>
          <w:i w:val="1"/>
          <w:iCs w:val="1"/>
          <w:color w:val="auto"/>
        </w:rPr>
        <w:t xml:space="preserve"> </w:t>
      </w:r>
      <w:r>
        <w:rPr>
          <w:rFonts w:ascii="Arial" w:cs="Arial" w:eastAsia="Arial" w:hAnsi="Arial"/>
          <w:sz w:val="18"/>
          <w:szCs w:val="18"/>
          <w:color w:val="auto"/>
        </w:rPr>
        <w:t>China factory, located in the city of Guangzhou in the Guangdong province, to our other China factories. As a result, we incurred severance costs of $5.7 million for the six months ended June 30, 2017.</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decreased slightly to $60.8 million for the six months ended June 30, 2018 from $61.7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2017.</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$2.3 million for the six months ended June 30, 2018 compared to net interest expense of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2017 as a result of an increased level of borrowings on our line of credit.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sale of Guangzhou factory. </w:t>
      </w:r>
      <w:r>
        <w:rPr>
          <w:rFonts w:ascii="Arial" w:cs="Arial" w:eastAsia="Arial" w:hAnsi="Arial"/>
          <w:sz w:val="18"/>
          <w:szCs w:val="18"/>
          <w:color w:val="auto"/>
        </w:rPr>
        <w:t>In June 2018, we completed the sale of our Guangzhou manufacturing facility in exchange for cash proceeds of $51.3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resulting in a pre-tax gain of $37.0 million.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$1.7 million for the six months ended June 30, 2018 compared to net other expense of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2017. This change was driven primarily by foreign currency losses associated with fluctuations in the Argentinian Peso, Chinese Yuan Renminbi and Euro exchange rates versus the U.S. Dollar.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$1.9 million for the six months ended June 30, 2018 compared to $1.1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Our effective tax rate was 8.0% for the six months ended June 30, 2018 compared to 18.9% for the six months ended June 30, 2017. The decrease in our effective tax rate was primarily a result of the tax rate applicable to the gain recognized on the sale of our Guangzhou factory being lower than our blended consolidated tax rate.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31,574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58,712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(27,138)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27,970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88"/>
              </w:rPr>
              <w:t>Effect of exchange rate changes on cash, cash equivalents and restricted cash</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Net increase (decrease) in cash, cash equivalents, and restricted cash</w:t>
            </w:r>
          </w:p>
        </w:tc>
        <w:tc>
          <w:tcPr>
            <w:tcW w:w="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99,099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24,737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74,362</w:t>
            </w:r>
          </w:p>
        </w:tc>
        <w:tc>
          <w:tcPr>
            <w:tcW w:w="0" w:type="dxa"/>
            <w:vAlign w:val="bottom"/>
          </w:tcPr>
          <w:p>
            <w:pPr>
              <w:spacing w:after="0"/>
              <w:rPr>
                <w:sz w:val="1"/>
                <w:szCs w:val="1"/>
                <w:color w:val="auto"/>
              </w:rPr>
            </w:pPr>
          </w:p>
        </w:tc>
      </w:tr>
      <w:tr>
        <w:trPr>
          <w:trHeight w:val="486"/>
        </w:trPr>
        <w:tc>
          <w:tcPr>
            <w:tcW w:w="5600" w:type="dxa"/>
            <w:vAlign w:val="bottom"/>
          </w:tcPr>
          <w:p>
            <w:pPr>
              <w:spacing w:after="0"/>
              <w:rPr>
                <w:sz w:val="24"/>
                <w:szCs w:val="24"/>
                <w:color w:val="auto"/>
              </w:rPr>
            </w:pPr>
          </w:p>
        </w:tc>
        <w:tc>
          <w:tcPr>
            <w:tcW w:w="420" w:type="dxa"/>
            <w:vAlign w:val="bottom"/>
            <w:gridSpan w:val="2"/>
          </w:tcPr>
          <w:p>
            <w:pPr>
              <w:jc w:val="right"/>
              <w:ind w:right="148"/>
              <w:spacing w:after="0"/>
              <w:rPr>
                <w:sz w:val="20"/>
                <w:szCs w:val="20"/>
                <w:color w:val="auto"/>
              </w:rPr>
            </w:pPr>
            <w:r>
              <w:rPr>
                <w:rFonts w:ascii="Arial" w:cs="Arial" w:eastAsia="Arial" w:hAnsi="Arial"/>
                <w:sz w:val="18"/>
                <w:szCs w:val="18"/>
                <w:color w:val="auto"/>
                <w:w w:val="89"/>
              </w:rPr>
              <w:t>31</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cash used for operating activities </w:t>
      </w:r>
      <w:r>
        <w:rPr>
          <w:rFonts w:ascii="Arial" w:cs="Arial" w:eastAsia="Arial" w:hAnsi="Arial"/>
          <w:sz w:val="16"/>
          <w:szCs w:val="16"/>
          <w:color w:val="auto"/>
        </w:rPr>
        <w:t>was $3.9 million during the six months ended June 30, 2018 compared to $4.9 million of net cash used for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during the six months ended June 30, 2017. Although net cash flows from operations were consistent between periods, accounts receivable produced cash inflows of $6.1 million during the six months ended June 30, 2018 versus cash outflows of $20.4 million during the six months ended June 30, 2017, largely as a result of decreased net sales in the second quarter of 2018. Inventory turns decreased from 3.9 turns at June 30, 2017 to 3.2 turns at June 30, 2018, primarily due to orders that were originally expected to be shipped in the first half of 2018 being pushed out to later periods as a result of delays in customer platform transitions. We expect inventory turns to improve in the second half of 2018 as these delayed launches commence.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investing activities </w:t>
      </w:r>
      <w:r>
        <w:rPr>
          <w:rFonts w:ascii="Arial" w:cs="Arial" w:eastAsia="Arial" w:hAnsi="Arial"/>
          <w:sz w:val="18"/>
          <w:szCs w:val="18"/>
          <w:color w:val="auto"/>
        </w:rPr>
        <w:t>during the six months ended June 30, 2018 was $31.6 million compared to cash used in investing activities of $27.1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six months ended June 30, 2017. The increase in cash provided by investing activities was driven primarily by the sale of our Guangzhou factory, which closed in June 2018 and generated cash proceeds of $51.3 million. Additionally, we invested $8.9 million to acquire the net assets of Residential Control Systems, Inc. in April 2017.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was $37.3 million during the six months ended June 30, 2018 compared to $28.0 million of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during the six months ended June 30, 2017. The change in financing activity cash flows was driven primarily by borrowing and repayment activity on our line of credit. During the six months ended June 30, 2018 we had net repayments on our line of credit of $27.0 million, compared to net borrowings of $42.0 million during the six months ended June 30, 2017.</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2018, we repurchased 224,979 shares of our common stock at a cost of $7.1 million compared to our repurchase of 239,470 shares at a cost of $14.9 million during the six months ended June 30, 2017. We hold these shares as treasury stock and they are available for reissue. Presently, we have no plans to distribute these shares, although we may change these plans if necessary to fulfill our on-going business objectives. See Note 11 contained in "Notes to Consolidated Financial Statements" for further information regarding our share repurchase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13,600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30,926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10,316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120"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Intelligent Technology, Inc. ("Ecolink") and RCS.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49"/>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4"/>
                <w:szCs w:val="24"/>
                <w:color w:val="auto"/>
              </w:rPr>
            </w:pP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Pr>
          <w:p>
            <w:pPr>
              <w:spacing w:after="0"/>
              <w:rPr>
                <w:sz w:val="24"/>
                <w:szCs w:val="24"/>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6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62,438</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Available borrowing resources</w:t>
            </w:r>
          </w:p>
        </w:tc>
        <w:tc>
          <w:tcPr>
            <w:tcW w:w="420" w:type="dxa"/>
            <w:vAlign w:val="bottom"/>
          </w:tcPr>
          <w:p>
            <w:pPr>
              <w:spacing w:after="0"/>
              <w:rPr>
                <w:sz w:val="21"/>
                <w:szCs w:val="21"/>
                <w:color w:val="auto"/>
              </w:rPr>
            </w:pPr>
          </w:p>
        </w:tc>
        <w:tc>
          <w:tcPr>
            <w:tcW w:w="1880" w:type="dxa"/>
            <w:vAlign w:val="bottom"/>
          </w:tcPr>
          <w:p>
            <w:pPr>
              <w:jc w:val="right"/>
              <w:ind w:right="36"/>
              <w:spacing w:after="0"/>
              <w:rPr>
                <w:sz w:val="20"/>
                <w:szCs w:val="20"/>
                <w:color w:val="auto"/>
              </w:rPr>
            </w:pPr>
            <w:r>
              <w:rPr>
                <w:rFonts w:ascii="Arial" w:cs="Arial" w:eastAsia="Arial" w:hAnsi="Arial"/>
                <w:sz w:val="18"/>
                <w:szCs w:val="18"/>
                <w:color w:val="auto"/>
              </w:rPr>
              <w:t>59,000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32,000</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not provided for the state income tax liability or foreign withholding tax on these amounts for financial statement purposes as this cash is considered indefinitely reinvested outside of the United States. Our intent is to meet our domestic liquidity needs through ongoing cash flows, external borrowings, or both.</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30, 2018, we had $6.5 million, $34.7 million, $1.3 million, $8.1 million and $8.8 million of cash and cash equivalents in the United States, the PRC, Asia (excluding the PRC), Europe, and South America, respectively. On December 31, 2017, we had $10.5 million, $23.3 million, $1.4 million, $18.1 million, and $9.2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and Wells Fargo Bank, National Association provides for a $170.0 million revolving line of credit ("Credit Line") that expires on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June 30,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First Amendment to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June 30, 2018 was 3.84%.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June 30, 2018, we were in compliance with the covenants and conditions of the Second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we had an outstanding balance of $111.0 million on our Credit Line and $59.0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2017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failure to grow as we anticipated, their internal inventory control measures,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and regulations may have on our business; the growth of, acceptance of and the demand for our products and technologies in various markets and geographical regions, including cable, satellite, consumer electronics, retail, and digital media and interactive technology; our successful integration of the Ecolink and RCS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our inability to successfully and profitably restructure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$0.8 million annual impact on net income based on our outstanding line of credit balance at June 30, 2018.</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June 30, 2018, we had wholly-owned subsidiaries in Argentina, Brazil,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2018,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June 30, 2018, net income in the second quarter of 2018 would fluctuate by approximately $9.6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2018, we implemented the second phase of a multi-year, company-wide program to transition to a new global enterprise resource planning ("ERP") software system. This second phase included our Asia operations, and thus now our North America and Asia operations are utilizing this new ERP system. In connection with this implementation, the design of our internal controls over financial reporting remained largely intact; however, we have updated our affected internal controls over financial reporting as necessary to accommodate modifications to our business processes and accounting processes. This global ERP implementation effort is projected to continue through 2019. We do not believe that the ERP implementation has or will have an adverse effect on our internal control over financial reporting.</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Except as described above, there have been no other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presented below updates and supplements the risk factors discussed in "Part I, Item 1A: Risk Factors" of the Company's 2017 Annual Report on Form 10-K incorporated herein by reference. The reader should carefully consider these risk factors in connection with the other information in this report. These factors may cause our actual results to differ materially from those stated in forward-looking statements contained in this document and elsewhere.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Business Risk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our businesses worldwide. There are risks inherent in doing business internationally, including global financial market turmoil; economic volatility and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subjects us to risks relating to political or social unrest, as well as corruption and government regulation, including U.S. laws such as the Foreign Corrupt Practices Act, that impose stringent requirements on how we conduct our foreign operations. If any of these events occur, our businesses may be adversely affected, and costs as well as timing to mitigate these risks are difficult to estimate and may exceed management's expectations.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2018,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 Shares</w:t>
            </w:r>
          </w:p>
        </w:tc>
        <w:tc>
          <w:tcPr>
            <w:tcW w:w="140" w:type="dxa"/>
            <w:vAlign w:val="bottom"/>
          </w:tcPr>
          <w:p>
            <w:pPr>
              <w:spacing w:after="0"/>
              <w:rPr>
                <w:sz w:val="14"/>
                <w:szCs w:val="14"/>
                <w:color w:val="auto"/>
              </w:rPr>
            </w:pPr>
          </w:p>
        </w:tc>
        <w:tc>
          <w:tcPr>
            <w:tcW w:w="146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Total Dollar Value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xml:space="preserve">Shares Purchased </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(3)</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 April 30, 2018</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May 1, 2018 - May 31, 2018</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87,013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85,826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40"/>
              <w:spacing w:after="0"/>
              <w:rPr>
                <w:sz w:val="20"/>
                <w:szCs w:val="20"/>
                <w:color w:val="auto"/>
              </w:rPr>
            </w:pPr>
            <w:r>
              <w:rPr>
                <w:rFonts w:ascii="Arial" w:cs="Arial" w:eastAsia="Arial" w:hAnsi="Arial"/>
                <w:sz w:val="18"/>
                <w:szCs w:val="18"/>
                <w:color w:val="auto"/>
              </w:rPr>
              <w:t>2,614,243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20"/>
              <w:spacing w:after="0"/>
              <w:rPr>
                <w:sz w:val="20"/>
                <w:szCs w:val="20"/>
                <w:color w:val="auto"/>
              </w:rPr>
            </w:pPr>
            <w:r>
              <w:rPr>
                <w:rFonts w:ascii="Arial" w:cs="Arial" w:eastAsia="Arial" w:hAnsi="Arial"/>
                <w:sz w:val="18"/>
                <w:szCs w:val="18"/>
                <w:color w:val="auto"/>
              </w:rPr>
              <w:t>7,385,757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2018 - June 30, 2018</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123,387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122,696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3,773,019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3,612,738</w:t>
            </w:r>
          </w:p>
        </w:tc>
        <w:tc>
          <w:tcPr>
            <w:tcW w:w="0" w:type="dxa"/>
            <w:vAlign w:val="bottom"/>
          </w:tcPr>
          <w:p>
            <w:pPr>
              <w:spacing w:after="0"/>
              <w:rPr>
                <w:sz w:val="1"/>
                <w:szCs w:val="1"/>
                <w:color w:val="auto"/>
              </w:rPr>
            </w:pPr>
          </w:p>
        </w:tc>
      </w:tr>
      <w:tr>
        <w:trPr>
          <w:trHeight w:val="257"/>
        </w:trPr>
        <w:tc>
          <w:tcPr>
            <w:tcW w:w="30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211,441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208,522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6,387,262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Of the repurchases in April, May and June, 1,041, 1,187 and 691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Amounts in this column reflect the weighted average price paid for shares purchased under our share repurchase authorizations. The weighted average price includes commissions paid to brokers on shares purchased under our share repurchase authorizations.</w:t>
      </w:r>
    </w:p>
    <w:p>
      <w:pPr>
        <w:spacing w:after="0" w:line="95" w:lineRule="exact"/>
        <w:rPr>
          <w:rFonts w:ascii="Arial" w:cs="Arial" w:eastAsia="Arial" w:hAnsi="Arial"/>
          <w:sz w:val="25"/>
          <w:szCs w:val="25"/>
          <w:color w:val="auto"/>
          <w:vertAlign w:val="superscript"/>
        </w:rPr>
      </w:pPr>
    </w:p>
    <w:p>
      <w:pPr>
        <w:jc w:val="both"/>
        <w:ind w:left="660" w:hanging="328"/>
        <w:spacing w:after="0" w:line="262"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On May 11, 2018, our board of directors approved a repurchase plan authorizing the repurchase of up to $10.0 million of our common stock. Under this authorization, shares may be repurchased in privately negotiated and/or open market transactions, including under plans complying with Rule 10b5-1 under the Exchange Act. On June 30, 2018, we had $3.6 million of authorized repurchases remaining under the Board's authorizations.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20" w:type="dxa"/>
            <w:vAlign w:val="bottom"/>
            <w:gridSpan w:val="10"/>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320" w:type="dxa"/>
            <w:vAlign w:val="bottom"/>
          </w:tcPr>
          <w:p>
            <w:pPr>
              <w:jc w:val="right"/>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100" w:type="dxa"/>
            <w:vAlign w:val="bottom"/>
          </w:tcPr>
          <w:p>
            <w:pPr>
              <w:spacing w:after="0"/>
              <w:rPr>
                <w:sz w:val="24"/>
                <w:szCs w:val="24"/>
                <w:color w:val="auto"/>
              </w:rPr>
            </w:pPr>
          </w:p>
        </w:tc>
        <w:tc>
          <w:tcPr>
            <w:tcW w:w="9380" w:type="dxa"/>
            <w:vAlign w:val="bottom"/>
            <w:gridSpan w:val="11"/>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First Amendment To Second Amended and Restated Credit Agreement dated as of May 4, 2018 between Universal Electronics</w:t>
              </w:r>
            </w:hyperlink>
          </w:p>
        </w:tc>
      </w:tr>
      <w:tr>
        <w:trPr>
          <w:trHeight w:val="196"/>
        </w:trPr>
        <w:tc>
          <w:tcPr>
            <w:tcW w:w="32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Inc. and U.S. Bank National Association and Wells Fargo Bank, National Association (filed herewith)</w:t>
              </w:r>
            </w:hyperlink>
          </w:p>
        </w:tc>
        <w:tc>
          <w:tcPr>
            <w:tcW w:w="1800" w:type="dxa"/>
            <w:vAlign w:val="bottom"/>
            <w:tcBorders>
              <w:top w:val="single" w:sz="8" w:color="0000FF"/>
            </w:tcBorders>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372"/>
        </w:trPr>
        <w:tc>
          <w:tcPr>
            <w:tcW w:w="320" w:type="dxa"/>
            <w:vAlign w:val="bottom"/>
          </w:tcPr>
          <w:p>
            <w:pPr>
              <w:jc w:val="right"/>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100" w:type="dxa"/>
            <w:vAlign w:val="bottom"/>
          </w:tcPr>
          <w:p>
            <w:pPr>
              <w:spacing w:after="0"/>
              <w:rPr>
                <w:sz w:val="24"/>
                <w:szCs w:val="24"/>
                <w:color w:val="auto"/>
              </w:rPr>
            </w:pPr>
          </w:p>
        </w:tc>
        <w:tc>
          <w:tcPr>
            <w:tcW w:w="9380" w:type="dxa"/>
            <w:vAlign w:val="bottom"/>
            <w:gridSpan w:val="11"/>
          </w:tcPr>
          <w:p>
            <w:pPr>
              <w:spacing w:after="0"/>
              <w:rPr>
                <w:rFonts w:ascii="Arial" w:cs="Arial" w:eastAsia="Arial" w:hAnsi="Arial"/>
                <w:sz w:val="18"/>
                <w:szCs w:val="18"/>
                <w:color w:val="0000FF"/>
                <w:w w:val="95"/>
              </w:rPr>
            </w:pPr>
            <w:hyperlink w:anchor="page46">
              <w:r>
                <w:rPr>
                  <w:rFonts w:ascii="Arial" w:cs="Arial" w:eastAsia="Arial" w:hAnsi="Arial"/>
                  <w:sz w:val="18"/>
                  <w:szCs w:val="18"/>
                  <w:color w:val="0000FF"/>
                  <w:w w:val="95"/>
                </w:rPr>
                <w:t>Termination of Equity Transfer Agreement dated April 17, 2018 between CG Development Limited and Guangzhou Junhao</w:t>
              </w:r>
            </w:hyperlink>
          </w:p>
        </w:tc>
      </w:tr>
      <w:tr>
        <w:trPr>
          <w:trHeight w:val="196"/>
        </w:trPr>
        <w:tc>
          <w:tcPr>
            <w:tcW w:w="32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Investment Co., Ltd. and Gemstar Technology (China) Co., Limited (filed herewith)</w:t>
              </w:r>
            </w:hyperlink>
          </w:p>
        </w:tc>
        <w:tc>
          <w:tcPr>
            <w:tcW w:w="33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100" w:type="dxa"/>
            <w:vAlign w:val="bottom"/>
          </w:tcPr>
          <w:p>
            <w:pPr>
              <w:spacing w:after="0"/>
              <w:rPr>
                <w:sz w:val="24"/>
                <w:szCs w:val="24"/>
                <w:color w:val="auto"/>
              </w:rPr>
            </w:pPr>
          </w:p>
        </w:tc>
        <w:tc>
          <w:tcPr>
            <w:tcW w:w="938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Share Transfer Agreement dated April 23, 2018 between C.G. Development Limited and Guangzhou MuXia Hotel Management</w:t>
              </w:r>
            </w:hyperlink>
          </w:p>
        </w:tc>
      </w:tr>
      <w:tr>
        <w:trPr>
          <w:trHeight w:val="196"/>
        </w:trPr>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80" w:type="dxa"/>
            <w:vAlign w:val="bottom"/>
            <w:gridSpan w:val="11"/>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Co. Ltd. and Gemstar Technology (China) Co., Ltd. (filed herewith)</w:t>
              </w:r>
            </w:hyperlink>
          </w:p>
        </w:tc>
      </w:tr>
      <w:tr>
        <w:trPr>
          <w:trHeight w:val="372"/>
        </w:trPr>
        <w:tc>
          <w:tcPr>
            <w:tcW w:w="320" w:type="dxa"/>
            <w:vAlign w:val="bottom"/>
          </w:tcPr>
          <w:p>
            <w:pPr>
              <w:jc w:val="right"/>
              <w:spacing w:after="0"/>
              <w:rPr>
                <w:rFonts w:ascii="Arial" w:cs="Arial" w:eastAsia="Arial" w:hAnsi="Arial"/>
                <w:sz w:val="18"/>
                <w:szCs w:val="18"/>
                <w:color w:val="0000FF"/>
                <w:w w:val="85"/>
              </w:rPr>
            </w:pPr>
            <w:hyperlink w:anchor="page6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100" w:type="dxa"/>
            <w:vAlign w:val="bottom"/>
          </w:tcPr>
          <w:p>
            <w:pPr>
              <w:spacing w:after="0"/>
              <w:rPr>
                <w:sz w:val="24"/>
                <w:szCs w:val="24"/>
                <w:color w:val="auto"/>
              </w:rPr>
            </w:pPr>
          </w:p>
        </w:tc>
        <w:tc>
          <w:tcPr>
            <w:tcW w:w="4880" w:type="dxa"/>
            <w:vAlign w:val="bottom"/>
            <w:tcBorders>
              <w:top w:val="single" w:sz="8" w:color="0000FF"/>
            </w:tcBorders>
            <w:gridSpan w:val="4"/>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2018 Equity and Incentive Compensation Plan</w:t>
              </w:r>
            </w:hyperlink>
          </w:p>
        </w:tc>
        <w:tc>
          <w:tcPr>
            <w:tcW w:w="4500" w:type="dxa"/>
            <w:vAlign w:val="bottom"/>
            <w:gridSpan w:val="7"/>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20" w:type="dxa"/>
            <w:vAlign w:val="bottom"/>
          </w:tcPr>
          <w:p>
            <w:pPr>
              <w:jc w:val="right"/>
              <w:spacing w:after="0"/>
              <w:rPr>
                <w:rFonts w:ascii="Arial" w:cs="Arial" w:eastAsia="Arial" w:hAnsi="Arial"/>
                <w:sz w:val="18"/>
                <w:szCs w:val="18"/>
                <w:color w:val="0000FF"/>
                <w:w w:val="85"/>
              </w:rPr>
            </w:pPr>
            <w:hyperlink w:anchor="page7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1100" w:type="dxa"/>
            <w:vAlign w:val="bottom"/>
          </w:tcPr>
          <w:p>
            <w:pPr>
              <w:spacing w:after="0"/>
              <w:rPr>
                <w:sz w:val="24"/>
                <w:szCs w:val="24"/>
                <w:color w:val="auto"/>
              </w:rPr>
            </w:pPr>
          </w:p>
        </w:tc>
        <w:tc>
          <w:tcPr>
            <w:tcW w:w="9380" w:type="dxa"/>
            <w:vAlign w:val="bottom"/>
            <w:gridSpan w:val="1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Form of Restricted Stock Award Agreement under the 2018 Equity and Incentive Compensation Plan</w:t>
              </w:r>
            </w:hyperlink>
          </w:p>
        </w:tc>
      </w:tr>
      <w:tr>
        <w:trPr>
          <w:trHeight w:val="372"/>
        </w:trPr>
        <w:tc>
          <w:tcPr>
            <w:tcW w:w="320" w:type="dxa"/>
            <w:vAlign w:val="bottom"/>
            <w:tcBorders>
              <w:top w:val="single" w:sz="8" w:color="0000FF"/>
              <w:bottom w:val="single" w:sz="8" w:color="0000FF"/>
            </w:tcBorders>
          </w:tcPr>
          <w:p>
            <w:pPr>
              <w:jc w:val="right"/>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1100" w:type="dxa"/>
            <w:vAlign w:val="bottom"/>
          </w:tcPr>
          <w:p>
            <w:pPr>
              <w:spacing w:after="0"/>
              <w:rPr>
                <w:sz w:val="24"/>
                <w:szCs w:val="24"/>
                <w:color w:val="auto"/>
              </w:rPr>
            </w:pPr>
          </w:p>
        </w:tc>
        <w:tc>
          <w:tcPr>
            <w:tcW w:w="65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Form of Stock Option Agreement under the 2018 Equity and Incentive Compensation Plan</w:t>
              </w:r>
            </w:hyperlink>
          </w:p>
        </w:tc>
        <w:tc>
          <w:tcPr>
            <w:tcW w:w="740" w:type="dxa"/>
            <w:vAlign w:val="bottom"/>
            <w:tcBorders>
              <w:top w:val="single" w:sz="8" w:color="0000FF"/>
            </w:tcBorders>
          </w:tcPr>
          <w:p>
            <w:pPr>
              <w:spacing w:after="0"/>
              <w:rPr>
                <w:sz w:val="24"/>
                <w:szCs w:val="24"/>
                <w:color w:val="auto"/>
              </w:rPr>
            </w:pPr>
          </w:p>
        </w:tc>
        <w:tc>
          <w:tcPr>
            <w:tcW w:w="2100" w:type="dxa"/>
            <w:vAlign w:val="bottom"/>
            <w:gridSpan w:val="4"/>
          </w:tcPr>
          <w:p>
            <w:pPr>
              <w:spacing w:after="0"/>
              <w:rPr>
                <w:sz w:val="24"/>
                <w:szCs w:val="24"/>
                <w:color w:val="auto"/>
              </w:rPr>
            </w:pPr>
          </w:p>
        </w:tc>
      </w:tr>
      <w:tr>
        <w:trPr>
          <w:trHeight w:val="372"/>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7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100" w:type="dxa"/>
            <w:vAlign w:val="bottom"/>
          </w:tcPr>
          <w:p>
            <w:pPr>
              <w:spacing w:after="0"/>
              <w:rPr>
                <w:sz w:val="24"/>
                <w:szCs w:val="24"/>
                <w:color w:val="auto"/>
              </w:rPr>
            </w:pPr>
          </w:p>
        </w:tc>
        <w:tc>
          <w:tcPr>
            <w:tcW w:w="9380" w:type="dxa"/>
            <w:vAlign w:val="bottom"/>
            <w:tcBorders>
              <w:bottom w:val="single" w:sz="8" w:color="0000FF"/>
            </w:tcBorders>
            <w:gridSpan w:val="11"/>
          </w:tcPr>
          <w:p>
            <w:pPr>
              <w:spacing w:after="0"/>
              <w:rPr>
                <w:rFonts w:ascii="Arial" w:cs="Arial" w:eastAsia="Arial" w:hAnsi="Arial"/>
                <w:sz w:val="18"/>
                <w:szCs w:val="18"/>
                <w:color w:val="0000FF"/>
                <w:w w:val="96"/>
              </w:rPr>
            </w:pPr>
            <w:hyperlink w:anchor="page79">
              <w:r>
                <w:rPr>
                  <w:rFonts w:ascii="Arial" w:cs="Arial" w:eastAsia="Arial" w:hAnsi="Arial"/>
                  <w:sz w:val="18"/>
                  <w:szCs w:val="18"/>
                  <w:color w:val="0000FF"/>
                  <w:w w:val="96"/>
                </w:rPr>
                <w:t>Rule 13a-14(a) Certifications of Paul D. Arling, Chief Executive Officer (principal executive officer) of Universal Electronics</w:t>
              </w:r>
            </w:hyperlink>
          </w:p>
        </w:tc>
      </w:tr>
      <w:tr>
        <w:trPr>
          <w:trHeight w:val="196"/>
        </w:trPr>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80" w:type="dxa"/>
            <w:vAlign w:val="bottom"/>
            <w:gridSpan w:val="11"/>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Inc.</w:t>
              </w:r>
            </w:hyperlink>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20" w:type="dxa"/>
            <w:vAlign w:val="bottom"/>
          </w:tcPr>
          <w:p>
            <w:pPr>
              <w:jc w:val="right"/>
              <w:spacing w:after="0"/>
              <w:rPr>
                <w:rFonts w:ascii="Arial" w:cs="Arial" w:eastAsia="Arial" w:hAnsi="Arial"/>
                <w:sz w:val="18"/>
                <w:szCs w:val="18"/>
                <w:color w:val="0000FF"/>
                <w:w w:val="85"/>
              </w:rPr>
            </w:pPr>
            <w:hyperlink w:anchor="page8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100" w:type="dxa"/>
            <w:vAlign w:val="bottom"/>
          </w:tcPr>
          <w:p>
            <w:pPr>
              <w:spacing w:after="0"/>
              <w:rPr>
                <w:sz w:val="24"/>
                <w:szCs w:val="24"/>
                <w:color w:val="auto"/>
              </w:rPr>
            </w:pPr>
          </w:p>
        </w:tc>
        <w:tc>
          <w:tcPr>
            <w:tcW w:w="9380" w:type="dxa"/>
            <w:vAlign w:val="bottom"/>
            <w:gridSpan w:val="11"/>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Rule 13a-14(a) Certifications of Bryan M. Hackworth, Chief Financial Officer (principal financial officer and principal</w:t>
              </w:r>
            </w:hyperlink>
          </w:p>
        </w:tc>
      </w:tr>
      <w:tr>
        <w:trPr>
          <w:trHeight w:val="196"/>
        </w:trPr>
        <w:tc>
          <w:tcPr>
            <w:tcW w:w="32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w:anchor="page80">
              <w:r>
                <w:rPr>
                  <w:rFonts w:ascii="Arial" w:cs="Arial" w:eastAsia="Arial" w:hAnsi="Arial"/>
                  <w:sz w:val="18"/>
                  <w:szCs w:val="18"/>
                  <w:color w:val="0000FF"/>
                  <w:w w:val="92"/>
                </w:rPr>
                <w:t>accounting officer) of Universal Electronics Inc.</w:t>
              </w:r>
            </w:hyperlink>
          </w:p>
        </w:tc>
        <w:tc>
          <w:tcPr>
            <w:tcW w:w="588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bl>
    <w:p>
      <w:pPr>
        <w:spacing w:after="0" w:line="188" w:lineRule="exact"/>
        <w:rPr>
          <w:sz w:val="20"/>
          <w:szCs w:val="20"/>
          <w:color w:val="auto"/>
        </w:rPr>
      </w:pPr>
    </w:p>
    <w:p>
      <w:pPr>
        <w:jc w:val="both"/>
        <w:ind w:left="1800" w:hanging="1414"/>
        <w:spacing w:after="0" w:line="264" w:lineRule="auto"/>
        <w:tabs>
          <w:tab w:leader="none" w:pos="1800" w:val="left"/>
        </w:tabs>
        <w:numPr>
          <w:ilvl w:val="0"/>
          <w:numId w:val="16"/>
        </w:numPr>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Section 1350 Certifications of Paul D. Arling, Chief Executive Officer (principal executive officer) of Universal Electronics Inc.,</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and Bryan M. Hackworth, Chief Financial Officer (principal financial officer and principal accounting officer) of Universal</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Electronics Inc., pursuant to 18 U.S.C. Section 1350</w:t>
        </w:r>
      </w:hyperlink>
    </w:p>
    <w:p>
      <w:pPr>
        <w:spacing w:after="0" w:line="141" w:lineRule="exact"/>
        <w:rPr>
          <w:rFonts w:ascii="Arial" w:cs="Arial" w:eastAsia="Arial" w:hAnsi="Arial"/>
          <w:sz w:val="18"/>
          <w:szCs w:val="18"/>
          <w:u w:val="single" w:color="auto"/>
          <w:color w:val="0000FF"/>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118" w:right="4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w w:val="92"/>
              </w:rPr>
              <w:t>Dated:August 8, 2018</w:t>
            </w: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740" w:type="dxa"/>
            <w:vAlign w:val="bottom"/>
          </w:tcPr>
          <w:p>
            <w:pPr>
              <w:spacing w:after="0"/>
              <w:rPr>
                <w:sz w:val="24"/>
                <w:szCs w:val="24"/>
                <w:color w:val="auto"/>
              </w:rPr>
            </w:pPr>
          </w:p>
        </w:tc>
        <w:tc>
          <w:tcPr>
            <w:tcW w:w="250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7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740" w:type="dxa"/>
            <w:vAlign w:val="bottom"/>
          </w:tcPr>
          <w:p>
            <w:pPr>
              <w:spacing w:after="0"/>
              <w:rPr>
                <w:sz w:val="24"/>
                <w:szCs w:val="24"/>
                <w:color w:val="auto"/>
              </w:rPr>
            </w:pPr>
          </w:p>
        </w:tc>
        <w:tc>
          <w:tcPr>
            <w:tcW w:w="2500" w:type="dxa"/>
            <w:vAlign w:val="bottom"/>
          </w:tcPr>
          <w:p>
            <w:pPr>
              <w:ind w:left="1840"/>
              <w:spacing w:after="0"/>
              <w:rPr>
                <w:sz w:val="20"/>
                <w:szCs w:val="20"/>
                <w:color w:val="auto"/>
              </w:rPr>
            </w:pPr>
            <w:r>
              <w:rPr>
                <w:rFonts w:ascii="Arial" w:cs="Arial" w:eastAsia="Arial" w:hAnsi="Arial"/>
                <w:sz w:val="18"/>
                <w:szCs w:val="18"/>
                <w:color w:val="auto"/>
              </w:rPr>
              <w:t>39</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This First Amendment to Second Amended and Restated Credit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May 4, 2018, is by and between UNIVERSAL ELECTRONICS INC., a corporation organized under the laws of the State of Delaware (the “</w:t>
      </w:r>
      <w:r>
        <w:rPr>
          <w:rFonts w:ascii="Arial" w:cs="Arial" w:eastAsia="Arial" w:hAnsi="Arial"/>
          <w:sz w:val="21"/>
          <w:szCs w:val="21"/>
          <w:u w:val="single" w:color="auto"/>
          <w:color w:val="auto"/>
        </w:rPr>
        <w:t>Borrower</w:t>
      </w:r>
      <w:r>
        <w:rPr>
          <w:rFonts w:ascii="Arial" w:cs="Arial" w:eastAsia="Arial" w:hAnsi="Arial"/>
          <w:sz w:val="21"/>
          <w:szCs w:val="21"/>
          <w:color w:val="auto"/>
        </w:rPr>
        <w:t>”), the lenders party hereto (each a “</w:t>
      </w:r>
      <w:r>
        <w:rPr>
          <w:rFonts w:ascii="Arial" w:cs="Arial" w:eastAsia="Arial" w:hAnsi="Arial"/>
          <w:sz w:val="21"/>
          <w:szCs w:val="21"/>
          <w:u w:val="single" w:color="auto"/>
          <w:color w:val="auto"/>
        </w:rPr>
        <w:t>Lender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and U.S. BANK NATIONAL ASSOCIATION, a national banking association, as administrative agent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260" w:firstLine="656"/>
        <w:spacing w:after="0" w:line="253" w:lineRule="auto"/>
        <w:tabs>
          <w:tab w:leader="none" w:pos="1071"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Borrower, the Lenders and the Administrative Agent have entered into a Second Amended and Restated Credit Agreement dated as of October 27, 2017 (as amended, restated, supplemented, or otherwise modified prior to the date hereof,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120" w:firstLine="656"/>
        <w:spacing w:after="0" w:line="253" w:lineRule="auto"/>
        <w:tabs>
          <w:tab w:leader="none" w:pos="1059"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Borrower has requested that the Lenders and the Administrative Agent make certain amendments to the Credit Agreement and the Required Lenders and the Administrative Agent are willing to do so, on the terms and subject to the conditions set forth herein.</w:t>
      </w:r>
    </w:p>
    <w:p>
      <w:pPr>
        <w:spacing w:after="0" w:line="186" w:lineRule="exact"/>
        <w:rPr>
          <w:sz w:val="20"/>
          <w:szCs w:val="20"/>
          <w:color w:val="auto"/>
        </w:rPr>
      </w:pPr>
    </w:p>
    <w:p>
      <w:pPr>
        <w:ind w:right="1200" w:firstLine="648"/>
        <w:spacing w:after="0" w:line="287" w:lineRule="auto"/>
        <w:rPr>
          <w:sz w:val="20"/>
          <w:szCs w:val="20"/>
          <w:color w:val="auto"/>
        </w:rPr>
      </w:pPr>
      <w:r>
        <w:rPr>
          <w:rFonts w:ascii="Arial" w:cs="Arial" w:eastAsia="Arial" w:hAnsi="Arial"/>
          <w:sz w:val="21"/>
          <w:szCs w:val="21"/>
          <w:color w:val="auto"/>
        </w:rPr>
        <w:t>NOW, THEREFORE, in consideration of the mutual promises herein set forth and for other good and valuable consideration, the Borrower, the Required Lenders and the Administrative Agent agree as follows:</w:t>
      </w:r>
    </w:p>
    <w:p>
      <w:pPr>
        <w:spacing w:after="0" w:line="146"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Capitalized Terms</w:t>
      </w:r>
      <w:r>
        <w:rPr>
          <w:rFonts w:ascii="Arial" w:cs="Arial" w:eastAsia="Arial" w:hAnsi="Arial"/>
          <w:sz w:val="22"/>
          <w:szCs w:val="22"/>
          <w:color w:val="auto"/>
        </w:rPr>
        <w:t>. Capitalized terms used herein and not otherwise defined herein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assigned to them in the Credit Agreement, unless the context shall otherwise require.</w:t>
      </w:r>
    </w:p>
    <w:p>
      <w:pPr>
        <w:spacing w:after="0" w:line="16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u w:val="single" w:color="auto"/>
          <w:color w:val="auto"/>
        </w:rPr>
        <w:t>Amendments</w:t>
      </w:r>
      <w:r>
        <w:rPr>
          <w:rFonts w:ascii="Arial" w:cs="Arial" w:eastAsia="Arial" w:hAnsi="Arial"/>
          <w:sz w:val="19"/>
          <w:szCs w:val="19"/>
          <w:color w:val="auto"/>
        </w:rPr>
        <w:t>. The Credit Agreement is hereby amended as follows:</w:t>
      </w:r>
    </w:p>
    <w:p>
      <w:pPr>
        <w:spacing w:after="0" w:line="233" w:lineRule="exact"/>
        <w:rPr>
          <w:sz w:val="20"/>
          <w:szCs w:val="20"/>
          <w:color w:val="auto"/>
        </w:rPr>
      </w:pPr>
    </w:p>
    <w:p>
      <w:pPr>
        <w:ind w:left="1220"/>
        <w:spacing w:after="0"/>
        <w:tabs>
          <w:tab w:leader="none" w:pos="16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239" w:lineRule="exact"/>
        <w:rPr>
          <w:sz w:val="20"/>
          <w:szCs w:val="20"/>
          <w:color w:val="auto"/>
        </w:rPr>
      </w:pPr>
    </w:p>
    <w:p>
      <w:pPr>
        <w:jc w:val="both"/>
        <w:ind w:left="1300" w:right="220" w:firstLine="653"/>
        <w:spacing w:after="0" w:line="260" w:lineRule="auto"/>
        <w:tabs>
          <w:tab w:leader="none" w:pos="2368"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Section 1.1 of the Credit Agreement is amended by adding a new sentence immediately following the period punctuation at the end of the definition of “</w:t>
      </w:r>
      <w:r>
        <w:rPr>
          <w:rFonts w:ascii="Arial" w:cs="Arial" w:eastAsia="Arial" w:hAnsi="Arial"/>
          <w:sz w:val="22"/>
          <w:szCs w:val="22"/>
          <w:u w:val="single" w:color="auto"/>
          <w:color w:val="auto"/>
        </w:rPr>
        <w:t>Consolidated Total Funded Debt</w:t>
      </w:r>
      <w:r>
        <w:rPr>
          <w:rFonts w:ascii="Arial" w:cs="Arial" w:eastAsia="Arial" w:hAnsi="Arial"/>
          <w:sz w:val="22"/>
          <w:szCs w:val="22"/>
          <w:color w:val="auto"/>
        </w:rPr>
        <w:t>” contained therein, which shall read as follows:</w:t>
      </w:r>
    </w:p>
    <w:p>
      <w:pPr>
        <w:spacing w:after="0" w:line="177" w:lineRule="exact"/>
        <w:rPr>
          <w:sz w:val="20"/>
          <w:szCs w:val="20"/>
          <w:color w:val="auto"/>
        </w:rPr>
      </w:pPr>
    </w:p>
    <w:p>
      <w:pPr>
        <w:ind w:left="1960" w:right="360" w:firstLine="648"/>
        <w:spacing w:after="0" w:line="248" w:lineRule="auto"/>
        <w:rPr>
          <w:sz w:val="20"/>
          <w:szCs w:val="20"/>
          <w:color w:val="auto"/>
        </w:rPr>
      </w:pPr>
      <w:r>
        <w:rPr>
          <w:rFonts w:ascii="Arial" w:cs="Arial" w:eastAsia="Arial" w:hAnsi="Arial"/>
          <w:sz w:val="22"/>
          <w:szCs w:val="22"/>
          <w:color w:val="auto"/>
        </w:rPr>
        <w:t>“Notwithstanding anything to the contrary in this Agreement, for purposes of calculating the Consolidated Cash Flow Leverage Ratio, Consolidated Total Funded Debt as it relates to clause (e) of the definition of “Indebtedness” shall exclude (i) intercompany trade payables; provided that any such intercompany trade payables that are outstanding for more than 120 days shall only be excluded in an amount not to exceed</w:t>
      </w:r>
    </w:p>
    <w:p>
      <w:pPr>
        <w:sectPr>
          <w:pgSz w:w="11900" w:h="16838" w:orient="portrait"/>
          <w:cols w:equalWidth="0" w:num="1">
            <w:col w:w="11420"/>
          </w:cols>
          <w:pgMar w:left="240" w:top="580" w:right="239" w:bottom="1440" w:gutter="0" w:footer="0" w:header="0"/>
        </w:sectPr>
      </w:pPr>
    </w:p>
    <w:bookmarkStart w:id="40" w:name="page41"/>
    <w:bookmarkEnd w:id="40"/>
    <w:p>
      <w:pPr>
        <w:ind w:left="1960"/>
        <w:spacing w:after="0" w:line="263" w:lineRule="auto"/>
        <w:rPr>
          <w:sz w:val="20"/>
          <w:szCs w:val="20"/>
          <w:color w:val="auto"/>
        </w:rPr>
      </w:pPr>
      <w:r>
        <w:rPr>
          <w:rFonts w:ascii="Arial" w:cs="Arial" w:eastAsia="Arial" w:hAnsi="Arial"/>
          <w:sz w:val="21"/>
          <w:szCs w:val="21"/>
          <w:color w:val="auto"/>
        </w:rPr>
        <w:t>$3,000,000 at any time and (ii) the long-term portion of any deferred or contingent consideration incurred in connection with an Acquisition; provided; however; no amount of any such long-term deferred or contingent consideration shall be excluded under this clause in excess of an aggregate deferred or contingent consideration of $20,000,000 at any time (including for these purposes, for the avoidance of doubt, the short-term portion of any such deferred or contingent considerations).”</w:t>
      </w:r>
    </w:p>
    <w:p>
      <w:pPr>
        <w:spacing w:after="0" w:line="170" w:lineRule="exact"/>
        <w:rPr>
          <w:sz w:val="20"/>
          <w:szCs w:val="20"/>
          <w:color w:val="auto"/>
        </w:rPr>
      </w:pPr>
    </w:p>
    <w:p>
      <w:pPr>
        <w:ind w:right="100" w:firstLine="648"/>
        <w:spacing w:after="0" w:line="282" w:lineRule="auto"/>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u w:val="single" w:color="auto"/>
          <w:color w:val="auto"/>
        </w:rPr>
        <w:t>Conditions and Effectiveness</w:t>
      </w:r>
      <w:r>
        <w:rPr>
          <w:rFonts w:ascii="Arial" w:cs="Arial" w:eastAsia="Arial" w:hAnsi="Arial"/>
          <w:sz w:val="22"/>
          <w:szCs w:val="22"/>
          <w:color w:val="auto"/>
        </w:rPr>
        <w:t>. This Amendment shall become effective only upon satisfaction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w:t>
      </w:r>
    </w:p>
    <w:p>
      <w:pPr>
        <w:spacing w:after="0" w:line="148" w:lineRule="exact"/>
        <w:rPr>
          <w:sz w:val="20"/>
          <w:szCs w:val="20"/>
          <w:color w:val="auto"/>
        </w:rPr>
      </w:pPr>
    </w:p>
    <w:p>
      <w:pPr>
        <w:ind w:left="1220"/>
        <w:spacing w:after="0"/>
        <w:tabs>
          <w:tab w:leader="none" w:pos="16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color w:val="auto"/>
        </w:rPr>
        <w:t>The Borrower shall have duly executed and delivered to the Administrative Agent this Amendment.</w:t>
      </w:r>
    </w:p>
    <w:p>
      <w:pPr>
        <w:spacing w:after="0" w:line="233" w:lineRule="exact"/>
        <w:rPr>
          <w:sz w:val="20"/>
          <w:szCs w:val="20"/>
          <w:color w:val="auto"/>
        </w:rPr>
      </w:pPr>
    </w:p>
    <w:p>
      <w:pPr>
        <w:ind w:left="580" w:right="140" w:firstLine="648"/>
        <w:spacing w:after="0" w:line="262"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The Borrower shall have satisfied any other conditions as specified by the Administrative Agent,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all unpaid legal fees and expenses incurred by the Administrative Agent through the date of this Amendment in connection with the Credit Agreement.</w:t>
      </w:r>
    </w:p>
    <w:p>
      <w:pPr>
        <w:spacing w:after="0" w:line="17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Representations, Warranties, Authority, No Adverse Claim</w:t>
      </w:r>
      <w:r>
        <w:rPr>
          <w:rFonts w:ascii="Arial" w:cs="Arial" w:eastAsia="Arial" w:hAnsi="Arial"/>
          <w:sz w:val="19"/>
          <w:szCs w:val="19"/>
          <w:b w:val="1"/>
          <w:bCs w:val="1"/>
          <w:color w:val="auto"/>
        </w:rPr>
        <w:t>.</w:t>
      </w:r>
    </w:p>
    <w:p>
      <w:pPr>
        <w:spacing w:after="0" w:line="233" w:lineRule="exact"/>
        <w:rPr>
          <w:sz w:val="20"/>
          <w:szCs w:val="20"/>
          <w:color w:val="auto"/>
        </w:rPr>
      </w:pPr>
    </w:p>
    <w:p>
      <w:pPr>
        <w:ind w:left="580" w:right="100" w:firstLine="648"/>
        <w:spacing w:after="0" w:line="302"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Reassertion of Representations and Warranties, No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hereby represents that on and as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date hereof and 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Required Lenders.</w:t>
      </w:r>
    </w:p>
    <w:p>
      <w:pPr>
        <w:spacing w:after="0" w:line="138" w:lineRule="exact"/>
        <w:rPr>
          <w:sz w:val="20"/>
          <w:szCs w:val="20"/>
          <w:color w:val="auto"/>
        </w:rPr>
      </w:pPr>
    </w:p>
    <w:p>
      <w:pPr>
        <w:ind w:left="580" w:firstLine="648"/>
        <w:spacing w:after="0" w:line="289"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Authority, No Conflict, No Consent Required, Enforceability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represents and warrants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has the power and legal right and authority to enter into this Amendment and any other instrument or agreement executed by the Borrower in connection with this Amendment (collectively, the “</w:t>
      </w:r>
      <w:r>
        <w:rPr>
          <w:rFonts w:ascii="Arial" w:cs="Arial" w:eastAsia="Arial" w:hAnsi="Arial"/>
          <w:sz w:val="19"/>
          <w:szCs w:val="19"/>
          <w:u w:val="single" w:color="auto"/>
          <w:color w:val="auto"/>
        </w:rPr>
        <w:t>Amendment Documents</w:t>
      </w:r>
      <w:r>
        <w:rPr>
          <w:rFonts w:ascii="Arial" w:cs="Arial" w:eastAsia="Arial" w:hAnsi="Arial"/>
          <w:sz w:val="19"/>
          <w:szCs w:val="19"/>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Secured Party (as defined in that certain Amendment to Security Agreement dated as of October 27, 2017, by and between the Borrower and the Administrative Agent (the “</w:t>
      </w:r>
      <w:r>
        <w:rPr>
          <w:rFonts w:ascii="Arial" w:cs="Arial" w:eastAsia="Arial" w:hAnsi="Arial"/>
          <w:sz w:val="19"/>
          <w:szCs w:val="19"/>
          <w:u w:val="single" w:color="auto"/>
          <w:color w:val="auto"/>
        </w:rPr>
        <w:t>Security Agreement</w:t>
      </w:r>
      <w:r>
        <w:rPr>
          <w:rFonts w:ascii="Arial" w:cs="Arial" w:eastAsia="Arial" w:hAnsi="Arial"/>
          <w:sz w:val="19"/>
          <w:szCs w:val="19"/>
          <w:color w:val="auto"/>
        </w:rPr>
        <w:t>”)). The Borrower represents and warrants that no consent, approval or authorization of or registration or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91" w:right="279" w:bottom="1440" w:gutter="0" w:footer="0" w:header="0"/>
        </w:sectPr>
      </w:pPr>
    </w:p>
    <w:bookmarkStart w:id="41" w:name="page42"/>
    <w:bookmarkEnd w:id="41"/>
    <w:p>
      <w:pPr>
        <w:ind w:left="580" w:right="40"/>
        <w:spacing w:after="0" w:line="246" w:lineRule="auto"/>
        <w:rPr>
          <w:sz w:val="20"/>
          <w:szCs w:val="20"/>
          <w:color w:val="auto"/>
        </w:rPr>
      </w:pPr>
      <w:r>
        <w:rPr>
          <w:rFonts w:ascii="Arial" w:cs="Arial" w:eastAsia="Arial" w:hAnsi="Arial"/>
          <w:sz w:val="22"/>
          <w:szCs w:val="22"/>
          <w:color w:val="auto"/>
        </w:rPr>
        <w:t>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Administrative Agent.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86" w:lineRule="exact"/>
        <w:rPr>
          <w:sz w:val="20"/>
          <w:szCs w:val="20"/>
          <w:color w:val="auto"/>
        </w:rPr>
      </w:pPr>
    </w:p>
    <w:p>
      <w:pPr>
        <w:ind w:left="580" w:right="220" w:firstLine="648"/>
        <w:spacing w:after="0" w:line="256"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b w:val="1"/>
          <w:bCs w:val="1"/>
          <w:u w:val="single" w:color="auto"/>
          <w:color w:val="auto"/>
        </w:rPr>
        <w:t>No Adverse Claim</w:t>
      </w:r>
      <w:r>
        <w:rPr>
          <w:rFonts w:ascii="Arial" w:cs="Arial" w:eastAsia="Arial" w:hAnsi="Arial"/>
          <w:sz w:val="22"/>
          <w:szCs w:val="22"/>
          <w:color w:val="auto"/>
        </w:rPr>
        <w:t>. The Borrower warrants, acknowledges and agrees that no events have taken place and no</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exist at the date hereof which would give the Borrower a basis to assert a defense, offset or counterclaim to any claim of the Lenders with respect to the Borrower’s obligations under the Credit Agreement as amended by this Amendment.</w:t>
      </w:r>
    </w:p>
    <w:p>
      <w:pPr>
        <w:spacing w:after="0" w:line="177"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b w:val="1"/>
          <w:bCs w:val="1"/>
          <w:u w:val="single" w:color="auto"/>
          <w:color w:val="auto"/>
        </w:rPr>
        <w:t>Affirmation of Credit Agreement, Further References, Affirmation of Security Interest</w:t>
      </w:r>
      <w:r>
        <w:rPr>
          <w:rFonts w:ascii="Arial" w:cs="Arial" w:eastAsia="Arial" w:hAnsi="Arial"/>
          <w:sz w:val="19"/>
          <w:szCs w:val="19"/>
          <w:color w:val="auto"/>
        </w:rPr>
        <w:t>. The Lenders,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and the 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Secured Party that the Borrower’s obligations under the Credit Agreement, as amended by this Amendment, are and continue to be secured by the security interest granted by the Borrower in favor of the Secured Party under the Security Agreement,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146"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Merger and Integration, Superseding Effect</w:t>
      </w:r>
      <w:r>
        <w:rPr>
          <w:rFonts w:ascii="Arial" w:cs="Arial" w:eastAsia="Arial" w:hAnsi="Arial"/>
          <w:sz w:val="22"/>
          <w:szCs w:val="22"/>
          <w:color w:val="auto"/>
        </w:rPr>
        <w:t>. This Amendment, from and after the date hereof, embodies the</w:t>
      </w:r>
      <w:r>
        <w:rPr>
          <w:rFonts w:ascii="Arial" w:cs="Arial" w:eastAsia="Arial" w:hAnsi="Arial"/>
          <w:sz w:val="22"/>
          <w:szCs w:val="22"/>
          <w:b w:val="1"/>
          <w:bCs w:val="1"/>
          <w:color w:val="auto"/>
        </w:rPr>
        <w:t xml:space="preserve"> </w:t>
      </w:r>
      <w:r>
        <w:rPr>
          <w:rFonts w:ascii="Arial" w:cs="Arial" w:eastAsia="Arial" w:hAnsi="Arial"/>
          <w:sz w:val="22"/>
          <w:szCs w:val="22"/>
          <w:color w:val="auto"/>
        </w:rPr>
        <w:t>entire 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77" w:lineRule="exact"/>
        <w:rPr>
          <w:sz w:val="20"/>
          <w:szCs w:val="20"/>
          <w:color w:val="auto"/>
        </w:rPr>
      </w:pPr>
    </w:p>
    <w:p>
      <w:pPr>
        <w:ind w:right="80" w:firstLine="648"/>
        <w:spacing w:after="0" w:line="309"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Amendment and any other statement, instrument or</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591" w:right="259" w:bottom="1440" w:gutter="0" w:footer="0" w:header="0"/>
        </w:sectPr>
      </w:pPr>
    </w:p>
    <w:bookmarkStart w:id="42" w:name="page43"/>
    <w:bookmarkEnd w:id="42"/>
    <w:p>
      <w:pPr>
        <w:ind w:right="180"/>
        <w:spacing w:after="0" w:line="248" w:lineRule="auto"/>
        <w:rPr>
          <w:sz w:val="20"/>
          <w:szCs w:val="20"/>
          <w:color w:val="auto"/>
        </w:rPr>
      </w:pPr>
      <w:r>
        <w:rPr>
          <w:rFonts w:ascii="Arial" w:cs="Arial" w:eastAsia="Arial" w:hAnsi="Arial"/>
          <w:sz w:val="22"/>
          <w:szCs w:val="22"/>
          <w:color w:val="auto"/>
        </w:rPr>
        <w:t>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86" w:lineRule="exact"/>
        <w:rPr>
          <w:sz w:val="20"/>
          <w:szCs w:val="20"/>
          <w:color w:val="auto"/>
        </w:rPr>
      </w:pPr>
    </w:p>
    <w:p>
      <w:pPr>
        <w:jc w:val="both"/>
        <w:ind w:right="200" w:firstLine="648"/>
        <w:spacing w:after="0" w:line="281"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21"/>
          <w:szCs w:val="21"/>
          <w:u w:val="single" w:color="auto"/>
          <w:color w:val="auto"/>
        </w:rPr>
        <w:t>Successors</w:t>
      </w:r>
      <w:r>
        <w:rPr>
          <w:rFonts w:ascii="Arial" w:cs="Arial" w:eastAsia="Arial" w:hAnsi="Arial"/>
          <w:sz w:val="21"/>
          <w:szCs w:val="21"/>
          <w:color w:val="auto"/>
        </w:rPr>
        <w:t>. This Amendment shall be binding upon the Borrower, the Lenders, the Administrative Agent and</w:t>
      </w:r>
      <w:r>
        <w:rPr>
          <w:rFonts w:ascii="Arial" w:cs="Arial" w:eastAsia="Arial" w:hAnsi="Arial"/>
          <w:sz w:val="21"/>
          <w:szCs w:val="21"/>
          <w:b w:val="1"/>
          <w:bCs w:val="1"/>
          <w:color w:val="auto"/>
        </w:rPr>
        <w:t xml:space="preserve"> </w:t>
      </w:r>
      <w:r>
        <w:rPr>
          <w:rFonts w:ascii="Arial" w:cs="Arial" w:eastAsia="Arial" w:hAnsi="Arial"/>
          <w:sz w:val="21"/>
          <w:szCs w:val="21"/>
          <w:color w:val="auto"/>
        </w:rPr>
        <w:t>their respective successors and assigns, and shall inure to the benefit of the Borrower, the Lenders, the Administrative Agent and the successors and assigns of the Lenders and the Administrative Agent.</w:t>
      </w:r>
    </w:p>
    <w:p>
      <w:pPr>
        <w:spacing w:after="0" w:line="151"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b w:val="1"/>
          <w:bCs w:val="1"/>
          <w:u w:val="single" w:color="auto"/>
          <w:color w:val="auto"/>
        </w:rPr>
        <w:t>Legal Expenses</w:t>
      </w:r>
      <w:r>
        <w:rPr>
          <w:rFonts w:ascii="Arial" w:cs="Arial" w:eastAsia="Arial" w:hAnsi="Arial"/>
          <w:sz w:val="19"/>
          <w:szCs w:val="19"/>
          <w:color w:val="auto"/>
        </w:rPr>
        <w:t>. As provided in Section 9.6 of the Credit Agreement, the Borrower agrees to pay or reimburse</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Administrative Agent, upon execution of this Amendment, for all reasonable out-of-pocket expenses paid or incurred by the Administrative Agent, including filing and recording costs and fees, charges and disbursements of outside counsel to the Administrative Agent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Administrative Agent harmless from all liability for, any stamp or other taxes which may be payable with respect to the execution or delivery of the Amendment Documents, which obligations of the Borrower shall survive any termination of the Credit Agreement.</w:t>
      </w:r>
    </w:p>
    <w:p>
      <w:pPr>
        <w:spacing w:after="0" w:line="147"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various sections of this Amendment have been inserted for reference only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deemed to be a part of this Amendment.</w:t>
      </w:r>
    </w:p>
    <w:p>
      <w:pPr>
        <w:spacing w:after="0" w:line="148"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several counterparts as deemed necessary or convenient,</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77"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u w:val="single" w:color="auto"/>
          <w:color w:val="auto"/>
        </w:rPr>
        <w:t>Governing Law</w:t>
      </w:r>
      <w:r>
        <w:rPr>
          <w:rFonts w:ascii="Arial" w:cs="Arial" w:eastAsia="Arial" w:hAnsi="Arial"/>
          <w:sz w:val="22"/>
          <w:szCs w:val="22"/>
          <w:color w:val="auto"/>
        </w:rPr>
        <w:t>. THE AMENDMENT DOCUMENTS SHALL BE GOVERNED BY THE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CALIFORNIA, WITHOUT GIVING EFFECT TO CONFLICT OF LAW PRINCIPLES THEREOF, BUT GIVING EFFECT TO FEDERAL LAWS APPLICABLE TO NATIONAL BANKS, THEIR HOLDING COMPANIES AND THEIR AFFILIATES.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91" w:right="259" w:bottom="1440" w:gutter="0" w:footer="0" w:header="0"/>
        </w:sectPr>
      </w:pPr>
    </w:p>
    <w:bookmarkStart w:id="43" w:name="page44"/>
    <w:bookmarkEnd w:id="43"/>
    <w:p>
      <w:pPr>
        <w:ind w:right="20"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by their officers thereunto duly authorized as of the date first above written.</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UNIVERSAL ELECTRONICS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745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Bryan M. Hackworth</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Sr. Vice President and CFO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U.S. BANK NATIONAL ASSOCIATION, as a Lender and as Administrative Agent</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549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940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Andrew Williams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WELLS FARGO BANK, NATIONAL ASSOCIATION, as a Lender</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Aaron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74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414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Aaron Ryan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240" w:top="1104" w:right="4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9"/>
          <w:szCs w:val="19"/>
          <w:b w:val="1"/>
          <w:bCs w:val="1"/>
          <w:color w:val="auto"/>
        </w:rPr>
        <w:t>[Signature Page to First Amendment to Second A&amp;R Credit Agreement]</w:t>
      </w:r>
    </w:p>
    <w:p>
      <w:pPr>
        <w:sectPr>
          <w:pgSz w:w="11900" w:h="16838" w:orient="portrait"/>
          <w:cols w:equalWidth="0" w:num="1">
            <w:col w:w="9019"/>
          </w:cols>
          <w:pgMar w:left="14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585" w:right="1440"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10.2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346" w:lineRule="exact"/>
        <w:rPr>
          <w:sz w:val="20"/>
          <w:szCs w:val="20"/>
          <w:color w:val="auto"/>
        </w:rPr>
      </w:pPr>
    </w:p>
    <w:p>
      <w:pPr>
        <w:jc w:val="center"/>
        <w:ind w:right="-119"/>
        <w:spacing w:after="0" w:line="207" w:lineRule="exact"/>
        <w:tabs>
          <w:tab w:leader="none" w:pos="200" w:val="left"/>
          <w:tab w:leader="none" w:pos="200" w:val="left"/>
        </w:tabs>
        <w:rPr>
          <w:sz w:val="20"/>
          <w:szCs w:val="20"/>
          <w:color w:val="auto"/>
        </w:rPr>
      </w:pPr>
      <w:r>
        <w:rPr>
          <w:rFonts w:ascii="Arial" w:cs="Arial" w:eastAsia="Arial" w:hAnsi="Arial"/>
          <w:sz w:val="18"/>
          <w:szCs w:val="18"/>
          <w:b w:val="1"/>
          <w:bCs w:val="1"/>
          <w:color w:val="auto"/>
        </w:rPr>
        <w:t xml:space="preserve">Ø Ú ¬ ® ¥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î ¿ ® É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ª Ã</w:t>
        <w:tab/>
        <w:t xml:space="preserve">é ® â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4"/>
          <w:szCs w:val="14"/>
          <w:b w:val="1"/>
          <w:bCs w:val="1"/>
          <w:color w:val="auto"/>
        </w:rPr>
        <w:t>é</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 for the Equity Transfer Agreement with Respect to Panyu Gemstar Project</w:t>
      </w:r>
    </w:p>
    <w:p>
      <w:pPr>
        <w:spacing w:after="0" w:line="157" w:lineRule="exact"/>
        <w:rPr>
          <w:sz w:val="20"/>
          <w:szCs w:val="20"/>
          <w:color w:val="auto"/>
        </w:rPr>
      </w:pPr>
    </w:p>
    <w:p>
      <w:pPr>
        <w:ind w:left="100"/>
        <w:spacing w:after="0" w:line="184" w:lineRule="exact"/>
        <w:tabs>
          <w:tab w:leader="none" w:pos="2220" w:val="left"/>
          <w:tab w:leader="none" w:pos="7320" w:val="left"/>
          <w:tab w:leader="none" w:pos="8220" w:val="left"/>
          <w:tab w:leader="none" w:pos="9980" w:val="left"/>
        </w:tabs>
        <w:rPr>
          <w:sz w:val="20"/>
          <w:szCs w:val="20"/>
          <w:color w:val="auto"/>
        </w:rPr>
      </w:pPr>
      <w:r>
        <w:rPr>
          <w:rFonts w:ascii="Arial" w:cs="Arial" w:eastAsia="Arial" w:hAnsi="Arial"/>
          <w:sz w:val="16"/>
          <w:szCs w:val="16"/>
          <w:color w:val="auto"/>
        </w:rPr>
        <w:t>Ô Â å ½ Ú2018 ~___ ë__</w:t>
        <w:tab/>
        <w:t xml:space="preserve">é ( Ô Â ò Æ" ú § Õ") © ð ¾ Ø Ú ¬ ® ¥ </w:t>
      </w:r>
      <w:r>
        <w:rPr>
          <w:rFonts w:ascii="MS PGothic" w:cs="MS PGothic" w:eastAsia="MS PGothic" w:hAnsi="MS PGothic"/>
          <w:sz w:val="16"/>
          <w:szCs w:val="16"/>
          <w:color w:val="auto"/>
        </w:rPr>
        <w:t>☒</w:t>
      </w:r>
      <w:r>
        <w:rPr>
          <w:rFonts w:ascii="Arial" w:cs="Arial" w:eastAsia="Arial" w:hAnsi="Arial"/>
          <w:sz w:val="16"/>
          <w:szCs w:val="16"/>
          <w:color w:val="auto"/>
        </w:rPr>
        <w:t xml:space="preserve"> î ¿ ® É </w:t>
      </w:r>
      <w:r>
        <w:rPr>
          <w:rFonts w:ascii="MS PGothic" w:cs="MS PGothic" w:eastAsia="MS PGothic" w:hAnsi="MS PGothic"/>
          <w:sz w:val="16"/>
          <w:szCs w:val="16"/>
          <w:color w:val="auto"/>
        </w:rPr>
        <w:t>☐</w:t>
      </w:r>
      <w:r>
        <w:rPr>
          <w:rFonts w:ascii="Arial" w:cs="Arial" w:eastAsia="Arial" w:hAnsi="Arial"/>
          <w:sz w:val="16"/>
          <w:szCs w:val="16"/>
          <w:color w:val="auto"/>
        </w:rPr>
        <w:t xml:space="preserve"> ª Ã</w:t>
        <w:tab/>
        <w:t xml:space="preserve">é ® â </w:t>
      </w:r>
      <w:r>
        <w:rPr>
          <w:rFonts w:ascii="MS PGothic" w:cs="MS PGothic" w:eastAsia="MS PGothic" w:hAnsi="MS PGothic"/>
          <w:sz w:val="16"/>
          <w:szCs w:val="16"/>
          <w:color w:val="auto"/>
        </w:rPr>
        <w:t>☒</w:t>
      </w:r>
      <w:r>
        <w:rPr>
          <w:rFonts w:ascii="Arial" w:cs="Arial" w:eastAsia="Arial" w:hAnsi="Arial"/>
          <w:sz w:val="16"/>
          <w:szCs w:val="16"/>
          <w:color w:val="auto"/>
        </w:rPr>
        <w:tab/>
        <w:t xml:space="preserve">é ( Ô Â ò Æ”± â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é”±):</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This Termination Agreement for the Equity Transfer Agreement with Respect to Panyu Gemstar Project (the “°Termination Agreement”±) is entered into this ____ day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______2018 (the “°Effective Date”±) by and among the following parties: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½ º µ Â ¢ ¹ Ð Þ « ¾</w:t>
      </w:r>
    </w:p>
    <w:p>
      <w:pPr>
        <w:spacing w:after="0" w:line="96" w:lineRule="exact"/>
        <w:rPr>
          <w:sz w:val="20"/>
          <w:szCs w:val="20"/>
          <w:color w:val="auto"/>
        </w:rPr>
      </w:pPr>
    </w:p>
    <w:p>
      <w:pPr>
        <w:ind w:left="100"/>
        <w:spacing w:after="0" w:line="184" w:lineRule="exact"/>
        <w:rPr>
          <w:sz w:val="20"/>
          <w:szCs w:val="20"/>
          <w:color w:val="auto"/>
        </w:rPr>
      </w:pPr>
      <w:r>
        <w:rPr>
          <w:rFonts w:ascii="Arial" w:cs="Arial" w:eastAsia="Arial" w:hAnsi="Arial"/>
          <w:sz w:val="16"/>
          <w:szCs w:val="16"/>
          <w:color w:val="auto"/>
        </w:rPr>
        <w:t xml:space="preserve">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ºDavid Chong Cheung Hyen</w:t>
      </w:r>
    </w:p>
    <w:p>
      <w:pPr>
        <w:spacing w:after="0" w:line="170" w:lineRule="exact"/>
        <w:rPr>
          <w:sz w:val="20"/>
          <w:szCs w:val="20"/>
          <w:color w:val="auto"/>
        </w:rPr>
      </w:pPr>
    </w:p>
    <w:p>
      <w:pPr>
        <w:ind w:right="6760" w:firstLine="103"/>
        <w:spacing w:after="0" w:line="422" w:lineRule="auto"/>
        <w:tabs>
          <w:tab w:leader="none" w:pos="30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º ã Û Å ú ì | Â á Ö18 Å £ õ ã ¡ » ù Å ¥903-908 Ò Party A: CG Development Limited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Authorized Representative: David Chong Cheung Hyen</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Address:   902-908, 9/F, One Harbourfront, 18 Tak Fung Street, Hung Hom, Kowloon, Hong Kong</w:t>
      </w: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Ò ½ º ã Ý Ð B » ¶ Ê Ð Þ « ¾</w:t>
      </w:r>
    </w:p>
    <w:p>
      <w:pPr>
        <w:spacing w:after="0" w:line="116"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º ¯ × Û</w:t>
      </w:r>
    </w:p>
    <w:p>
      <w:pPr>
        <w:spacing w:after="0" w:line="164" w:lineRule="exact"/>
        <w:rPr>
          <w:sz w:val="20"/>
          <w:szCs w:val="20"/>
          <w:color w:val="auto"/>
        </w:rPr>
      </w:pPr>
    </w:p>
    <w:p>
      <w:pPr>
        <w:ind w:right="7360" w:firstLine="103"/>
        <w:spacing w:after="0" w:line="422" w:lineRule="auto"/>
        <w:tabs>
          <w:tab w:leader="none" w:pos="30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º ã Ý Ð ½ ã ø « ç ·410-412 Å Ú36 ã Ô àS ¿ Party B: Guangzhou Junhao Investment Co., Ltd.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Legal Representative: Cen Zhaoxiong</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Address:   Room S, 36F, No. 410-412, Dongfeng Road, Yuexiu District, Guangzhou</w:t>
      </w:r>
    </w:p>
    <w:p>
      <w:pPr>
        <w:spacing w:after="0" w:line="200" w:lineRule="exact"/>
        <w:rPr>
          <w:sz w:val="20"/>
          <w:szCs w:val="20"/>
          <w:color w:val="auto"/>
        </w:rPr>
      </w:pPr>
    </w:p>
    <w:p>
      <w:pPr>
        <w:spacing w:after="0" w:line="234" w:lineRule="exact"/>
        <w:rPr>
          <w:sz w:val="20"/>
          <w:szCs w:val="20"/>
          <w:color w:val="auto"/>
        </w:rPr>
      </w:pPr>
    </w:p>
    <w:p>
      <w:pPr>
        <w:ind w:left="100"/>
        <w:spacing w:after="0" w:line="184" w:lineRule="exact"/>
        <w:rPr>
          <w:sz w:val="20"/>
          <w:szCs w:val="20"/>
          <w:color w:val="auto"/>
        </w:rPr>
      </w:pPr>
      <w:r>
        <w:rPr>
          <w:rFonts w:ascii="Arial" w:cs="Arial" w:eastAsia="Arial" w:hAnsi="Arial"/>
          <w:sz w:val="16"/>
          <w:szCs w:val="16"/>
          <w:color w:val="auto"/>
        </w:rPr>
        <w:t xml:space="preserve">û ½ º </w:t>
      </w:r>
      <w:r>
        <w:rPr>
          <w:rFonts w:ascii="MS PGothic" w:cs="MS PGothic" w:eastAsia="MS PGothic" w:hAnsi="MS PGothic"/>
          <w:sz w:val="16"/>
          <w:szCs w:val="16"/>
          <w:color w:val="auto"/>
        </w:rPr>
        <w:t>☐</w:t>
      </w:r>
      <w:r>
        <w:rPr>
          <w:rFonts w:ascii="Arial" w:cs="Arial" w:eastAsia="Arial" w:hAnsi="Arial"/>
          <w:sz w:val="16"/>
          <w:szCs w:val="16"/>
          <w:color w:val="auto"/>
        </w:rPr>
        <w:t xml:space="preserve"> Ã ç Ó « ¾</w:t>
      </w:r>
    </w:p>
    <w:p>
      <w:pPr>
        <w:spacing w:after="0" w:line="140" w:lineRule="exact"/>
        <w:rPr>
          <w:sz w:val="20"/>
          <w:szCs w:val="20"/>
          <w:color w:val="auto"/>
        </w:rPr>
      </w:pPr>
    </w:p>
    <w:p>
      <w:pPr>
        <w:ind w:left="100"/>
        <w:spacing w:after="0" w:line="184" w:lineRule="exact"/>
        <w:rPr>
          <w:sz w:val="20"/>
          <w:szCs w:val="20"/>
          <w:color w:val="auto"/>
        </w:rPr>
      </w:pPr>
      <w:r>
        <w:rPr>
          <w:rFonts w:ascii="Arial" w:cs="Arial" w:eastAsia="Arial" w:hAnsi="Arial"/>
          <w:sz w:val="16"/>
          <w:szCs w:val="16"/>
          <w:color w:val="auto"/>
        </w:rPr>
        <w:t xml:space="preserve">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ºBryan M. Hackworth</w:t>
      </w:r>
    </w:p>
    <w:p>
      <w:pPr>
        <w:spacing w:after="0" w:line="170" w:lineRule="exact"/>
        <w:rPr>
          <w:sz w:val="20"/>
          <w:szCs w:val="20"/>
          <w:color w:val="auto"/>
        </w:rPr>
      </w:pPr>
    </w:p>
    <w:p>
      <w:pPr>
        <w:ind w:right="6200" w:firstLine="103"/>
        <w:spacing w:after="0" w:line="422" w:lineRule="auto"/>
        <w:tabs>
          <w:tab w:leader="none" w:pos="30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º201E ¬Sandpoint Avenue ¬8th Floor ¬Santa Ana ¬CA 92707 ¬USA Party C: Universal Electronics Inc.</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Authorized Representative: Bryan M. Hackworth</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Address:   201E, Sandpoint Avenue, 8th Floor, Santa Ana, CA92707, USA</w:t>
      </w:r>
    </w:p>
    <w:p>
      <w:pPr>
        <w:spacing w:after="0" w:line="200" w:lineRule="exact"/>
        <w:rPr>
          <w:sz w:val="20"/>
          <w:szCs w:val="20"/>
          <w:color w:val="auto"/>
        </w:rPr>
      </w:pPr>
    </w:p>
    <w:p>
      <w:pPr>
        <w:spacing w:after="0" w:line="234" w:lineRule="exact"/>
        <w:rPr>
          <w:sz w:val="20"/>
          <w:szCs w:val="20"/>
          <w:color w:val="auto"/>
        </w:rPr>
      </w:pPr>
    </w:p>
    <w:p>
      <w:pPr>
        <w:ind w:left="100"/>
        <w:spacing w:after="0" w:line="184" w:lineRule="exact"/>
        <w:rPr>
          <w:sz w:val="20"/>
          <w:szCs w:val="20"/>
          <w:color w:val="auto"/>
        </w:rPr>
      </w:pPr>
      <w:r>
        <w:rPr>
          <w:rFonts w:ascii="Arial" w:cs="Arial" w:eastAsia="Arial" w:hAnsi="Arial"/>
          <w:sz w:val="16"/>
          <w:szCs w:val="16"/>
          <w:color w:val="auto"/>
        </w:rPr>
        <w:t xml:space="preserve">¡ ½ º ¥ </w:t>
      </w:r>
      <w:r>
        <w:rPr>
          <w:rFonts w:ascii="MS PGothic" w:cs="MS PGothic" w:eastAsia="MS PGothic" w:hAnsi="MS PGothic"/>
          <w:sz w:val="16"/>
          <w:szCs w:val="16"/>
          <w:color w:val="auto"/>
        </w:rPr>
        <w:t>☒</w:t>
      </w:r>
      <w:r>
        <w:rPr>
          <w:rFonts w:ascii="Arial" w:cs="Arial" w:eastAsia="Arial" w:hAnsi="Arial"/>
          <w:sz w:val="16"/>
          <w:szCs w:val="16"/>
          <w:color w:val="auto"/>
        </w:rPr>
        <w:t xml:space="preserve"> Æ ¼ </w:t>
      </w:r>
      <w:r>
        <w:rPr>
          <w:rFonts w:ascii="MS PGothic" w:cs="MS PGothic" w:eastAsia="MS PGothic" w:hAnsi="MS PGothic"/>
          <w:sz w:val="16"/>
          <w:szCs w:val="16"/>
          <w:color w:val="auto"/>
        </w:rPr>
        <w:t>☐</w:t>
      </w:r>
      <w:r>
        <w:rPr>
          <w:rFonts w:ascii="Arial" w:cs="Arial" w:eastAsia="Arial" w:hAnsi="Arial"/>
          <w:sz w:val="16"/>
          <w:szCs w:val="16"/>
          <w:color w:val="auto"/>
        </w:rPr>
        <w:t xml:space="preserve"> Ð ú © Ð Þ « ¾</w:t>
      </w:r>
    </w:p>
    <w:p>
      <w:pPr>
        <w:spacing w:after="0" w:line="146"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º Â Â Ò</w:t>
      </w:r>
    </w:p>
    <w:p>
      <w:pPr>
        <w:spacing w:after="0" w:line="134" w:lineRule="exact"/>
        <w:rPr>
          <w:sz w:val="20"/>
          <w:szCs w:val="20"/>
          <w:color w:val="auto"/>
        </w:rPr>
      </w:pPr>
    </w:p>
    <w:p>
      <w:pPr>
        <w:ind w:right="7580" w:firstLine="103"/>
        <w:spacing w:after="0" w:line="295" w:lineRule="exact"/>
        <w:tabs>
          <w:tab w:leader="none" w:pos="30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 º ã Ý Ð ¬ ® ø Ó å ò Ð ã · Ó </w:t>
      </w:r>
      <w:r>
        <w:rPr>
          <w:rFonts w:ascii="MS PGothic" w:cs="MS PGothic" w:eastAsia="MS PGothic" w:hAnsi="MS PGothic"/>
          <w:sz w:val="16"/>
          <w:szCs w:val="16"/>
          <w:color w:val="auto"/>
        </w:rPr>
        <w:t>☑</w:t>
      </w:r>
      <w:r>
        <w:rPr>
          <w:rFonts w:ascii="Arial" w:cs="Arial" w:eastAsia="Arial" w:hAnsi="Arial"/>
          <w:sz w:val="16"/>
          <w:szCs w:val="16"/>
          <w:color w:val="auto"/>
        </w:rPr>
        <w:t xml:space="preserve"> · Î45 Å Party D: Gemstar Technology (China) Co., Limited Legal Representative: Chen Dezhong</w:t>
      </w:r>
    </w:p>
    <w:p>
      <w:pPr>
        <w:spacing w:after="0" w:line="11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Address:  45 Section II Shiguang Road, Zhongcun Town, Panyu District, Guangzhou</w:t>
      </w:r>
    </w:p>
    <w:p>
      <w:pPr>
        <w:spacing w:after="0" w:line="200" w:lineRule="exact"/>
        <w:rPr>
          <w:sz w:val="20"/>
          <w:szCs w:val="20"/>
          <w:color w:val="auto"/>
        </w:rPr>
      </w:pPr>
    </w:p>
    <w:p>
      <w:pPr>
        <w:spacing w:after="0" w:line="264"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16"/>
          <w:szCs w:val="16"/>
          <w:color w:val="auto"/>
        </w:rPr>
        <w:t>ì ½ º ± ú ¤</w:t>
        <w:tab/>
        <w:t>Ø É Ð Þ « ¾</w:t>
      </w:r>
    </w:p>
    <w:p>
      <w:pPr>
        <w:spacing w:after="0" w:line="116"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º ¯ È Û</w:t>
      </w:r>
    </w:p>
    <w:p>
      <w:pPr>
        <w:spacing w:after="0" w:line="134" w:lineRule="exact"/>
        <w:rPr>
          <w:sz w:val="20"/>
          <w:szCs w:val="20"/>
          <w:color w:val="auto"/>
        </w:rPr>
      </w:pPr>
    </w:p>
    <w:p>
      <w:pPr>
        <w:ind w:left="100"/>
        <w:spacing w:after="0" w:line="184" w:lineRule="exact"/>
        <w:rPr>
          <w:sz w:val="20"/>
          <w:szCs w:val="20"/>
          <w:color w:val="auto"/>
        </w:rPr>
      </w:pPr>
      <w:r>
        <w:rPr>
          <w:rFonts w:ascii="Arial" w:cs="Arial" w:eastAsia="Arial" w:hAnsi="Arial"/>
          <w:sz w:val="16"/>
          <w:szCs w:val="16"/>
          <w:color w:val="auto"/>
        </w:rPr>
        <w:t xml:space="preserve">Ø · º ã Û Ð · µ Ö ã ¡8 Å » × ã ¡ </w:t>
      </w:r>
      <w:r>
        <w:rPr>
          <w:rFonts w:ascii="MS PGothic" w:cs="MS PGothic" w:eastAsia="MS PGothic" w:hAnsi="MS PGothic"/>
          <w:sz w:val="16"/>
          <w:szCs w:val="16"/>
          <w:color w:val="auto"/>
        </w:rPr>
        <w:t>☑</w:t>
      </w:r>
      <w:r>
        <w:rPr>
          <w:rFonts w:ascii="Arial" w:cs="Arial" w:eastAsia="Arial" w:hAnsi="Arial"/>
          <w:sz w:val="16"/>
          <w:szCs w:val="16"/>
          <w:color w:val="auto"/>
        </w:rPr>
        <w:t xml:space="preserve"> Ú47 ¥4706-07 Ò</w:t>
      </w:r>
    </w:p>
    <w:p>
      <w:pPr>
        <w:sectPr>
          <w:pgSz w:w="11900" w:h="16838" w:orient="portrait"/>
          <w:cols w:equalWidth="0" w:num="1">
            <w:col w:w="11420"/>
          </w:cols>
          <w:pgMar w:left="240" w:top="585" w:right="239" w:bottom="1440" w:gutter="0" w:footer="0" w:header="0"/>
        </w:sectPr>
      </w:pPr>
    </w:p>
    <w:bookmarkStart w:id="46" w:name="page47"/>
    <w:bookmarkEnd w:id="46"/>
    <w:p>
      <w:pPr>
        <w:spacing w:after="0"/>
        <w:tabs>
          <w:tab w:leader="none" w:pos="720" w:val="left"/>
        </w:tabs>
        <w:rPr>
          <w:sz w:val="20"/>
          <w:szCs w:val="20"/>
          <w:color w:val="auto"/>
        </w:rPr>
      </w:pPr>
      <w:r>
        <w:rPr>
          <w:rFonts w:ascii="Arial" w:cs="Arial" w:eastAsia="Arial" w:hAnsi="Arial"/>
          <w:sz w:val="16"/>
          <w:szCs w:val="16"/>
          <w:color w:val="auto"/>
        </w:rPr>
        <w:t>Party E:</w:t>
      </w:r>
      <w:r>
        <w:rPr>
          <w:sz w:val="20"/>
          <w:szCs w:val="20"/>
          <w:color w:val="auto"/>
        </w:rPr>
        <w:tab/>
      </w:r>
      <w:r>
        <w:rPr>
          <w:rFonts w:ascii="Arial" w:cs="Arial" w:eastAsia="Arial" w:hAnsi="Arial"/>
          <w:sz w:val="15"/>
          <w:szCs w:val="15"/>
          <w:color w:val="auto"/>
        </w:rPr>
        <w:t>Times China Holdings Limited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Cen Zhaoxiong</w:t>
      </w:r>
    </w:p>
    <w:p>
      <w:pPr>
        <w:spacing w:after="0" w:line="140"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4"/>
          <w:szCs w:val="14"/>
          <w:color w:val="auto"/>
        </w:rPr>
        <w:t>Suites 4706-07, 47/F, Two Exchange Square, 8 Connaught Place, Central, Hong Kong</w:t>
      </w: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ø Ú º</w:t>
      </w:r>
    </w:p>
    <w:p>
      <w:pPr>
        <w:spacing w:after="0" w:line="114" w:lineRule="exact"/>
        <w:rPr>
          <w:sz w:val="20"/>
          <w:szCs w:val="20"/>
          <w:color w:val="auto"/>
        </w:rPr>
      </w:pPr>
    </w:p>
    <w:p>
      <w:pPr>
        <w:jc w:val="both"/>
        <w:ind w:firstLine="527"/>
        <w:spacing w:after="0" w:line="208" w:lineRule="exact"/>
        <w:rPr>
          <w:sz w:val="20"/>
          <w:szCs w:val="20"/>
          <w:color w:val="auto"/>
        </w:rPr>
      </w:pPr>
      <w:r>
        <w:rPr>
          <w:rFonts w:ascii="Arial" w:cs="Arial" w:eastAsia="Arial" w:hAnsi="Arial"/>
          <w:sz w:val="16"/>
          <w:szCs w:val="16"/>
          <w:color w:val="auto"/>
        </w:rPr>
        <w:t xml:space="preserve">× ½ ¢ Ò ½ ¢ û ½ ¢ ¡ ½ ¢ ì ½ Ú2016 ê9 Â18 Õ © © ¶ Ø Ú ¬ ® ¥ </w:t>
      </w:r>
      <w:r>
        <w:rPr>
          <w:rFonts w:ascii="MS PGothic" w:cs="MS PGothic" w:eastAsia="MS PGothic" w:hAnsi="MS PGothic"/>
          <w:sz w:val="16"/>
          <w:szCs w:val="16"/>
          <w:color w:val="auto"/>
        </w:rPr>
        <w:t>☒</w:t>
      </w:r>
      <w:r>
        <w:rPr>
          <w:rFonts w:ascii="Arial" w:cs="Arial" w:eastAsia="Arial" w:hAnsi="Arial"/>
          <w:sz w:val="16"/>
          <w:szCs w:val="16"/>
          <w:color w:val="auto"/>
        </w:rPr>
        <w:t xml:space="preserve"> î ¿ ® É </w:t>
      </w:r>
      <w:r>
        <w:rPr>
          <w:rFonts w:ascii="MS PGothic" w:cs="MS PGothic" w:eastAsia="MS PGothic" w:hAnsi="MS PGothic"/>
          <w:sz w:val="16"/>
          <w:szCs w:val="16"/>
          <w:color w:val="auto"/>
        </w:rPr>
        <w:t>☐</w:t>
      </w:r>
      <w:r>
        <w:rPr>
          <w:rFonts w:ascii="Arial" w:cs="Arial" w:eastAsia="Arial" w:hAnsi="Arial"/>
          <w:sz w:val="16"/>
          <w:szCs w:val="16"/>
          <w:color w:val="auto"/>
        </w:rPr>
        <w:t xml:space="preserve"> ª Ã é · </w:t>
      </w:r>
      <w:r>
        <w:rPr>
          <w:rFonts w:ascii="MS PGothic" w:cs="MS PGothic" w:eastAsia="MS PGothic" w:hAnsi="MS PGothic"/>
          <w:sz w:val="16"/>
          <w:szCs w:val="16"/>
          <w:color w:val="auto"/>
        </w:rPr>
        <w:t>☐</w:t>
      </w:r>
      <w:r>
        <w:rPr>
          <w:rFonts w:ascii="Arial" w:cs="Arial" w:eastAsia="Arial" w:hAnsi="Arial"/>
          <w:sz w:val="16"/>
          <w:szCs w:val="16"/>
          <w:color w:val="auto"/>
        </w:rPr>
        <w:t xml:space="preserve"> Ô Â ò Æ“° é”± © £ ù Ý é Ú4.1 õ ¼ </w:t>
      </w:r>
      <w:r>
        <w:rPr>
          <w:rFonts w:ascii="MS PGothic" w:cs="MS PGothic" w:eastAsia="MS PGothic" w:hAnsi="MS PGothic"/>
          <w:sz w:val="16"/>
          <w:szCs w:val="16"/>
          <w:color w:val="auto"/>
        </w:rPr>
        <w:t>☐</w:t>
      </w:r>
      <w:r>
        <w:rPr>
          <w:rFonts w:ascii="Arial" w:cs="Arial" w:eastAsia="Arial" w:hAnsi="Arial"/>
          <w:sz w:val="16"/>
          <w:szCs w:val="16"/>
          <w:color w:val="auto"/>
        </w:rPr>
        <w:t xml:space="preserve"> ¬ × Ò « ½ Ñ Ú ¾2016 ¿ ê ¾09 ¿ Â ¾27 ¿ Õ Ú ¾ Ð ø ¤ Ì y Ð É Ý Ð Þ « ¾ V Ý Æ ½ § Ð ¿ ø Ð ª ¢ ² Ü Ë § ¬ Ë § û ª ¾ V Ý</w:t>
      </w:r>
    </w:p>
    <w:p>
      <w:pPr>
        <w:spacing w:after="0" w:line="1" w:lineRule="exact"/>
        <w:rPr>
          <w:sz w:val="20"/>
          <w:szCs w:val="20"/>
          <w:color w:val="auto"/>
        </w:rPr>
      </w:pPr>
    </w:p>
    <w:p>
      <w:pPr>
        <w:ind w:right="100" w:firstLine="95"/>
        <w:spacing w:after="0" w:line="203" w:lineRule="exact"/>
        <w:rPr>
          <w:sz w:val="20"/>
          <w:szCs w:val="20"/>
          <w:color w:val="auto"/>
        </w:rPr>
      </w:pPr>
      <w:r>
        <w:rPr>
          <w:rFonts w:ascii="Arial" w:cs="Arial" w:eastAsia="Arial" w:hAnsi="Arial"/>
          <w:sz w:val="16"/>
          <w:szCs w:val="16"/>
          <w:color w:val="auto"/>
        </w:rPr>
        <w:t xml:space="preserve">Ð B » ¶ Y Ð Þ « ¾ ¿ ¬ Ë Å ª ¾36020060192011931 ¿ ¬ Ò ½ Ñ Ú ¾2016 ¿ ê ¾9 ¿ Â ¾29 ¿ Õ « </w:t>
      </w:r>
      <w:r>
        <w:rPr>
          <w:rFonts w:ascii="MS PGothic" w:cs="MS PGothic" w:eastAsia="MS PGothic" w:hAnsi="MS PGothic"/>
          <w:sz w:val="16"/>
          <w:szCs w:val="16"/>
          <w:color w:val="auto"/>
        </w:rPr>
        <w:t>☐</w:t>
      </w:r>
      <w:r>
        <w:rPr>
          <w:rFonts w:ascii="Arial" w:cs="Arial" w:eastAsia="Arial" w:hAnsi="Arial"/>
          <w:sz w:val="16"/>
          <w:szCs w:val="16"/>
          <w:color w:val="auto"/>
        </w:rPr>
        <w:t xml:space="preserve"> ð Ë ñ Ò3 ¬200 ò ª ª ë ² Ü Ë §( Ô Â ò Æ“° </w:t>
      </w:r>
      <w:r>
        <w:rPr>
          <w:rFonts w:ascii="MS PGothic" w:cs="MS PGothic" w:eastAsia="MS PGothic" w:hAnsi="MS PGothic"/>
          <w:sz w:val="16"/>
          <w:szCs w:val="16"/>
          <w:color w:val="auto"/>
        </w:rPr>
        <w:t>☐</w:t>
      </w:r>
      <w:r>
        <w:rPr>
          <w:rFonts w:ascii="Arial" w:cs="Arial" w:eastAsia="Arial" w:hAnsi="Arial"/>
          <w:sz w:val="16"/>
          <w:szCs w:val="16"/>
          <w:color w:val="auto"/>
        </w:rPr>
        <w:t xml:space="preserve"> ð”±) £</w:t>
      </w:r>
    </w:p>
    <w:p>
      <w:pPr>
        <w:spacing w:after="0" w:line="299" w:lineRule="exact"/>
        <w:rPr>
          <w:sz w:val="20"/>
          <w:szCs w:val="20"/>
          <w:color w:val="auto"/>
        </w:rPr>
      </w:pPr>
    </w:p>
    <w:p>
      <w:pPr>
        <w:jc w:val="both"/>
        <w:ind w:firstLine="378"/>
        <w:spacing w:after="0" w:line="280"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on September 18, 2016, Party A, Party B, Party C, Party D, and Party E signed the “Equity Transfer Agreement with Respect to Panyu Gemstar Project”</w:t>
      </w:r>
      <w:r>
        <w:rPr>
          <w:rFonts w:ascii="Arial" w:cs="Arial" w:eastAsia="Arial" w:hAnsi="Arial"/>
          <w:sz w:val="15"/>
          <w:szCs w:val="15"/>
          <w:b w:val="1"/>
          <w:bCs w:val="1"/>
          <w:color w:val="auto"/>
        </w:rPr>
        <w:t xml:space="preserve"> </w:t>
      </w:r>
      <w:r>
        <w:rPr>
          <w:rFonts w:ascii="Arial" w:cs="Arial" w:eastAsia="Arial" w:hAnsi="Arial"/>
          <w:sz w:val="15"/>
          <w:szCs w:val="15"/>
          <w:color w:val="auto"/>
        </w:rPr>
        <w:t>(hereinafter referred to as the “Original Agreement”). According to Article 4.1 of the Original Agreement, Party A and Party B have opened an Escrow Account at the Industrial and Commercial Bank of China Guangzhou Yushan Branch on 09/27/2016, and the account name is Guangzhou Junhao Investment Co., Ltd., the account number is 36020060192011931. Party B has transferred RMB 32 million deposit into the Escrow Account on 09/29/2016 (the “Initial Deposit”).</w:t>
      </w:r>
    </w:p>
    <w:p>
      <w:pPr>
        <w:spacing w:after="0" w:line="60" w:lineRule="exact"/>
        <w:rPr>
          <w:sz w:val="20"/>
          <w:szCs w:val="20"/>
          <w:color w:val="auto"/>
        </w:rPr>
      </w:pPr>
    </w:p>
    <w:p>
      <w:pPr>
        <w:ind w:left="460"/>
        <w:spacing w:after="0" w:line="184" w:lineRule="exact"/>
        <w:tabs>
          <w:tab w:leader="none" w:pos="740" w:val="left"/>
          <w:tab w:leader="none" w:pos="1240" w:val="left"/>
          <w:tab w:leader="none" w:pos="1760" w:val="left"/>
          <w:tab w:leader="none" w:pos="3820" w:val="left"/>
          <w:tab w:leader="none" w:pos="6880" w:val="left"/>
        </w:tabs>
        <w:rPr>
          <w:sz w:val="20"/>
          <w:szCs w:val="20"/>
          <w:color w:val="auto"/>
        </w:rPr>
      </w:pPr>
      <w:r>
        <w:rPr>
          <w:rFonts w:ascii="Arial" w:cs="Arial" w:eastAsia="Arial" w:hAnsi="Arial"/>
          <w:sz w:val="16"/>
          <w:szCs w:val="16"/>
          <w:color w:val="auto"/>
        </w:rPr>
        <w:t>Ö</w:t>
        <w:tab/>
        <w:t>÷ ½</w:t>
        <w:tab/>
        <w:t>Ñ Ã</w:t>
        <w:tab/>
        <w:t xml:space="preserve">Ì ¬ ÷ ½ » Â ¬ â â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é ¬ ÷ ½ Ø Ë ó ú § Õ © © ¾ â </w:t>
      </w:r>
      <w:r>
        <w:rPr>
          <w:rFonts w:ascii="MS PGothic" w:cs="MS PGothic" w:eastAsia="MS PGothic" w:hAnsi="MS PGothic"/>
          <w:sz w:val="16"/>
          <w:szCs w:val="16"/>
          <w:color w:val="auto"/>
        </w:rPr>
        <w:t>☒</w:t>
      </w:r>
      <w:r>
        <w:rPr>
          <w:rFonts w:ascii="Arial" w:cs="Arial" w:eastAsia="Arial" w:hAnsi="Arial"/>
          <w:sz w:val="16"/>
          <w:szCs w:val="16"/>
          <w:color w:val="auto"/>
        </w:rPr>
        <w:tab/>
        <w:t>é ¢ P N ² ¬ ñ Ø £</w:t>
      </w:r>
    </w:p>
    <w:p>
      <w:pPr>
        <w:spacing w:after="0" w:line="170"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6"/>
          <w:szCs w:val="16"/>
          <w:color w:val="auto"/>
        </w:rPr>
        <w:t>Now, after friendly negotiations amongst the parties, the parties have unanimously agreed to terminate the Original Agreement, and the parties hereby will sign this Termination Agreement effective on and as of the Effective Date and agree to abide by its terms.</w:t>
      </w:r>
    </w:p>
    <w:p>
      <w:pPr>
        <w:spacing w:after="0" w:line="386" w:lineRule="exact"/>
        <w:rPr>
          <w:sz w:val="20"/>
          <w:szCs w:val="20"/>
          <w:color w:val="auto"/>
        </w:rPr>
      </w:pPr>
    </w:p>
    <w:p>
      <w:pPr>
        <w:jc w:val="both"/>
        <w:ind w:left="460" w:right="20" w:hanging="459"/>
        <w:spacing w:after="0" w:line="211" w:lineRule="exact"/>
        <w:tabs>
          <w:tab w:leader="none" w:pos="4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 xml:space="preserve">÷ ½ » Â ¬ â ¬ é Ô ú § Õ ð ¢ Y â </w:t>
      </w:r>
      <w:r>
        <w:rPr>
          <w:rFonts w:ascii="MS PGothic" w:cs="MS PGothic" w:eastAsia="MS PGothic" w:hAnsi="MS PGothic"/>
          <w:sz w:val="16"/>
          <w:szCs w:val="16"/>
          <w:color w:val="auto"/>
        </w:rPr>
        <w:t>☒</w:t>
      </w:r>
      <w:r>
        <w:rPr>
          <w:rFonts w:ascii="Arial" w:cs="Arial" w:eastAsia="Arial" w:hAnsi="Arial"/>
          <w:sz w:val="16"/>
          <w:szCs w:val="16"/>
          <w:color w:val="auto"/>
        </w:rPr>
        <w:t xml:space="preserve"> ¬ é Ð ¼ </w:t>
      </w:r>
      <w:r>
        <w:rPr>
          <w:rFonts w:ascii="MS PGothic" w:cs="MS PGothic" w:eastAsia="MS PGothic" w:hAnsi="MS PGothic"/>
          <w:sz w:val="16"/>
          <w:szCs w:val="16"/>
          <w:color w:val="auto"/>
        </w:rPr>
        <w:t>☐</w:t>
      </w:r>
      <w:r>
        <w:rPr>
          <w:rFonts w:ascii="Arial" w:cs="Arial" w:eastAsia="Arial" w:hAnsi="Arial"/>
          <w:sz w:val="16"/>
          <w:szCs w:val="16"/>
          <w:color w:val="auto"/>
        </w:rPr>
        <w:t xml:space="preserve"> Ä « ½ </w:t>
      </w:r>
      <w:r>
        <w:rPr>
          <w:rFonts w:ascii="MS PGothic" w:cs="MS PGothic" w:eastAsia="MS PGothic" w:hAnsi="MS PGothic"/>
          <w:sz w:val="16"/>
          <w:szCs w:val="16"/>
          <w:color w:val="auto"/>
        </w:rPr>
        <w:t>☐</w:t>
      </w:r>
      <w:r>
        <w:rPr>
          <w:rFonts w:ascii="Arial" w:cs="Arial" w:eastAsia="Arial" w:hAnsi="Arial"/>
          <w:sz w:val="16"/>
          <w:szCs w:val="16"/>
          <w:color w:val="auto"/>
        </w:rPr>
        <w:t xml:space="preserve"> û å ñ Õ ¹ ¬ U ½ ¥ » Ð £ é Â ® Î Î ð Î ¬ ü </w:t>
      </w:r>
      <w:r>
        <w:rPr>
          <w:rFonts w:ascii="MS PGothic" w:cs="MS PGothic" w:eastAsia="MS PGothic" w:hAnsi="MS PGothic"/>
          <w:sz w:val="16"/>
          <w:szCs w:val="16"/>
          <w:color w:val="auto"/>
        </w:rPr>
        <w:t>☐</w:t>
      </w:r>
      <w:r>
        <w:rPr>
          <w:rFonts w:ascii="Arial" w:cs="Arial" w:eastAsia="Arial" w:hAnsi="Arial"/>
          <w:sz w:val="16"/>
          <w:szCs w:val="16"/>
          <w:color w:val="auto"/>
        </w:rPr>
        <w:t xml:space="preserve"> « » Þ Ú ¥ ¼ ò ù Æ ¥ ¼ ® ð Î £</w:t>
      </w:r>
    </w:p>
    <w:p>
      <w:pPr>
        <w:spacing w:after="0" w:line="211" w:lineRule="exact"/>
        <w:rPr>
          <w:sz w:val="20"/>
          <w:szCs w:val="20"/>
          <w:color w:val="auto"/>
        </w:rPr>
      </w:pPr>
    </w:p>
    <w:p>
      <w:pPr>
        <w:jc w:val="both"/>
        <w:ind w:left="380"/>
        <w:spacing w:after="0" w:line="252" w:lineRule="auto"/>
        <w:rPr>
          <w:sz w:val="20"/>
          <w:szCs w:val="20"/>
          <w:color w:val="auto"/>
        </w:rPr>
      </w:pPr>
      <w:r>
        <w:rPr>
          <w:rFonts w:ascii="Arial" w:cs="Arial" w:eastAsia="Arial" w:hAnsi="Arial"/>
          <w:sz w:val="16"/>
          <w:szCs w:val="16"/>
          <w:color w:val="auto"/>
        </w:rPr>
        <w:t>All parties agree that the Original Agreement is terminated effective immediately on and as of the Effective Date and the Parties’ rights and obligations under the Original Agreement shall cease, and the Parties shall not bear any liability of whatever kind or nature under or in connection with the Original Agreement, including without limitation, any breach or claim of breach of the Original Agreement.</w:t>
      </w:r>
    </w:p>
    <w:p>
      <w:pPr>
        <w:spacing w:after="0" w:line="109"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Ò ½ ò Ò ½ Ë ¹ ò ¡ ° ÷ é ø ñ ¡ ¡ ½ à Ø Ê Ï ó ¬ ¦ £ ¤ Ô à Ø Ê Ï ¢ Å ¢ Ð £ £ Ü å ñ £</w:t>
      </w:r>
    </w:p>
    <w:p>
      <w:pPr>
        <w:spacing w:after="0" w:line="19" w:lineRule="exact"/>
        <w:rPr>
          <w:sz w:val="20"/>
          <w:szCs w:val="20"/>
          <w:color w:val="auto"/>
        </w:rPr>
      </w:pPr>
    </w:p>
    <w:p>
      <w:pPr>
        <w:ind w:left="360"/>
        <w:spacing w:after="0" w:line="257" w:lineRule="auto"/>
        <w:rPr>
          <w:sz w:val="20"/>
          <w:szCs w:val="20"/>
          <w:color w:val="auto"/>
        </w:rPr>
      </w:pPr>
      <w:r>
        <w:rPr>
          <w:rFonts w:ascii="Arial" w:cs="Arial" w:eastAsia="Arial" w:hAnsi="Arial"/>
          <w:sz w:val="16"/>
          <w:szCs w:val="16"/>
          <w:color w:val="auto"/>
        </w:rPr>
        <w:t>After Party B has returned to Party A the documents and materials that Party B had received in the course of its due diligence review of Party D (“Due Diligence Materials”), Party B shall thereafter also ensure confidentiality of such Due Diligence Materials and their associated information.</w:t>
      </w:r>
    </w:p>
    <w:p>
      <w:pPr>
        <w:spacing w:after="0" w:line="75" w:lineRule="exact"/>
        <w:rPr>
          <w:sz w:val="20"/>
          <w:szCs w:val="20"/>
          <w:color w:val="auto"/>
        </w:rPr>
      </w:pPr>
    </w:p>
    <w:p>
      <w:pPr>
        <w:ind w:left="460" w:hanging="452"/>
        <w:spacing w:after="0" w:line="211" w:lineRule="exact"/>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Ú ú § Õ ð5 Õ Ú ¬ × ½ ¦ ú Ò ½ â </w:t>
      </w:r>
      <w:r>
        <w:rPr>
          <w:rFonts w:ascii="MS PGothic" w:cs="MS PGothic" w:eastAsia="MS PGothic" w:hAnsi="MS PGothic"/>
          <w:sz w:val="16"/>
          <w:szCs w:val="16"/>
          <w:color w:val="auto"/>
        </w:rPr>
        <w:t>☒</w:t>
      </w:r>
      <w:r>
        <w:rPr>
          <w:rFonts w:ascii="Arial" w:cs="Arial" w:eastAsia="Arial" w:hAnsi="Arial"/>
          <w:sz w:val="16"/>
          <w:szCs w:val="16"/>
          <w:color w:val="auto"/>
        </w:rPr>
        <w:t xml:space="preserve"> ² Ü Ë § Ä ² Ü ¢ ú « ² Ü Ë § Ð Ä </w:t>
      </w:r>
      <w:r>
        <w:rPr>
          <w:rFonts w:ascii="MS PGothic" w:cs="MS PGothic" w:eastAsia="MS PGothic" w:hAnsi="MS PGothic"/>
          <w:sz w:val="16"/>
          <w:szCs w:val="16"/>
          <w:color w:val="auto"/>
        </w:rPr>
        <w:t>☐</w:t>
      </w:r>
      <w:r>
        <w:rPr>
          <w:rFonts w:ascii="Arial" w:cs="Arial" w:eastAsia="Arial" w:hAnsi="Arial"/>
          <w:sz w:val="16"/>
          <w:szCs w:val="16"/>
          <w:color w:val="auto"/>
        </w:rPr>
        <w:t xml:space="preserve"> ð </w:t>
      </w:r>
      <w:r>
        <w:rPr>
          <w:rFonts w:ascii="MS PGothic" w:cs="MS PGothic" w:eastAsia="MS PGothic" w:hAnsi="MS PGothic"/>
          <w:sz w:val="16"/>
          <w:szCs w:val="16"/>
          <w:color w:val="auto"/>
        </w:rPr>
        <w:t>☐</w:t>
      </w:r>
      <w:r>
        <w:rPr>
          <w:rFonts w:ascii="Arial" w:cs="Arial" w:eastAsia="Arial" w:hAnsi="Arial"/>
          <w:sz w:val="16"/>
          <w:szCs w:val="16"/>
          <w:color w:val="auto"/>
        </w:rPr>
        <w:t xml:space="preserve"> ¬ ² Ü Ë § ù Ã û ¢ ¬ ç Ð ©, Ë Ø Á Ò ½ é æ ¸ </w:t>
      </w:r>
      <w:r>
        <w:rPr>
          <w:rFonts w:ascii="MS PGothic" w:cs="MS PGothic" w:eastAsia="MS PGothic" w:hAnsi="MS PGothic"/>
          <w:sz w:val="16"/>
          <w:szCs w:val="16"/>
          <w:color w:val="auto"/>
        </w:rPr>
        <w:t>☐</w:t>
      </w:r>
      <w:r>
        <w:rPr>
          <w:rFonts w:ascii="Arial" w:cs="Arial" w:eastAsia="Arial" w:hAnsi="Arial"/>
          <w:sz w:val="16"/>
          <w:szCs w:val="16"/>
          <w:color w:val="auto"/>
        </w:rPr>
        <w:t xml:space="preserve"> Ë § £</w:t>
      </w:r>
    </w:p>
    <w:p>
      <w:pPr>
        <w:spacing w:after="0" w:line="211" w:lineRule="exact"/>
        <w:rPr>
          <w:sz w:val="20"/>
          <w:szCs w:val="20"/>
          <w:color w:val="auto"/>
        </w:rPr>
      </w:pPr>
    </w:p>
    <w:p>
      <w:pPr>
        <w:ind w:left="380"/>
        <w:spacing w:after="0" w:line="257" w:lineRule="auto"/>
        <w:rPr>
          <w:sz w:val="20"/>
          <w:szCs w:val="20"/>
          <w:color w:val="auto"/>
        </w:rPr>
      </w:pPr>
      <w:r>
        <w:rPr>
          <w:rFonts w:ascii="Arial" w:cs="Arial" w:eastAsia="Arial" w:hAnsi="Arial"/>
          <w:sz w:val="16"/>
          <w:szCs w:val="16"/>
          <w:color w:val="auto"/>
        </w:rPr>
        <w:t>Within 5 days from the Effective Date, Party A shall assist Party B in the cancellation of the Escrow Account and the return of the Initial Deposit (including interest accrued, if any), to the account of Party B as Party B designates in writing.</w:t>
      </w:r>
    </w:p>
    <w:p>
      <w:pPr>
        <w:spacing w:after="0" w:line="75" w:lineRule="exact"/>
        <w:rPr>
          <w:sz w:val="20"/>
          <w:szCs w:val="20"/>
          <w:color w:val="auto"/>
        </w:rPr>
      </w:pPr>
    </w:p>
    <w:p>
      <w:pPr>
        <w:spacing w:after="0" w:line="184" w:lineRule="exact"/>
        <w:tabs>
          <w:tab w:leader="none" w:pos="440" w:val="left"/>
          <w:tab w:leader="none" w:pos="1620" w:val="left"/>
          <w:tab w:leader="none" w:pos="342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ô × ½ ´ ´ ¾</w:t>
        <w:tab/>
        <w:t xml:space="preserve">é Ú3 õ Ä ¼ </w:t>
      </w:r>
      <w:r>
        <w:rPr>
          <w:rFonts w:ascii="MS PGothic" w:cs="MS PGothic" w:eastAsia="MS PGothic" w:hAnsi="MS PGothic"/>
          <w:sz w:val="16"/>
          <w:szCs w:val="16"/>
          <w:color w:val="auto"/>
        </w:rPr>
        <w:t>☐</w:t>
      </w:r>
      <w:r>
        <w:rPr>
          <w:rFonts w:ascii="Arial" w:cs="Arial" w:eastAsia="Arial" w:hAnsi="Arial"/>
          <w:sz w:val="16"/>
          <w:szCs w:val="16"/>
          <w:color w:val="auto"/>
        </w:rPr>
        <w:t xml:space="preserve"> Ä Ð,</w:t>
        <w:tab/>
        <w:t>¿ â Ú1 Õ ¬ × ½ ¦ ´ ² Ü Ë § Ú ´ Ë ¹ Ò ½ ð î Ä0.05% ò Ò ½ § ¶ ¥ ¼ ð £</w:t>
      </w:r>
    </w:p>
    <w:p>
      <w:pPr>
        <w:spacing w:after="0" w:line="224"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If Party A does not fulfill its obligations under Article 3 above, Party A shall pay Party B a penalty charge of 0.05% per day of the unpaid amount to Party B in the Escrow Account</w:t>
      </w:r>
    </w:p>
    <w:p>
      <w:pPr>
        <w:spacing w:after="0" w:line="62" w:lineRule="exact"/>
        <w:rPr>
          <w:sz w:val="20"/>
          <w:szCs w:val="20"/>
          <w:color w:val="auto"/>
        </w:rPr>
      </w:pPr>
    </w:p>
    <w:p>
      <w:pPr>
        <w:spacing w:after="0" w:line="184" w:lineRule="exact"/>
        <w:tabs>
          <w:tab w:leader="none" w:pos="460" w:val="left"/>
          <w:tab w:leader="none" w:pos="1180" w:val="left"/>
          <w:tab w:leader="none" w:pos="7540" w:val="left"/>
          <w:tab w:leader="none" w:pos="9840" w:val="left"/>
          <w:tab w:leader="none" w:pos="1078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 xml:space="preserve">¾ â </w:t>
      </w:r>
      <w:r>
        <w:rPr>
          <w:rFonts w:ascii="MS PGothic" w:cs="MS PGothic" w:eastAsia="MS PGothic" w:hAnsi="MS PGothic"/>
          <w:sz w:val="16"/>
          <w:szCs w:val="16"/>
          <w:color w:val="auto"/>
        </w:rPr>
        <w:t>☒</w:t>
      </w:r>
      <w:r>
        <w:rPr>
          <w:rFonts w:ascii="Arial" w:cs="Arial" w:eastAsia="Arial" w:hAnsi="Arial"/>
          <w:sz w:val="16"/>
          <w:szCs w:val="16"/>
          <w:color w:val="auto"/>
        </w:rPr>
        <w:tab/>
        <w:t xml:space="preserve">é Ã Ð ¢ Ä é ´ ¬ ç ½ Ö ï Ä æ ¾ æ </w:t>
      </w:r>
      <w:r>
        <w:rPr>
          <w:rFonts w:ascii="MS PGothic" w:cs="MS PGothic" w:eastAsia="MS PGothic" w:hAnsi="MS PGothic"/>
          <w:sz w:val="16"/>
          <w:szCs w:val="16"/>
          <w:color w:val="auto"/>
        </w:rPr>
        <w:t>☐</w:t>
      </w:r>
      <w:r>
        <w:rPr>
          <w:rFonts w:ascii="Arial" w:cs="Arial" w:eastAsia="Arial" w:hAnsi="Arial"/>
          <w:sz w:val="16"/>
          <w:szCs w:val="16"/>
          <w:color w:val="auto"/>
        </w:rPr>
        <w:t xml:space="preserve"> » ¬ ¬ Ô Ð Ä æ ¾ ª ¼ £ ò Ä Ð ¾</w:t>
        <w:tab/>
        <w:t>é ¢ ú ù é Ä ¬ ÷ ½ ¦ Ñ Ã</w:t>
        <w:tab/>
        <w:t>Ì â ö » ç</w:t>
        <w:tab/>
        <w:t>Ì » É ¬</w:t>
      </w:r>
    </w:p>
    <w:p>
      <w:pPr>
        <w:spacing w:after="0" w:line="49" w:lineRule="exact"/>
        <w:rPr>
          <w:sz w:val="20"/>
          <w:szCs w:val="20"/>
          <w:color w:val="auto"/>
        </w:rPr>
      </w:pPr>
    </w:p>
    <w:p>
      <w:pPr>
        <w:ind w:left="660" w:hanging="179"/>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Î Î » ½ É « Ð Ø ù é á » Á Ï ³ ú Ê Ù Ã Ð Ä ´ Ã ¯ ± á Ä Ù Ã Ì ò æ ò ø Ð î Õ Ù Ã ¬ Ù Ã Ã ö ª Õ Ö ¬ Ô ÷ ½ ù ß Ð ¼ ø ¦</w:t>
      </w:r>
    </w:p>
    <w:p>
      <w:pPr>
        <w:spacing w:after="0" w:line="5" w:lineRule="exact"/>
        <w:rPr>
          <w:rFonts w:ascii="Arial" w:cs="Arial" w:eastAsia="Arial" w:hAnsi="Arial"/>
          <w:sz w:val="16"/>
          <w:szCs w:val="16"/>
          <w:color w:val="auto"/>
        </w:rPr>
      </w:pPr>
    </w:p>
    <w:p>
      <w:pPr>
        <w:ind w:left="560" w:hanging="174"/>
        <w:spacing w:after="0" w:line="184" w:lineRule="exact"/>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¾   é Ä © ¢ ¢ ´ Ð ¢ § ¦ ¢ â Í Ô ° É Ë ú ú Ä ù é â ö ù Ê Ã Ð ª Ë ñ ² Í ú </w:t>
      </w:r>
      <w:r>
        <w:rPr>
          <w:rFonts w:ascii="MS PGothic" w:cs="MS PGothic" w:eastAsia="MS PGothic" w:hAnsi="MS PGothic"/>
          <w:sz w:val="16"/>
          <w:szCs w:val="16"/>
          <w:color w:val="auto"/>
        </w:rPr>
        <w:t>☐</w:t>
      </w:r>
      <w:r>
        <w:rPr>
          <w:rFonts w:ascii="Arial" w:cs="Arial" w:eastAsia="Arial" w:hAnsi="Arial"/>
          <w:sz w:val="16"/>
          <w:szCs w:val="16"/>
          <w:color w:val="auto"/>
        </w:rPr>
        <w:t xml:space="preserve"> É £</w:t>
      </w:r>
    </w:p>
    <w:p>
      <w:pPr>
        <w:spacing w:after="0" w:line="5" w:lineRule="exact"/>
        <w:rPr>
          <w:sz w:val="20"/>
          <w:szCs w:val="20"/>
          <w:color w:val="auto"/>
        </w:rPr>
      </w:pPr>
    </w:p>
    <w:p>
      <w:pPr>
        <w:jc w:val="both"/>
        <w:ind w:left="380"/>
        <w:spacing w:after="0" w:line="249" w:lineRule="auto"/>
        <w:rPr>
          <w:sz w:val="20"/>
          <w:szCs w:val="20"/>
          <w:color w:val="auto"/>
        </w:rPr>
      </w:pPr>
      <w:r>
        <w:rPr>
          <w:rFonts w:ascii="Arial" w:cs="Arial" w:eastAsia="Arial" w:hAnsi="Arial"/>
          <w:sz w:val="16"/>
          <w:szCs w:val="16"/>
          <w:color w:val="auto"/>
        </w:rPr>
        <w:t>This Termination Agreement is written in both Chinese and English. If there is any discrepancy between the two versions, the Chinese version shall prevail. Any disputes and claims arising out of this Termination Agreement shall first be resolved by friendly consultation, and if no agreement can be reached by friendly consultation, any Party may submit the dispute or claim for arbitration before the China Nansha International Arbitration Centre in accordance with its procedural rules, and any arbitral award shall be final and binding on the Parties. Further, the conclusion, implementation, validity and interpretation of and disputes arising out of this Termination Agreement shall be governed by the laws of the People’s Republic of China.</w:t>
      </w:r>
    </w:p>
    <w:p>
      <w:pPr>
        <w:spacing w:after="0" w:line="82" w:lineRule="exact"/>
        <w:rPr>
          <w:sz w:val="20"/>
          <w:szCs w:val="20"/>
          <w:color w:val="auto"/>
        </w:rPr>
      </w:pPr>
    </w:p>
    <w:p>
      <w:pPr>
        <w:ind w:left="480" w:hanging="472"/>
        <w:spacing w:after="0" w:line="184" w:lineRule="exact"/>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¾ â </w:t>
      </w:r>
      <w:r>
        <w:rPr>
          <w:rFonts w:ascii="MS PGothic" w:cs="MS PGothic" w:eastAsia="MS PGothic" w:hAnsi="MS PGothic"/>
          <w:sz w:val="16"/>
          <w:szCs w:val="16"/>
          <w:color w:val="auto"/>
        </w:rPr>
        <w:t>☒</w:t>
      </w:r>
      <w:r>
        <w:rPr>
          <w:rFonts w:ascii="Arial" w:cs="Arial" w:eastAsia="Arial" w:hAnsi="Arial"/>
          <w:sz w:val="16"/>
          <w:szCs w:val="16"/>
          <w:color w:val="auto"/>
        </w:rPr>
        <w:t xml:space="preserve">  é » ½ ° Ý ¬ × Ò û ¡ ì ÷ ½ ÷ ´ ¡ Ý ¬ Ô ÷ ½ 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 Ö ¢ Ó Ç « Â ® Õ ð ú § ¬ ¿ Ý ù ß ¬ È </w:t>
      </w:r>
      <w:r>
        <w:rPr>
          <w:rFonts w:ascii="MS PGothic" w:cs="MS PGothic" w:eastAsia="MS PGothic" w:hAnsi="MS PGothic"/>
          <w:sz w:val="16"/>
          <w:szCs w:val="16"/>
          <w:color w:val="auto"/>
        </w:rPr>
        <w:t>☐</w:t>
      </w:r>
      <w:r>
        <w:rPr>
          <w:rFonts w:ascii="Arial" w:cs="Arial" w:eastAsia="Arial" w:hAnsi="Arial"/>
          <w:sz w:val="16"/>
          <w:szCs w:val="16"/>
          <w:color w:val="auto"/>
        </w:rPr>
        <w:t xml:space="preserve"> É § ¦ £</w:t>
      </w:r>
    </w:p>
    <w:p>
      <w:pPr>
        <w:spacing w:after="0" w:line="49" w:lineRule="exact"/>
        <w:rPr>
          <w:sz w:val="20"/>
          <w:szCs w:val="20"/>
          <w:color w:val="auto"/>
        </w:rPr>
      </w:pPr>
    </w:p>
    <w:p>
      <w:pPr>
        <w:ind w:left="380" w:right="20"/>
        <w:spacing w:after="0" w:line="257" w:lineRule="auto"/>
        <w:rPr>
          <w:sz w:val="20"/>
          <w:szCs w:val="20"/>
          <w:color w:val="auto"/>
        </w:rPr>
      </w:pPr>
      <w:r>
        <w:rPr>
          <w:rFonts w:ascii="Arial" w:cs="Arial" w:eastAsia="Arial" w:hAnsi="Arial"/>
          <w:sz w:val="16"/>
          <w:szCs w:val="16"/>
          <w:color w:val="auto"/>
        </w:rPr>
        <w:t>This Termination Agreement will be signed in ten duplicates. Each party will hold two copies and each copy shall have full legal effect. The Agreement shall be effective upon the signing of the Agreement by each party’s authorized representative and the affixing of each</w:t>
      </w:r>
    </w:p>
    <w:p>
      <w:pPr>
        <w:sectPr>
          <w:pgSz w:w="11900" w:h="16838" w:orient="portrait"/>
          <w:cols w:equalWidth="0" w:num="1">
            <w:col w:w="11420"/>
          </w:cols>
          <w:pgMar w:left="240" w:top="589" w:right="239" w:bottom="1440" w:gutter="0" w:footer="0" w:header="0"/>
        </w:sectPr>
      </w:pPr>
    </w:p>
    <w:bookmarkStart w:id="47" w:name="page48"/>
    <w:bookmarkEnd w:id="47"/>
    <w:p>
      <w:pPr>
        <w:ind w:left="380"/>
        <w:spacing w:after="0"/>
        <w:rPr>
          <w:sz w:val="20"/>
          <w:szCs w:val="20"/>
          <w:color w:val="auto"/>
        </w:rPr>
      </w:pPr>
      <w:r>
        <w:rPr>
          <w:rFonts w:ascii="Arial" w:cs="Arial" w:eastAsia="Arial" w:hAnsi="Arial"/>
          <w:sz w:val="16"/>
          <w:szCs w:val="16"/>
          <w:color w:val="auto"/>
        </w:rPr>
        <w:t>party’s chop.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7279" w:firstLine="103"/>
        <w:spacing w:after="0" w:line="280" w:lineRule="exact"/>
        <w:tabs>
          <w:tab w:leader="none" w:pos="28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½ º µ Â ¢ ¹ Ð Þ « ¾ </w:t>
      </w:r>
      <w:r>
        <w:rPr>
          <w:rFonts w:ascii="MS PGothic" w:cs="MS PGothic" w:eastAsia="MS PGothic" w:hAnsi="MS PGothic"/>
          <w:sz w:val="16"/>
          <w:szCs w:val="16"/>
          <w:color w:val="auto"/>
        </w:rPr>
        <w:t>☐</w:t>
      </w:r>
      <w:r>
        <w:rPr>
          <w:rFonts w:ascii="Arial" w:cs="Arial" w:eastAsia="Arial" w:hAnsi="Arial"/>
          <w:sz w:val="16"/>
          <w:szCs w:val="16"/>
          <w:color w:val="auto"/>
        </w:rPr>
        <w:t xml:space="preserve"> Ç Â © Party A: CG Development Limited (Chop)</w:t>
      </w:r>
    </w:p>
    <w:p>
      <w:pPr>
        <w:spacing w:after="0" w:line="89"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ò 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w:t>
      </w:r>
      <w:r>
        <w:rPr>
          <w:rFonts w:ascii="MS PGothic" w:cs="MS PGothic" w:eastAsia="MS PGothic" w:hAnsi="MS PGothic"/>
          <w:sz w:val="16"/>
          <w:szCs w:val="16"/>
          <w:color w:val="auto"/>
        </w:rPr>
        <w:t>☐</w:t>
      </w:r>
      <w:r>
        <w:rPr>
          <w:rFonts w:ascii="Arial" w:cs="Arial" w:eastAsia="Arial" w:hAnsi="Arial"/>
          <w:sz w:val="16"/>
          <w:szCs w:val="16"/>
          <w:color w:val="auto"/>
        </w:rPr>
        <w:t xml:space="preserve"> © Ö © º</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140" w:lineRule="exact"/>
        <w:rPr>
          <w:sz w:val="20"/>
          <w:szCs w:val="20"/>
          <w:color w:val="auto"/>
        </w:rPr>
      </w:pPr>
    </w:p>
    <w:p>
      <w:pPr>
        <w:ind w:right="9539" w:firstLine="103"/>
        <w:spacing w:after="0" w:line="452" w:lineRule="auto"/>
        <w:tabs>
          <w:tab w:leader="none" w:pos="3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Â Õ Date:</w:t>
      </w:r>
    </w:p>
    <w:p>
      <w:pPr>
        <w:spacing w:after="0" w:line="249" w:lineRule="exact"/>
        <w:rPr>
          <w:sz w:val="20"/>
          <w:szCs w:val="20"/>
          <w:color w:val="auto"/>
        </w:rPr>
      </w:pPr>
    </w:p>
    <w:p>
      <w:pPr>
        <w:ind w:left="320" w:hanging="217"/>
        <w:spacing w:after="0" w:line="184" w:lineRule="exact"/>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½ º ã Ý Ð B » ¶ Ê Ð Þ « ¾ </w:t>
      </w:r>
      <w:r>
        <w:rPr>
          <w:rFonts w:ascii="MS PGothic" w:cs="MS PGothic" w:eastAsia="MS PGothic" w:hAnsi="MS PGothic"/>
          <w:sz w:val="16"/>
          <w:szCs w:val="16"/>
          <w:color w:val="auto"/>
        </w:rPr>
        <w:t>☐</w:t>
      </w:r>
      <w:r>
        <w:rPr>
          <w:rFonts w:ascii="Arial" w:cs="Arial" w:eastAsia="Arial" w:hAnsi="Arial"/>
          <w:sz w:val="16"/>
          <w:szCs w:val="16"/>
          <w:color w:val="auto"/>
        </w:rPr>
        <w:t xml:space="preserve"> Ç Â ©</w:t>
      </w:r>
    </w:p>
    <w:p>
      <w:pPr>
        <w:spacing w:after="0" w:line="17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Party B:   Guangzhou Junhao Investment Co., Ltd. (Chop)</w:t>
      </w:r>
    </w:p>
    <w:p>
      <w:pPr>
        <w:spacing w:after="0" w:line="122"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ò 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w:t>
      </w:r>
      <w:r>
        <w:rPr>
          <w:rFonts w:ascii="MS PGothic" w:cs="MS PGothic" w:eastAsia="MS PGothic" w:hAnsi="MS PGothic"/>
          <w:sz w:val="16"/>
          <w:szCs w:val="16"/>
          <w:color w:val="auto"/>
        </w:rPr>
        <w:t>☐</w:t>
      </w:r>
      <w:r>
        <w:rPr>
          <w:rFonts w:ascii="Arial" w:cs="Arial" w:eastAsia="Arial" w:hAnsi="Arial"/>
          <w:sz w:val="16"/>
          <w:szCs w:val="16"/>
          <w:color w:val="auto"/>
        </w:rPr>
        <w:t xml:space="preserve"> © Ö © º</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140" w:lineRule="exact"/>
        <w:rPr>
          <w:sz w:val="20"/>
          <w:szCs w:val="20"/>
          <w:color w:val="auto"/>
        </w:rPr>
      </w:pPr>
    </w:p>
    <w:p>
      <w:pPr>
        <w:ind w:right="9539" w:firstLine="103"/>
        <w:spacing w:after="0" w:line="452" w:lineRule="auto"/>
        <w:tabs>
          <w:tab w:leader="none" w:pos="3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Â Õ Date:</w:t>
      </w:r>
    </w:p>
    <w:p>
      <w:pPr>
        <w:spacing w:after="0" w:line="249" w:lineRule="exact"/>
        <w:rPr>
          <w:sz w:val="20"/>
          <w:szCs w:val="20"/>
          <w:color w:val="auto"/>
        </w:rPr>
      </w:pPr>
    </w:p>
    <w:p>
      <w:pPr>
        <w:jc w:val="center"/>
        <w:ind w:right="7279" w:firstLine="103"/>
        <w:spacing w:after="0" w:line="280" w:lineRule="exact"/>
        <w:tabs>
          <w:tab w:leader="none" w:pos="27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½ º </w:t>
      </w:r>
      <w:r>
        <w:rPr>
          <w:rFonts w:ascii="MS PGothic" w:cs="MS PGothic" w:eastAsia="MS PGothic" w:hAnsi="MS PGothic"/>
          <w:sz w:val="16"/>
          <w:szCs w:val="16"/>
          <w:color w:val="auto"/>
        </w:rPr>
        <w:t>☐</w:t>
      </w:r>
      <w:r>
        <w:rPr>
          <w:rFonts w:ascii="Arial" w:cs="Arial" w:eastAsia="Arial" w:hAnsi="Arial"/>
          <w:sz w:val="16"/>
          <w:szCs w:val="16"/>
          <w:color w:val="auto"/>
        </w:rPr>
        <w:t xml:space="preserve"> Ã ç Ó « ¾ </w:t>
      </w:r>
      <w:r>
        <w:rPr>
          <w:rFonts w:ascii="MS PGothic" w:cs="MS PGothic" w:eastAsia="MS PGothic" w:hAnsi="MS PGothic"/>
          <w:sz w:val="16"/>
          <w:szCs w:val="16"/>
          <w:color w:val="auto"/>
        </w:rPr>
        <w:t>☐</w:t>
      </w:r>
      <w:r>
        <w:rPr>
          <w:rFonts w:ascii="Arial" w:cs="Arial" w:eastAsia="Arial" w:hAnsi="Arial"/>
          <w:sz w:val="16"/>
          <w:szCs w:val="16"/>
          <w:color w:val="auto"/>
        </w:rPr>
        <w:t xml:space="preserve"> Ç Â © Party C:   Universal Electronics Inc. (Chop)</w:t>
      </w:r>
    </w:p>
    <w:p>
      <w:pPr>
        <w:spacing w:after="0" w:line="89"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ò 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w:t>
      </w:r>
      <w:r>
        <w:rPr>
          <w:rFonts w:ascii="MS PGothic" w:cs="MS PGothic" w:eastAsia="MS PGothic" w:hAnsi="MS PGothic"/>
          <w:sz w:val="16"/>
          <w:szCs w:val="16"/>
          <w:color w:val="auto"/>
        </w:rPr>
        <w:t>☐</w:t>
      </w:r>
      <w:r>
        <w:rPr>
          <w:rFonts w:ascii="Arial" w:cs="Arial" w:eastAsia="Arial" w:hAnsi="Arial"/>
          <w:sz w:val="16"/>
          <w:szCs w:val="16"/>
          <w:color w:val="auto"/>
        </w:rPr>
        <w:t xml:space="preserve"> © Ö © º</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140" w:lineRule="exact"/>
        <w:rPr>
          <w:sz w:val="20"/>
          <w:szCs w:val="20"/>
          <w:color w:val="auto"/>
        </w:rPr>
      </w:pPr>
    </w:p>
    <w:p>
      <w:pPr>
        <w:ind w:left="540"/>
        <w:spacing w:after="0"/>
        <w:tabs>
          <w:tab w:leader="none" w:pos="720" w:val="left"/>
          <w:tab w:leader="none" w:pos="980" w:val="left"/>
        </w:tabs>
        <w:rPr>
          <w:sz w:val="20"/>
          <w:szCs w:val="20"/>
          <w:color w:val="auto"/>
        </w:rPr>
      </w:pPr>
      <w:r>
        <w:rPr>
          <w:rFonts w:ascii="Arial" w:cs="Arial" w:eastAsia="Arial" w:hAnsi="Arial"/>
          <w:sz w:val="16"/>
          <w:szCs w:val="16"/>
          <w:color w:val="auto"/>
        </w:rPr>
        <w:t>ê</w:t>
        <w:tab/>
        <w:t>Â</w:t>
      </w:r>
      <w:r>
        <w:rPr>
          <w:sz w:val="20"/>
          <w:szCs w:val="20"/>
          <w:color w:val="auto"/>
        </w:rPr>
        <w:tab/>
      </w:r>
      <w:r>
        <w:rPr>
          <w:rFonts w:ascii="Arial" w:cs="Arial" w:eastAsia="Arial" w:hAnsi="Arial"/>
          <w:sz w:val="15"/>
          <w:szCs w:val="15"/>
          <w:color w:val="auto"/>
        </w:rPr>
        <w:t>Õ</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34" w:lineRule="exact"/>
        <w:rPr>
          <w:sz w:val="20"/>
          <w:szCs w:val="20"/>
          <w:color w:val="auto"/>
        </w:rPr>
      </w:pPr>
    </w:p>
    <w:p>
      <w:pPr>
        <w:ind w:right="6319" w:firstLine="103"/>
        <w:spacing w:after="0" w:line="280" w:lineRule="exact"/>
        <w:tabs>
          <w:tab w:leader="none" w:pos="2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½ º ¥ </w:t>
      </w:r>
      <w:r>
        <w:rPr>
          <w:rFonts w:ascii="MS PGothic" w:cs="MS PGothic" w:eastAsia="MS PGothic" w:hAnsi="MS PGothic"/>
          <w:sz w:val="16"/>
          <w:szCs w:val="16"/>
          <w:color w:val="auto"/>
        </w:rPr>
        <w:t>☒</w:t>
      </w:r>
      <w:r>
        <w:rPr>
          <w:rFonts w:ascii="Arial" w:cs="Arial" w:eastAsia="Arial" w:hAnsi="Arial"/>
          <w:sz w:val="16"/>
          <w:szCs w:val="16"/>
          <w:color w:val="auto"/>
        </w:rPr>
        <w:t xml:space="preserve"> Æ ¼ </w:t>
      </w:r>
      <w:r>
        <w:rPr>
          <w:rFonts w:ascii="MS PGothic" w:cs="MS PGothic" w:eastAsia="MS PGothic" w:hAnsi="MS PGothic"/>
          <w:sz w:val="16"/>
          <w:szCs w:val="16"/>
          <w:color w:val="auto"/>
        </w:rPr>
        <w:t>☐</w:t>
      </w:r>
      <w:r>
        <w:rPr>
          <w:rFonts w:ascii="Arial" w:cs="Arial" w:eastAsia="Arial" w:hAnsi="Arial"/>
          <w:sz w:val="16"/>
          <w:szCs w:val="16"/>
          <w:color w:val="auto"/>
        </w:rPr>
        <w:t xml:space="preserve"> Ð ú © Ð Þ « ¾ </w:t>
      </w:r>
      <w:r>
        <w:rPr>
          <w:rFonts w:ascii="MS PGothic" w:cs="MS PGothic" w:eastAsia="MS PGothic" w:hAnsi="MS PGothic"/>
          <w:sz w:val="16"/>
          <w:szCs w:val="16"/>
          <w:color w:val="auto"/>
        </w:rPr>
        <w:t>☐</w:t>
      </w:r>
      <w:r>
        <w:rPr>
          <w:rFonts w:ascii="Arial" w:cs="Arial" w:eastAsia="Arial" w:hAnsi="Arial"/>
          <w:sz w:val="16"/>
          <w:szCs w:val="16"/>
          <w:color w:val="auto"/>
        </w:rPr>
        <w:t xml:space="preserve"> Ç Â © Party D: Gemstar Technology (China) Co. Ltd. (Chop)</w:t>
      </w:r>
    </w:p>
    <w:p>
      <w:pPr>
        <w:spacing w:after="0" w:line="89"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ò 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w:t>
      </w:r>
      <w:r>
        <w:rPr>
          <w:rFonts w:ascii="MS PGothic" w:cs="MS PGothic" w:eastAsia="MS PGothic" w:hAnsi="MS PGothic"/>
          <w:sz w:val="16"/>
          <w:szCs w:val="16"/>
          <w:color w:val="auto"/>
        </w:rPr>
        <w:t>☐</w:t>
      </w:r>
      <w:r>
        <w:rPr>
          <w:rFonts w:ascii="Arial" w:cs="Arial" w:eastAsia="Arial" w:hAnsi="Arial"/>
          <w:sz w:val="16"/>
          <w:szCs w:val="16"/>
          <w:color w:val="auto"/>
        </w:rPr>
        <w:t xml:space="preserve"> © Ö © º</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140" w:lineRule="exact"/>
        <w:rPr>
          <w:sz w:val="20"/>
          <w:szCs w:val="20"/>
          <w:color w:val="auto"/>
        </w:rPr>
      </w:pPr>
    </w:p>
    <w:p>
      <w:pPr>
        <w:ind w:right="9539" w:firstLine="103"/>
        <w:spacing w:after="0" w:line="452" w:lineRule="auto"/>
        <w:tabs>
          <w:tab w:leader="none" w:pos="3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Â Õ Date:</w:t>
      </w:r>
    </w:p>
    <w:p>
      <w:pPr>
        <w:spacing w:after="0" w:line="279" w:lineRule="exact"/>
        <w:rPr>
          <w:sz w:val="20"/>
          <w:szCs w:val="20"/>
          <w:color w:val="auto"/>
        </w:rPr>
      </w:pPr>
    </w:p>
    <w:p>
      <w:pPr>
        <w:jc w:val="center"/>
        <w:ind w:right="7619" w:firstLine="103"/>
        <w:spacing w:after="0" w:line="403" w:lineRule="auto"/>
        <w:tabs>
          <w:tab w:leader="none" w:pos="234" w:val="left"/>
        </w:tabs>
        <w:numPr>
          <w:ilvl w:val="0"/>
          <w:numId w:val="34"/>
        </w:numPr>
        <w:rPr>
          <w:rFonts w:ascii="Arial" w:cs="Arial" w:eastAsia="Arial" w:hAnsi="Arial"/>
          <w:sz w:val="16"/>
          <w:szCs w:val="16"/>
          <w:color w:val="auto"/>
        </w:rPr>
      </w:pPr>
      <w:r>
        <w:rPr>
          <w:rFonts w:ascii="Arial" w:cs="Arial" w:eastAsia="Arial" w:hAnsi="Arial"/>
          <w:sz w:val="16"/>
          <w:szCs w:val="16"/>
          <w:color w:val="auto"/>
        </w:rPr>
        <w:t>½ º ± ú ¤   Ø É Ð Þ « ¾ Party E: Times China Holdings Limited</w:t>
      </w:r>
    </w:p>
    <w:p>
      <w:pPr>
        <w:ind w:left="100"/>
        <w:spacing w:after="0" w:line="184" w:lineRule="exact"/>
        <w:rPr>
          <w:sz w:val="20"/>
          <w:szCs w:val="20"/>
          <w:color w:val="auto"/>
        </w:rPr>
      </w:pPr>
      <w:r>
        <w:rPr>
          <w:rFonts w:ascii="MS PGothic" w:cs="MS PGothic" w:eastAsia="MS PGothic" w:hAnsi="MS PGothic"/>
          <w:sz w:val="16"/>
          <w:szCs w:val="16"/>
          <w:color w:val="auto"/>
        </w:rPr>
        <w:t>☐ ☐</w:t>
      </w:r>
      <w:r>
        <w:rPr>
          <w:rFonts w:ascii="Arial" w:cs="Arial" w:eastAsia="Arial" w:hAnsi="Arial"/>
          <w:sz w:val="16"/>
          <w:szCs w:val="16"/>
          <w:color w:val="auto"/>
        </w:rPr>
        <w:t xml:space="preserve"> ú í Ë ò Ú </w:t>
      </w:r>
      <w:r>
        <w:rPr>
          <w:rFonts w:ascii="MS PGothic" w:cs="MS PGothic" w:eastAsia="MS PGothic" w:hAnsi="MS PGothic"/>
          <w:sz w:val="16"/>
          <w:szCs w:val="16"/>
          <w:color w:val="auto"/>
        </w:rPr>
        <w:t>☐</w:t>
      </w:r>
      <w:r>
        <w:rPr>
          <w:rFonts w:ascii="Arial" w:cs="Arial" w:eastAsia="Arial" w:hAnsi="Arial"/>
          <w:sz w:val="16"/>
          <w:szCs w:val="16"/>
          <w:color w:val="auto"/>
        </w:rPr>
        <w:t xml:space="preserve"> ú í </w:t>
      </w:r>
      <w:r>
        <w:rPr>
          <w:rFonts w:ascii="MS PGothic" w:cs="MS PGothic" w:eastAsia="MS PGothic" w:hAnsi="MS PGothic"/>
          <w:sz w:val="16"/>
          <w:szCs w:val="16"/>
          <w:color w:val="auto"/>
        </w:rPr>
        <w:t>☐</w:t>
      </w:r>
      <w:r>
        <w:rPr>
          <w:rFonts w:ascii="Arial" w:cs="Arial" w:eastAsia="Arial" w:hAnsi="Arial"/>
          <w:sz w:val="16"/>
          <w:szCs w:val="16"/>
          <w:color w:val="auto"/>
        </w:rPr>
        <w:t xml:space="preserve"> © Ö © º</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140" w:lineRule="exact"/>
        <w:rPr>
          <w:sz w:val="20"/>
          <w:szCs w:val="20"/>
          <w:color w:val="auto"/>
        </w:rPr>
      </w:pPr>
    </w:p>
    <w:p>
      <w:pPr>
        <w:ind w:right="9539" w:firstLine="103"/>
        <w:spacing w:after="0" w:line="452" w:lineRule="auto"/>
        <w:tabs>
          <w:tab w:leader="none" w:pos="3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Â Õ Date:</w:t>
      </w:r>
    </w:p>
    <w:p>
      <w:pPr>
        <w:sectPr>
          <w:pgSz w:w="11900" w:h="16838" w:orient="portrait"/>
          <w:cols w:equalWidth="0" w:num="1">
            <w:col w:w="10219"/>
          </w:cols>
          <w:pgMar w:left="240" w:top="589" w:right="1440" w:bottom="1440" w:gutter="0" w:footer="0" w:header="0"/>
        </w:sectPr>
      </w:pPr>
    </w:p>
    <w:bookmarkStart w:id="48" w:name="page49"/>
    <w:bookmarkEnd w:id="48"/>
    <w:p>
      <w:pPr>
        <w:spacing w:after="0" w:line="452" w:lineRule="auto"/>
        <w:tabs>
          <w:tab w:leader="none" w:pos="301" w:val="left"/>
        </w:tabs>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10.3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Transfer Agreement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Party A: C. G. Development Limited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Authorized representative: CHAN TAK CHUNG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Mailing address: UNIT 903-908, 9F, ONE HARBORFRONT, 18 TAK FUNG STREET, HUNG HOM, KOWLOON, HONG KONG</w:t>
      </w:r>
    </w:p>
    <w:p>
      <w:pPr>
        <w:spacing w:after="0" w:line="19" w:lineRule="exact"/>
        <w:rPr>
          <w:sz w:val="20"/>
          <w:szCs w:val="20"/>
          <w:color w:val="auto"/>
        </w:rPr>
      </w:pPr>
    </w:p>
    <w:p>
      <w:pPr>
        <w:ind w:left="1340"/>
        <w:spacing w:after="0"/>
        <w:tabs>
          <w:tab w:leader="none" w:pos="232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903-908</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Party B: Guangzhou MuXia Hotel Management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Authorized representative: Lee Huan Giuan</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p>
    <w:p>
      <w:pPr>
        <w:spacing w:after="0" w:line="193" w:lineRule="auto"/>
        <w:rPr>
          <w:sz w:val="20"/>
          <w:szCs w:val="20"/>
          <w:color w:val="auto"/>
        </w:rPr>
      </w:pPr>
      <w:r>
        <w:rPr>
          <w:rFonts w:ascii="Arial" w:cs="Arial" w:eastAsia="Arial" w:hAnsi="Arial"/>
          <w:sz w:val="16"/>
          <w:szCs w:val="16"/>
          <w:color w:val="auto"/>
        </w:rPr>
        <w:t>Mailing address: Unit 2515 of Building A7, No. 52, Industrial 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Road of Da Xiu Street, Panyu District, Guzhgzhou</w:t>
      </w:r>
    </w:p>
    <w:p>
      <w:pPr>
        <w:spacing w:after="0" w:line="1" w:lineRule="exact"/>
        <w:rPr>
          <w:sz w:val="20"/>
          <w:szCs w:val="20"/>
          <w:color w:val="auto"/>
        </w:rPr>
      </w:pPr>
    </w:p>
    <w:p>
      <w:pPr>
        <w:ind w:left="1700" w:hanging="1314"/>
        <w:spacing w:after="0"/>
        <w:tabs>
          <w:tab w:leader="none" w:pos="1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52 A7 2515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Party C: Gemstar Technology (China)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CHAN TAK CHUNG</w:t>
      </w:r>
    </w:p>
    <w:p>
      <w:pPr>
        <w:spacing w:after="0" w:line="194" w:lineRule="exact"/>
        <w:rPr>
          <w:sz w:val="20"/>
          <w:szCs w:val="20"/>
          <w:color w:val="auto"/>
        </w:rPr>
      </w:pPr>
    </w:p>
    <w:p>
      <w:pPr>
        <w:ind w:left="2000" w:right="3880" w:hanging="1984"/>
        <w:spacing w:after="0" w:line="275" w:lineRule="auto"/>
        <w:rPr>
          <w:sz w:val="20"/>
          <w:szCs w:val="20"/>
          <w:color w:val="auto"/>
        </w:rPr>
      </w:pPr>
      <w:r>
        <w:rPr>
          <w:rFonts w:ascii="Arial" w:cs="Arial" w:eastAsia="Arial" w:hAnsi="Arial"/>
          <w:sz w:val="16"/>
          <w:szCs w:val="16"/>
          <w:color w:val="auto"/>
        </w:rPr>
        <w:t>Authorized address: No. 45, Zhong Er Road Section, Shiguang Road, Zhong Cun Town, Panyu District, Guangzhou 45</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00" w:lineRule="exact"/>
        <w:rPr>
          <w:sz w:val="20"/>
          <w:szCs w:val="20"/>
          <w:color w:val="auto"/>
        </w:rPr>
      </w:pPr>
    </w:p>
    <w:p>
      <w:pPr>
        <w:spacing w:after="0" w:line="277" w:lineRule="exact"/>
        <w:rPr>
          <w:sz w:val="20"/>
          <w:szCs w:val="20"/>
          <w:color w:val="auto"/>
        </w:rPr>
      </w:pPr>
    </w:p>
    <w:p>
      <w:pPr>
        <w:jc w:val="both"/>
        <w:ind w:firstLine="8"/>
        <w:spacing w:after="0" w:line="256" w:lineRule="auto"/>
        <w:tabs>
          <w:tab w:leader="none" w:pos="1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Party C is a limited liability company established and validly existing in accordance with the laws of People’s Republic of China (wholly-owned by a Taiwan, Hong Kong or Macau company) with registration number 440126400000167 located at 45 Section II Shiguang Road, Zhongcun Town, Panyu District, Guangzhou. Its legal representative is Chen Dezhong; its total investment is US$13.35 million, and its registered capital is US$8 million which has been fully paid up. Party C is a wholly owned subsidiary of Party A, and Party A holds 100% of the equity of Party C.</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jc w:val="right"/>
              <w:ind w:right="1662"/>
              <w:spacing w:after="0"/>
              <w:rPr>
                <w:sz w:val="20"/>
                <w:szCs w:val="20"/>
                <w:color w:val="auto"/>
              </w:rPr>
            </w:pPr>
            <w:r>
              <w:rPr>
                <w:rFonts w:ascii="Arial" w:cs="Arial" w:eastAsia="Arial" w:hAnsi="Arial"/>
                <w:sz w:val="15"/>
                <w:szCs w:val="15"/>
                <w:color w:val="auto"/>
                <w:w w:val="71"/>
              </w:rPr>
              <w:t>1</w:t>
            </w:r>
          </w:p>
        </w:tc>
        <w:tc>
          <w:tcPr>
            <w:tcW w:w="4900" w:type="dxa"/>
            <w:vAlign w:val="bottom"/>
          </w:tcPr>
          <w:p>
            <w:pPr>
              <w:jc w:val="right"/>
              <w:ind w:right="859"/>
              <w:spacing w:after="0"/>
              <w:rPr>
                <w:sz w:val="20"/>
                <w:szCs w:val="20"/>
                <w:color w:val="auto"/>
              </w:rPr>
            </w:pPr>
            <w:r>
              <w:rPr>
                <w:rFonts w:ascii="Arial" w:cs="Arial" w:eastAsia="Arial" w:hAnsi="Arial"/>
                <w:sz w:val="16"/>
                <w:szCs w:val="16"/>
                <w:color w:val="auto"/>
              </w:rPr>
              <w:t>91440113618781451W</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45</w:t>
            </w:r>
          </w:p>
        </w:tc>
        <w:tc>
          <w:tcPr>
            <w:tcW w:w="1660" w:type="dxa"/>
            <w:vAlign w:val="bottom"/>
          </w:tcPr>
          <w:p>
            <w:pPr>
              <w:jc w:val="right"/>
              <w:ind w:right="439"/>
              <w:spacing w:after="0"/>
              <w:rPr>
                <w:sz w:val="20"/>
                <w:szCs w:val="20"/>
                <w:color w:val="auto"/>
              </w:rPr>
            </w:pPr>
            <w:r>
              <w:rPr>
                <w:rFonts w:ascii="Arial" w:cs="Arial" w:eastAsia="Arial" w:hAnsi="Arial"/>
                <w:sz w:val="16"/>
                <w:szCs w:val="16"/>
                <w:color w:val="auto"/>
              </w:rPr>
              <w:t>1335</w:t>
            </w:r>
          </w:p>
        </w:tc>
        <w:tc>
          <w:tcPr>
            <w:tcW w:w="76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06"/>
        </w:trPr>
        <w:tc>
          <w:tcPr>
            <w:tcW w:w="1820" w:type="dxa"/>
            <w:vAlign w:val="bottom"/>
          </w:tcPr>
          <w:p>
            <w:pPr>
              <w:jc w:val="right"/>
              <w:ind w:right="922"/>
              <w:spacing w:after="0"/>
              <w:rPr>
                <w:sz w:val="20"/>
                <w:szCs w:val="20"/>
                <w:color w:val="auto"/>
              </w:rPr>
            </w:pPr>
            <w:r>
              <w:rPr>
                <w:rFonts w:ascii="Arial" w:cs="Arial" w:eastAsia="Arial" w:hAnsi="Arial"/>
                <w:sz w:val="16"/>
                <w:szCs w:val="16"/>
                <w:color w:val="auto"/>
              </w:rPr>
              <w:t>800</w:t>
            </w:r>
          </w:p>
        </w:tc>
        <w:tc>
          <w:tcPr>
            <w:tcW w:w="4900" w:type="dxa"/>
            <w:vAlign w:val="bottom"/>
          </w:tcPr>
          <w:p>
            <w:pPr>
              <w:jc w:val="right"/>
              <w:ind w:right="3459"/>
              <w:spacing w:after="0"/>
              <w:rPr>
                <w:sz w:val="20"/>
                <w:szCs w:val="20"/>
                <w:color w:val="auto"/>
              </w:rPr>
            </w:pPr>
            <w:r>
              <w:rPr>
                <w:rFonts w:ascii="Arial" w:cs="Arial" w:eastAsia="Arial" w:hAnsi="Arial"/>
                <w:sz w:val="16"/>
                <w:szCs w:val="16"/>
                <w:color w:val="auto"/>
              </w:rPr>
              <w:t>100%</w:t>
            </w:r>
          </w:p>
        </w:tc>
        <w:tc>
          <w:tcPr>
            <w:tcW w:w="1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18" w:lineRule="exact"/>
        <w:rPr>
          <w:sz w:val="20"/>
          <w:szCs w:val="20"/>
          <w:color w:val="auto"/>
        </w:rPr>
      </w:pPr>
    </w:p>
    <w:p>
      <w:pPr>
        <w:jc w:val="both"/>
        <w:ind w:firstLine="8"/>
        <w:spacing w:after="0" w:line="256" w:lineRule="auto"/>
        <w:tabs>
          <w:tab w:leader="none" w:pos="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Party C acquired the land use right of multiple parcels of land through several transactions, which together constitute the piece of land located at 45 Section II Shiguang Road, Zhongcun Town, Panyu District, Guangzhou with a total area of 65,980.80 square meters (hereinafter “Project Lot”). Both the land grant premium and deed tax have been fully paid. Party C has obtained the Land Use Right Title Certificates for the Land (Numbers: Yue Fang Di Zheng Zi Di C6542932 and G03-000628). The usage of the Land is Class II industrial land.</w:t>
      </w:r>
    </w:p>
    <w:p>
      <w:pPr>
        <w:spacing w:after="0" w:line="106" w:lineRule="exact"/>
        <w:rPr>
          <w:sz w:val="20"/>
          <w:szCs w:val="20"/>
          <w:color w:val="auto"/>
        </w:rPr>
      </w:pPr>
    </w:p>
    <w:p>
      <w:pPr>
        <w:spacing w:after="0"/>
        <w:tabs>
          <w:tab w:leader="none" w:pos="3160" w:val="left"/>
          <w:tab w:leader="none" w:pos="4960" w:val="left"/>
          <w:tab w:leader="none" w:pos="6060" w:val="left"/>
          <w:tab w:leader="none" w:pos="65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65980.8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C6542932 G03-000628</w:t>
      </w:r>
    </w:p>
    <w:p>
      <w:pPr>
        <w:spacing w:after="0" w:line="126" w:lineRule="exact"/>
        <w:rPr>
          <w:sz w:val="20"/>
          <w:szCs w:val="20"/>
          <w:color w:val="auto"/>
        </w:rPr>
      </w:pPr>
    </w:p>
    <w:p>
      <w:pPr>
        <w:ind w:firstLine="8"/>
        <w:spacing w:after="0" w:line="275" w:lineRule="auto"/>
        <w:tabs>
          <w:tab w:leader="none" w:pos="17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March 31, 2018, based on the unaudited management accounts, the total assets value of Party C is RMB69,543,241 yuan, net fixed assets value is RMB17,456,963 yuan.</w:t>
      </w:r>
    </w:p>
    <w:p>
      <w:pPr>
        <w:spacing w:after="0" w:line="92" w:lineRule="exact"/>
        <w:rPr>
          <w:sz w:val="20"/>
          <w:szCs w:val="20"/>
          <w:color w:val="auto"/>
        </w:rPr>
      </w:pPr>
    </w:p>
    <w:p>
      <w:pPr>
        <w:spacing w:after="0"/>
        <w:tabs>
          <w:tab w:leader="none" w:pos="440" w:val="left"/>
          <w:tab w:leader="none" w:pos="3280" w:val="left"/>
          <w:tab w:leader="none" w:pos="486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2018 3 31</w:t>
      </w:r>
      <w:r>
        <w:rPr>
          <w:sz w:val="20"/>
          <w:szCs w:val="20"/>
          <w:color w:val="auto"/>
        </w:rPr>
        <w:tab/>
      </w:r>
      <w:r>
        <w:rPr>
          <w:rFonts w:ascii="Arial" w:cs="Arial" w:eastAsia="Arial" w:hAnsi="Arial"/>
          <w:sz w:val="16"/>
          <w:szCs w:val="16"/>
          <w:color w:val="auto"/>
        </w:rPr>
        <w:t>6,954.3241</w:t>
      </w:r>
      <w:r>
        <w:rPr>
          <w:sz w:val="20"/>
          <w:szCs w:val="20"/>
          <w:color w:val="auto"/>
        </w:rPr>
        <w:tab/>
      </w:r>
      <w:r>
        <w:rPr>
          <w:rFonts w:ascii="Arial" w:cs="Arial" w:eastAsia="Arial" w:hAnsi="Arial"/>
          <w:sz w:val="14"/>
          <w:szCs w:val="14"/>
          <w:color w:val="auto"/>
        </w:rPr>
        <w:t>1,745.6963</w:t>
      </w:r>
    </w:p>
    <w:p>
      <w:pPr>
        <w:spacing w:after="0" w:line="140" w:lineRule="exact"/>
        <w:rPr>
          <w:sz w:val="20"/>
          <w:szCs w:val="20"/>
          <w:color w:val="auto"/>
        </w:rPr>
      </w:pPr>
    </w:p>
    <w:p>
      <w:pPr>
        <w:ind w:firstLine="8"/>
        <w:spacing w:after="0" w:line="275" w:lineRule="auto"/>
        <w:tabs>
          <w:tab w:leader="none" w:pos="1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of March 31 2018, based on the unaudited management accounts, the net book value of the Project Lot, Buildings (defined below) and any leasehold improvements thereon is RMB26,961,939 yuan.</w:t>
      </w:r>
    </w:p>
    <w:p>
      <w:pPr>
        <w:spacing w:after="0" w:line="92" w:lineRule="exact"/>
        <w:rPr>
          <w:sz w:val="20"/>
          <w:szCs w:val="20"/>
          <w:color w:val="auto"/>
        </w:rPr>
      </w:pPr>
    </w:p>
    <w:p>
      <w:pPr>
        <w:spacing w:after="0"/>
        <w:tabs>
          <w:tab w:leader="none" w:pos="440" w:val="left"/>
          <w:tab w:leader="none" w:pos="4320" w:val="left"/>
          <w:tab w:leader="none" w:pos="52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2018 3 31</w:t>
      </w:r>
      <w:r>
        <w:rPr>
          <w:sz w:val="20"/>
          <w:szCs w:val="20"/>
          <w:color w:val="auto"/>
        </w:rPr>
        <w:tab/>
      </w:r>
      <w:r>
        <w:rPr>
          <w:rFonts w:ascii="Arial" w:cs="Arial" w:eastAsia="Arial" w:hAnsi="Arial"/>
          <w:sz w:val="16"/>
          <w:szCs w:val="16"/>
          <w:color w:val="auto"/>
        </w:rPr>
        <w:t>2,696.1939</w:t>
      </w:r>
      <w:r>
        <w:rPr>
          <w:sz w:val="20"/>
          <w:szCs w:val="20"/>
          <w:color w:val="auto"/>
        </w:rPr>
        <w:tab/>
      </w:r>
      <w:r>
        <w:rPr>
          <w:rFonts w:ascii="Arial" w:cs="Arial" w:eastAsia="Arial" w:hAnsi="Arial"/>
          <w:sz w:val="14"/>
          <w:szCs w:val="14"/>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5. As of March 31, 2018, Party C’s bank deposit amounts to RMB 247,399.</w:t>
      </w:r>
    </w:p>
    <w:p>
      <w:pPr>
        <w:spacing w:after="0" w:line="140" w:lineRule="exact"/>
        <w:rPr>
          <w:sz w:val="20"/>
          <w:szCs w:val="20"/>
          <w:color w:val="auto"/>
        </w:rPr>
      </w:pPr>
    </w:p>
    <w:p>
      <w:pPr>
        <w:spacing w:after="0"/>
        <w:tabs>
          <w:tab w:leader="none" w:pos="440" w:val="left"/>
          <w:tab w:leader="none" w:pos="23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2018 3 31</w:t>
      </w:r>
      <w:r>
        <w:rPr>
          <w:sz w:val="20"/>
          <w:szCs w:val="20"/>
          <w:color w:val="auto"/>
        </w:rPr>
        <w:tab/>
      </w:r>
      <w:r>
        <w:rPr>
          <w:rFonts w:ascii="Arial" w:cs="Arial" w:eastAsia="Arial" w:hAnsi="Arial"/>
          <w:sz w:val="15"/>
          <w:szCs w:val="15"/>
          <w:color w:val="auto"/>
        </w:rPr>
        <w:t>24.7399 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6. As of March 31, 2018, Party C has a Net Taxable loss of RMB36,357,465 on its books.</w:t>
      </w:r>
    </w:p>
    <w:p>
      <w:pPr>
        <w:spacing w:after="0" w:line="140" w:lineRule="exact"/>
        <w:rPr>
          <w:sz w:val="20"/>
          <w:szCs w:val="20"/>
          <w:color w:val="auto"/>
        </w:rPr>
      </w:pPr>
    </w:p>
    <w:p>
      <w:pPr>
        <w:spacing w:after="0"/>
        <w:tabs>
          <w:tab w:leader="none" w:pos="440" w:val="left"/>
          <w:tab w:leader="none" w:pos="228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2018 3 31</w:t>
      </w:r>
      <w:r>
        <w:rPr>
          <w:sz w:val="20"/>
          <w:szCs w:val="20"/>
          <w:color w:val="auto"/>
        </w:rPr>
        <w:tab/>
      </w:r>
      <w:r>
        <w:rPr>
          <w:rFonts w:ascii="Arial" w:cs="Arial" w:eastAsia="Arial" w:hAnsi="Arial"/>
          <w:sz w:val="14"/>
          <w:szCs w:val="14"/>
          <w:color w:val="auto"/>
        </w:rPr>
        <w:t>3,635.7465</w:t>
      </w:r>
    </w:p>
    <w:p>
      <w:pPr>
        <w:sectPr>
          <w:pgSz w:w="11900" w:h="16838" w:orient="portrait"/>
          <w:cols w:equalWidth="0" w:num="1">
            <w:col w:w="11420"/>
          </w:cols>
          <w:pgMar w:left="240" w:top="585" w:right="239" w:bottom="1440" w:gutter="0" w:footer="0" w:header="0"/>
        </w:sectPr>
      </w:pPr>
    </w:p>
    <w:bookmarkStart w:id="50" w:name="page51"/>
    <w:bookmarkEnd w:id="50"/>
    <w:p>
      <w:pPr>
        <w:jc w:val="both"/>
        <w:ind w:firstLine="8"/>
        <w:spacing w:after="0" w:line="199" w:lineRule="auto"/>
        <w:tabs>
          <w:tab w:leader="none" w:pos="174" w:val="left"/>
        </w:tabs>
        <w:numPr>
          <w:ilvl w:val="0"/>
          <w:numId w:val="41"/>
        </w:numPr>
        <w:rPr>
          <w:rFonts w:ascii="Arial" w:cs="Arial" w:eastAsia="Arial" w:hAnsi="Arial"/>
          <w:sz w:val="16"/>
          <w:szCs w:val="16"/>
          <w:color w:val="auto"/>
        </w:rPr>
      </w:pPr>
      <w:r>
        <w:rPr>
          <w:rFonts w:ascii="Arial" w:cs="Arial" w:eastAsia="Arial" w:hAnsi="Arial"/>
          <w:sz w:val="16"/>
          <w:szCs w:val="16"/>
          <w:color w:val="auto"/>
        </w:rPr>
        <w:t>Current status of Project Lot: this Project Lot with a total area of 65,980.8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is separately registered under two certificates as follows: : i) Certificate YFDZZ No. G03-000628 for the lot with an area of 16,736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(hereinafter referred to as “Lot #1”), and ii) Certificate YFDZZ No. C6542932 for the lot with an area of 49,244.8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(hereinafter referred to as “Lot #2”). Party A has built makeshift shelters on Lot #1 without a construction application. Party A's structures built on Lot #2 include: 1) plant (Phase I Plant including canteen) with an area of 28,345.70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(Property Ownership Certificate Code: C6542932); 2) office building and Phase II Plant with an area of 18,955.70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(Property Ownership Certificate Code: C6542929); 3) Dormitory Building #1 with an area of 6,400.50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(Property Ownership Certificate Code: C654928); 4) Dormitory Building #2 with an area of 2,861.60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(Property Ownership Certificate Code: C542928); and 5) Dormitory Building #3 with an area of 6,482.10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(Property Ownership Certificate Code: C6542926) (all structures above hereinafter referred to as "Buildings"). The areas stated in the aforesaid property ownership certificates amount to 63,045.60 m</w:t>
      </w:r>
      <w:r>
        <w:rPr>
          <w:rFonts w:ascii="Arial" w:cs="Arial" w:eastAsia="Arial" w:hAnsi="Arial"/>
          <w:sz w:val="21"/>
          <w:szCs w:val="21"/>
          <w:color w:val="auto"/>
          <w:vertAlign w:val="superscript"/>
        </w:rPr>
        <w:t>2</w:t>
      </w:r>
      <w:r>
        <w:rPr>
          <w:rFonts w:ascii="Arial" w:cs="Arial" w:eastAsia="Arial" w:hAnsi="Arial"/>
          <w:sz w:val="16"/>
          <w:szCs w:val="16"/>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7</w:t>
            </w: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65980.8</w:t>
            </w:r>
          </w:p>
        </w:tc>
        <w:tc>
          <w:tcPr>
            <w:tcW w:w="1880" w:type="dxa"/>
            <w:vAlign w:val="bottom"/>
          </w:tcPr>
          <w:p>
            <w:pPr>
              <w:jc w:val="right"/>
              <w:spacing w:after="0"/>
              <w:rPr>
                <w:sz w:val="20"/>
                <w:szCs w:val="20"/>
                <w:color w:val="auto"/>
              </w:rPr>
            </w:pPr>
            <w:r>
              <w:rPr>
                <w:rFonts w:ascii="Arial" w:cs="Arial" w:eastAsia="Arial" w:hAnsi="Arial"/>
                <w:sz w:val="16"/>
                <w:szCs w:val="16"/>
                <w:color w:val="auto"/>
              </w:rPr>
              <w:t>G03-000628</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16736</w:t>
            </w: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659"/>
              <w:spacing w:after="0"/>
              <w:rPr>
                <w:sz w:val="20"/>
                <w:szCs w:val="20"/>
                <w:color w:val="auto"/>
              </w:rPr>
            </w:pPr>
            <w:r>
              <w:rPr>
                <w:rFonts w:ascii="Arial" w:cs="Arial" w:eastAsia="Arial" w:hAnsi="Arial"/>
                <w:sz w:val="16"/>
                <w:szCs w:val="16"/>
                <w:color w:val="auto"/>
              </w:rPr>
              <w:t>C6542932</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49244.8</w:t>
            </w:r>
          </w:p>
        </w:tc>
        <w:tc>
          <w:tcPr>
            <w:tcW w:w="800" w:type="dxa"/>
            <w:vAlign w:val="bottom"/>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ind w:left="20"/>
              <w:spacing w:after="0"/>
              <w:rPr>
                <w:sz w:val="20"/>
                <w:szCs w:val="20"/>
                <w:color w:val="auto"/>
              </w:rPr>
            </w:pPr>
            <w:r>
              <w:rPr>
                <w:rFonts w:ascii="Arial" w:cs="Arial" w:eastAsia="Arial" w:hAnsi="Arial"/>
                <w:sz w:val="16"/>
                <w:szCs w:val="16"/>
                <w:color w:val="auto"/>
                <w:w w:val="74"/>
              </w:rPr>
              <w:t>”</w:t>
            </w:r>
          </w:p>
        </w:tc>
      </w:tr>
      <w:tr>
        <w:trPr>
          <w:trHeight w:val="189"/>
        </w:trPr>
        <w:tc>
          <w:tcPr>
            <w:tcW w:w="1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20" w:type="dxa"/>
            <w:vAlign w:val="bottom"/>
          </w:tcPr>
          <w:p>
            <w:pPr>
              <w:jc w:val="right"/>
              <w:ind w:right="659"/>
              <w:spacing w:after="0"/>
              <w:rPr>
                <w:sz w:val="20"/>
                <w:szCs w:val="20"/>
                <w:color w:val="auto"/>
              </w:rPr>
            </w:pPr>
            <w:r>
              <w:rPr>
                <w:rFonts w:ascii="Arial" w:cs="Arial" w:eastAsia="Arial" w:hAnsi="Arial"/>
                <w:sz w:val="16"/>
                <w:szCs w:val="16"/>
                <w:color w:val="auto"/>
                <w:w w:val="98"/>
              </w:rPr>
              <w:t>28345.70</w:t>
            </w:r>
          </w:p>
        </w:tc>
        <w:tc>
          <w:tcPr>
            <w:tcW w:w="1220" w:type="dxa"/>
            <w:vAlign w:val="bottom"/>
            <w:gridSpan w:val="2"/>
          </w:tcPr>
          <w:p>
            <w:pPr>
              <w:jc w:val="right"/>
              <w:ind w:right="239"/>
              <w:spacing w:after="0"/>
              <w:rPr>
                <w:sz w:val="20"/>
                <w:szCs w:val="20"/>
                <w:color w:val="auto"/>
              </w:rPr>
            </w:pPr>
            <w:r>
              <w:rPr>
                <w:rFonts w:ascii="Arial" w:cs="Arial" w:eastAsia="Arial" w:hAnsi="Arial"/>
                <w:sz w:val="16"/>
                <w:szCs w:val="16"/>
                <w:color w:val="auto"/>
              </w:rPr>
              <w:t>C6542932</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18955.70</w:t>
            </w:r>
          </w:p>
        </w:tc>
        <w:tc>
          <w:tcPr>
            <w:tcW w:w="7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2"/>
              </w:rPr>
              <w:t>C6542929</w:t>
            </w:r>
          </w:p>
        </w:tc>
        <w:tc>
          <w:tcPr>
            <w:tcW w:w="80" w:type="dxa"/>
            <w:vAlign w:val="bottom"/>
          </w:tcPr>
          <w:p>
            <w:pPr>
              <w:spacing w:after="0"/>
              <w:rPr>
                <w:sz w:val="16"/>
                <w:szCs w:val="16"/>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6400.50</w:t>
            </w:r>
          </w:p>
        </w:tc>
        <w:tc>
          <w:tcPr>
            <w:tcW w:w="1600" w:type="dxa"/>
            <w:vAlign w:val="bottom"/>
          </w:tcPr>
          <w:p>
            <w:pPr>
              <w:jc w:val="right"/>
              <w:ind w:right="479"/>
              <w:spacing w:after="0"/>
              <w:rPr>
                <w:sz w:val="20"/>
                <w:szCs w:val="20"/>
                <w:color w:val="auto"/>
              </w:rPr>
            </w:pPr>
            <w:r>
              <w:rPr>
                <w:rFonts w:ascii="Arial" w:cs="Arial" w:eastAsia="Arial" w:hAnsi="Arial"/>
                <w:sz w:val="16"/>
                <w:szCs w:val="16"/>
                <w:color w:val="auto"/>
              </w:rPr>
              <w:t>C654928</w:t>
            </w:r>
          </w:p>
        </w:tc>
        <w:tc>
          <w:tcPr>
            <w:tcW w:w="1880" w:type="dxa"/>
            <w:vAlign w:val="bottom"/>
          </w:tcPr>
          <w:p>
            <w:pPr>
              <w:jc w:val="right"/>
              <w:ind w:right="839"/>
              <w:spacing w:after="0"/>
              <w:rPr>
                <w:sz w:val="20"/>
                <w:szCs w:val="20"/>
                <w:color w:val="auto"/>
              </w:rPr>
            </w:pPr>
            <w:r>
              <w:rPr>
                <w:rFonts w:ascii="Arial" w:cs="Arial" w:eastAsia="Arial" w:hAnsi="Arial"/>
                <w:sz w:val="16"/>
                <w:szCs w:val="16"/>
                <w:color w:val="auto"/>
              </w:rPr>
              <w:t>2861.60</w:t>
            </w:r>
          </w:p>
        </w:tc>
        <w:tc>
          <w:tcPr>
            <w:tcW w:w="1420" w:type="dxa"/>
            <w:vAlign w:val="bottom"/>
          </w:tcPr>
          <w:p>
            <w:pPr>
              <w:jc w:val="right"/>
              <w:ind w:right="699"/>
              <w:spacing w:after="0"/>
              <w:rPr>
                <w:sz w:val="20"/>
                <w:szCs w:val="20"/>
                <w:color w:val="auto"/>
              </w:rPr>
            </w:pPr>
            <w:r>
              <w:rPr>
                <w:rFonts w:ascii="Arial" w:cs="Arial" w:eastAsia="Arial" w:hAnsi="Arial"/>
                <w:sz w:val="16"/>
                <w:szCs w:val="16"/>
                <w:color w:val="auto"/>
                <w:w w:val="95"/>
              </w:rPr>
              <w:t>C542928</w:t>
            </w:r>
          </w:p>
        </w:tc>
        <w:tc>
          <w:tcPr>
            <w:tcW w:w="1220" w:type="dxa"/>
            <w:vAlign w:val="bottom"/>
            <w:gridSpan w:val="2"/>
          </w:tcPr>
          <w:p>
            <w:pPr>
              <w:jc w:val="right"/>
              <w:ind w:right="419"/>
              <w:spacing w:after="0"/>
              <w:rPr>
                <w:sz w:val="20"/>
                <w:szCs w:val="20"/>
                <w:color w:val="auto"/>
              </w:rPr>
            </w:pPr>
            <w:r>
              <w:rPr>
                <w:rFonts w:ascii="Arial" w:cs="Arial" w:eastAsia="Arial" w:hAnsi="Arial"/>
                <w:sz w:val="16"/>
                <w:szCs w:val="16"/>
                <w:color w:val="auto"/>
              </w:rPr>
              <w:t>6482.10</w:t>
            </w:r>
          </w:p>
        </w:tc>
        <w:tc>
          <w:tcPr>
            <w:tcW w:w="1740" w:type="dxa"/>
            <w:vAlign w:val="bottom"/>
          </w:tcPr>
          <w:p>
            <w:pPr>
              <w:jc w:val="right"/>
              <w:ind w:right="499"/>
              <w:spacing w:after="0"/>
              <w:rPr>
                <w:sz w:val="20"/>
                <w:szCs w:val="20"/>
                <w:color w:val="auto"/>
              </w:rPr>
            </w:pPr>
            <w:r>
              <w:rPr>
                <w:rFonts w:ascii="Arial" w:cs="Arial" w:eastAsia="Arial" w:hAnsi="Arial"/>
                <w:sz w:val="16"/>
                <w:szCs w:val="16"/>
                <w:color w:val="auto"/>
              </w:rPr>
              <w:t>C6542926</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63045.60</w:t>
            </w:r>
          </w:p>
        </w:tc>
        <w:tc>
          <w:tcPr>
            <w:tcW w:w="1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8. Use Period of the Land Parcels under the name of Party C:</w:t>
      </w:r>
    </w:p>
    <w:p>
      <w:pPr>
        <w:spacing w:after="0" w:line="140"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Use period for the land covered by Certificate YFDZZ No. G03-000628 is through August 1, 2046.</w:t>
      </w:r>
    </w:p>
    <w:p>
      <w:pPr>
        <w:spacing w:after="0" w:line="140" w:lineRule="exact"/>
        <w:rPr>
          <w:rFonts w:ascii="Arial" w:cs="Arial" w:eastAsia="Arial" w:hAnsi="Arial"/>
          <w:sz w:val="16"/>
          <w:szCs w:val="16"/>
          <w:color w:val="auto"/>
        </w:rPr>
      </w:pPr>
    </w:p>
    <w:p>
      <w:pPr>
        <w:ind w:left="240" w:hanging="232"/>
        <w:spacing w:after="0"/>
        <w:tabs>
          <w:tab w:leader="none" w:pos="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Use period for the land covered by Certificate YFDZZ No. C6542932 is through June 23, 2044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280" w:type="dxa"/>
            <w:vAlign w:val="bottom"/>
          </w:tcPr>
          <w:p>
            <w:pPr>
              <w:spacing w:after="0"/>
              <w:rPr>
                <w:sz w:val="20"/>
                <w:szCs w:val="20"/>
                <w:color w:val="auto"/>
              </w:rPr>
            </w:pPr>
            <w:r>
              <w:rPr>
                <w:rFonts w:ascii="Arial" w:cs="Arial" w:eastAsia="Arial" w:hAnsi="Arial"/>
                <w:sz w:val="16"/>
                <w:szCs w:val="16"/>
                <w:color w:val="auto"/>
              </w:rPr>
              <w:t>G03-000628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2046</w:t>
            </w:r>
          </w:p>
        </w:tc>
        <w:tc>
          <w:tcPr>
            <w:tcW w:w="280" w:type="dxa"/>
            <w:vAlign w:val="bottom"/>
          </w:tcPr>
          <w:p>
            <w:pPr>
              <w:jc w:val="right"/>
              <w:spacing w:after="0"/>
              <w:rPr>
                <w:sz w:val="20"/>
                <w:szCs w:val="20"/>
                <w:color w:val="auto"/>
              </w:rPr>
            </w:pPr>
            <w:r>
              <w:rPr>
                <w:rFonts w:ascii="Arial" w:cs="Arial" w:eastAsia="Arial" w:hAnsi="Arial"/>
                <w:sz w:val="16"/>
                <w:szCs w:val="16"/>
                <w:color w:val="auto"/>
              </w:rPr>
              <w:t>8 1</w:t>
            </w:r>
          </w:p>
        </w:tc>
      </w:tr>
      <w:tr>
        <w:trPr>
          <w:trHeight w:val="324"/>
        </w:trPr>
        <w:tc>
          <w:tcPr>
            <w:tcW w:w="1280" w:type="dxa"/>
            <w:vAlign w:val="bottom"/>
          </w:tcPr>
          <w:p>
            <w:pPr>
              <w:spacing w:after="0"/>
              <w:rPr>
                <w:sz w:val="20"/>
                <w:szCs w:val="20"/>
                <w:color w:val="auto"/>
              </w:rPr>
            </w:pPr>
            <w:r>
              <w:rPr>
                <w:rFonts w:ascii="Arial" w:cs="Arial" w:eastAsia="Arial" w:hAnsi="Arial"/>
                <w:sz w:val="16"/>
                <w:szCs w:val="16"/>
                <w:color w:val="auto"/>
              </w:rPr>
              <w:t>C6542932</w:t>
            </w:r>
          </w:p>
        </w:tc>
        <w:tc>
          <w:tcPr>
            <w:tcW w:w="820" w:type="dxa"/>
            <w:vAlign w:val="bottom"/>
          </w:tcPr>
          <w:p>
            <w:pPr>
              <w:jc w:val="right"/>
              <w:spacing w:after="0"/>
              <w:rPr>
                <w:sz w:val="20"/>
                <w:szCs w:val="20"/>
                <w:color w:val="auto"/>
              </w:rPr>
            </w:pPr>
            <w:r>
              <w:rPr>
                <w:rFonts w:ascii="Arial" w:cs="Arial" w:eastAsia="Arial" w:hAnsi="Arial"/>
                <w:sz w:val="16"/>
                <w:szCs w:val="16"/>
                <w:color w:val="auto"/>
              </w:rPr>
              <w:t>2044</w:t>
            </w:r>
          </w:p>
        </w:tc>
        <w:tc>
          <w:tcPr>
            <w:tcW w:w="16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118" w:lineRule="exact"/>
        <w:rPr>
          <w:sz w:val="20"/>
          <w:szCs w:val="20"/>
          <w:color w:val="auto"/>
        </w:rPr>
      </w:pPr>
    </w:p>
    <w:p>
      <w:pPr>
        <w:jc w:val="both"/>
        <w:ind w:firstLine="8"/>
        <w:spacing w:after="0" w:line="256" w:lineRule="auto"/>
        <w:tabs>
          <w:tab w:leader="none" w:pos="168"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Party A signed the Transfer Contract for the Use Right of State-owned Land in Panyu and the General Management Contract for State-owned Land Transfer in Panyu with Guangzhou Panyu Zhongcun Electronic Industrial Company (former “Panyu Zhongcun Electronic Industrial Company”) on June 8, 1992. The Agreement was made among Party A, Party C and Guangzhou Panyu Zhongcun Electronic Industrial Company on November 21, 2017, and the management fee has been paid and settled through the end of the term stated in the General Management Contract for State-owned Land Transfer in Panyu</w:t>
      </w:r>
    </w:p>
    <w:p>
      <w:pPr>
        <w:spacing w:after="0" w:line="106" w:lineRule="exact"/>
        <w:rPr>
          <w:sz w:val="20"/>
          <w:szCs w:val="20"/>
          <w:color w:val="auto"/>
        </w:rPr>
      </w:pPr>
    </w:p>
    <w:p>
      <w:pPr>
        <w:spacing w:after="0"/>
        <w:tabs>
          <w:tab w:leader="none" w:pos="460" w:val="left"/>
          <w:tab w:leader="none" w:pos="796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1992 6 8</w:t>
      </w:r>
      <w:r>
        <w:rPr>
          <w:sz w:val="20"/>
          <w:szCs w:val="20"/>
          <w:color w:val="auto"/>
        </w:rPr>
        <w:tab/>
      </w:r>
      <w:r>
        <w:rPr>
          <w:rFonts w:ascii="Arial" w:cs="Arial" w:eastAsia="Arial" w:hAnsi="Arial"/>
          <w:sz w:val="16"/>
          <w:szCs w:val="16"/>
          <w:color w:val="auto"/>
        </w:rPr>
        <w:t>2017 11 21</w:t>
      </w:r>
    </w:p>
    <w:p>
      <w:pPr>
        <w:spacing w:after="0" w:line="329" w:lineRule="exact"/>
        <w:rPr>
          <w:sz w:val="20"/>
          <w:szCs w:val="20"/>
          <w:color w:val="auto"/>
        </w:rPr>
      </w:pPr>
    </w:p>
    <w:p>
      <w:pPr>
        <w:ind w:firstLine="8"/>
        <w:spacing w:after="0" w:line="275" w:lineRule="auto"/>
        <w:tabs>
          <w:tab w:leader="none" w:pos="2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exists certain discrepancies regarding the payment of some building construction fees, and the payer or summary specified in some invoices/receipts are not sufficiently identified.</w:t>
      </w:r>
    </w:p>
    <w:p>
      <w:pPr>
        <w:spacing w:after="0" w:line="92" w:lineRule="exact"/>
        <w:rPr>
          <w:sz w:val="20"/>
          <w:szCs w:val="20"/>
          <w:color w:val="auto"/>
        </w:rPr>
      </w:pPr>
    </w:p>
    <w:p>
      <w:pPr>
        <w:spacing w:after="0"/>
        <w:tabs>
          <w:tab w:leader="none" w:pos="24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w:t>
      </w:r>
    </w:p>
    <w:p>
      <w:pPr>
        <w:spacing w:after="0" w:line="140" w:lineRule="exact"/>
        <w:rPr>
          <w:sz w:val="20"/>
          <w:szCs w:val="20"/>
          <w:color w:val="auto"/>
        </w:rPr>
      </w:pPr>
    </w:p>
    <w:p>
      <w:pPr>
        <w:ind w:firstLine="8"/>
        <w:spacing w:after="0" w:line="275" w:lineRule="auto"/>
        <w:tabs>
          <w:tab w:leader="none" w:pos="254"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Party C has not been granted corresponding receipts regarding certain portions of land transfer fees and the construction costs of some buildings and structures on the Project Lot.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140"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Party C’s production has been discontinued. The water and electricity supply, buildings, and fire prevention systems are operational.</w:t>
      </w:r>
    </w:p>
    <w:p>
      <w:pPr>
        <w:spacing w:after="0" w:line="140" w:lineRule="exact"/>
        <w:rPr>
          <w:rFonts w:ascii="Arial" w:cs="Arial" w:eastAsia="Arial" w:hAnsi="Arial"/>
          <w:sz w:val="16"/>
          <w:szCs w:val="16"/>
          <w:color w:val="auto"/>
        </w:rPr>
      </w:pPr>
    </w:p>
    <w:p>
      <w:pPr>
        <w:spacing w:after="0"/>
        <w:tabs>
          <w:tab w:leader="none" w:pos="0" w:val="left"/>
        </w:tabs>
        <w:numPr>
          <w:ilvl w:val="0"/>
          <w:numId w:val="47"/>
        </w:numPr>
        <w:rPr>
          <w:rFonts w:ascii="Arial" w:cs="Arial" w:eastAsia="Arial" w:hAnsi="Arial"/>
          <w:sz w:val="16"/>
          <w:szCs w:val="16"/>
          <w:color w:val="auto"/>
        </w:rPr>
      </w:pPr>
    </w:p>
    <w:p>
      <w:pPr>
        <w:spacing w:after="0" w:line="140" w:lineRule="exact"/>
        <w:rPr>
          <w:rFonts w:ascii="Arial" w:cs="Arial" w:eastAsia="Arial" w:hAnsi="Arial"/>
          <w:sz w:val="16"/>
          <w:szCs w:val="16"/>
          <w:color w:val="auto"/>
        </w:rPr>
      </w:pPr>
    </w:p>
    <w:p>
      <w:pPr>
        <w:ind w:right="20" w:firstLine="8"/>
        <w:spacing w:after="0" w:line="275" w:lineRule="auto"/>
        <w:tabs>
          <w:tab w:leader="none" w:pos="2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January 10, 2018, Party C received the Tax Examination Notice and the Retrieval Notice for Accounting Books and Documents issued by North District Tax Inspection Department of the Guangzhou Municipal State Taxation Bureau (hereinafter “Tax Examination”). The examination is in on-going.</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2018 1 10</w:t>
      </w:r>
    </w:p>
    <w:p>
      <w:pPr>
        <w:spacing w:after="0" w:line="140" w:lineRule="exact"/>
        <w:rPr>
          <w:sz w:val="20"/>
          <w:szCs w:val="20"/>
          <w:color w:val="auto"/>
        </w:rPr>
      </w:pPr>
    </w:p>
    <w:p>
      <w:pPr>
        <w:ind w:firstLine="8"/>
        <w:spacing w:after="0" w:line="275" w:lineRule="auto"/>
        <w:tabs>
          <w:tab w:leader="none" w:pos="2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Party B acknowledges that it has been given the opportunity to review the current status and condition of the Project Lot and the Buildings prior to the signing of this Agreement.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40" w:lineRule="exact"/>
        <w:rPr>
          <w:sz w:val="20"/>
          <w:szCs w:val="20"/>
          <w:color w:val="auto"/>
        </w:rPr>
      </w:pPr>
    </w:p>
    <w:p>
      <w:pPr>
        <w:jc w:val="both"/>
        <w:ind w:firstLine="500"/>
        <w:spacing w:after="0" w:line="261" w:lineRule="auto"/>
        <w:rPr>
          <w:sz w:val="20"/>
          <w:szCs w:val="20"/>
          <w:color w:val="auto"/>
        </w:rPr>
      </w:pPr>
      <w:r>
        <w:rPr>
          <w:rFonts w:ascii="Arial" w:cs="Arial" w:eastAsia="Arial" w:hAnsi="Arial"/>
          <w:sz w:val="16"/>
          <w:szCs w:val="16"/>
          <w:color w:val="auto"/>
        </w:rPr>
        <w:t>Given the foregoing recitals, through sufficient understanding and consideration, Party A agrees to transfer to Party B and Party B agrees to purchase 100% of Party C’s shares held by Party A. Party B agrees that such transfer shall be based on Party C’s current status on an “AS-IS” basis. Now therefore, all parties hereby agree to the following terms and conditions:</w:t>
      </w:r>
    </w:p>
    <w:p>
      <w:pPr>
        <w:spacing w:after="0" w:line="10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589" w:right="239" w:bottom="1440" w:gutter="0" w:footer="0" w:header="0"/>
        </w:sectPr>
      </w:pPr>
    </w:p>
    <w:bookmarkStart w:id="51" w:name="page52"/>
    <w:bookmarkEnd w:id="51"/>
    <w:p>
      <w:pPr>
        <w:ind w:left="180" w:hanging="172"/>
        <w:spacing w:after="0"/>
        <w:tabs>
          <w:tab w:leader="none" w:pos="18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 and Interpretation</w:t>
      </w:r>
    </w:p>
    <w:p>
      <w:pPr>
        <w:spacing w:after="0" w:line="140" w:lineRule="exact"/>
        <w:rPr>
          <w:rFonts w:ascii="Arial" w:cs="Arial" w:eastAsia="Arial" w:hAnsi="Arial"/>
          <w:sz w:val="16"/>
          <w:szCs w:val="16"/>
          <w:b w:val="1"/>
          <w:bCs w:val="1"/>
          <w:color w:val="auto"/>
        </w:rPr>
      </w:pPr>
    </w:p>
    <w:p>
      <w:pPr>
        <w:spacing w:after="0"/>
        <w:tabs>
          <w:tab w:leader="none" w:pos="0" w:val="left"/>
        </w:tabs>
        <w:numPr>
          <w:ilvl w:val="0"/>
          <w:numId w:val="51"/>
        </w:numPr>
        <w:rPr>
          <w:rFonts w:ascii="Arial" w:cs="Arial" w:eastAsia="Arial" w:hAnsi="Arial"/>
          <w:sz w:val="16"/>
          <w:szCs w:val="16"/>
          <w:b w:val="1"/>
          <w:bCs w:val="1"/>
          <w:color w:val="auto"/>
        </w:rPr>
      </w:pPr>
    </w:p>
    <w:p>
      <w:pPr>
        <w:spacing w:after="0" w:line="144"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6"/>
          <w:szCs w:val="16"/>
          <w:color w:val="auto"/>
        </w:rPr>
        <w:t>Unless otherwise provided herein, the terms mentioned herein shall have the following meaning:</w:t>
      </w:r>
    </w:p>
    <w:p>
      <w:pPr>
        <w:spacing w:after="0" w:line="200" w:lineRule="exact"/>
        <w:rPr>
          <w:sz w:val="20"/>
          <w:szCs w:val="20"/>
          <w:color w:val="auto"/>
        </w:rPr>
      </w:pPr>
    </w:p>
    <w:p>
      <w:pPr>
        <w:spacing w:after="0" w:line="26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Lot</w:t>
      </w:r>
      <w:r>
        <w:rPr>
          <w:rFonts w:ascii="Arial" w:cs="Arial" w:eastAsia="Arial" w:hAnsi="Arial"/>
          <w:sz w:val="16"/>
          <w:szCs w:val="16"/>
          <w:color w:val="auto"/>
        </w:rPr>
        <w:t>” shall refer to the multiple parcels of land which together constitute the piece of land located at 45 Section II Shiguang Road, Zhongcun Town, Panyu District, Guangzhou with a total area of 65,980.80 square meters.</w:t>
      </w:r>
    </w:p>
    <w:p>
      <w:pPr>
        <w:spacing w:after="0" w:line="82" w:lineRule="exact"/>
        <w:rPr>
          <w:sz w:val="20"/>
          <w:szCs w:val="20"/>
          <w:color w:val="auto"/>
        </w:rPr>
      </w:pPr>
    </w:p>
    <w:p>
      <w:pPr>
        <w:spacing w:after="0"/>
        <w:tabs>
          <w:tab w:leader="none" w:pos="440" w:val="left"/>
          <w:tab w:leader="none" w:pos="2700" w:val="left"/>
          <w:tab w:leader="none" w:pos="36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45</w:t>
      </w:r>
      <w:r>
        <w:rPr>
          <w:sz w:val="20"/>
          <w:szCs w:val="20"/>
          <w:color w:val="auto"/>
        </w:rPr>
        <w:tab/>
      </w:r>
      <w:r>
        <w:rPr>
          <w:rFonts w:ascii="Arial" w:cs="Arial" w:eastAsia="Arial" w:hAnsi="Arial"/>
          <w:sz w:val="14"/>
          <w:szCs w:val="14"/>
          <w:color w:val="auto"/>
        </w:rPr>
        <w:t>65980.80</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“Buildings” </w:t>
      </w:r>
      <w:r>
        <w:rPr>
          <w:rFonts w:ascii="Arial" w:cs="Arial" w:eastAsia="Arial" w:hAnsi="Arial"/>
          <w:sz w:val="15"/>
          <w:szCs w:val="15"/>
          <w:color w:val="auto"/>
        </w:rPr>
        <w:t>refer to Party C’s structures built on the Project Lot, including: 1) plant (Phase I Plant including canteen) with an area of 28,345.70 m</w:t>
      </w:r>
      <w:r>
        <w:rPr>
          <w:rFonts w:ascii="Arial" w:cs="Arial" w:eastAsia="Arial" w:hAnsi="Arial"/>
          <w:sz w:val="20"/>
          <w:szCs w:val="20"/>
          <w:color w:val="auto"/>
          <w:vertAlign w:val="superscript"/>
        </w:rPr>
        <w:t>2</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Ownership</w:t>
      </w:r>
    </w:p>
    <w:p>
      <w:pPr>
        <w:spacing w:after="0" w:line="197" w:lineRule="auto"/>
        <w:rPr>
          <w:sz w:val="20"/>
          <w:szCs w:val="20"/>
          <w:color w:val="auto"/>
        </w:rPr>
      </w:pPr>
      <w:r>
        <w:rPr>
          <w:rFonts w:ascii="Arial" w:cs="Arial" w:eastAsia="Arial" w:hAnsi="Arial"/>
          <w:sz w:val="15"/>
          <w:szCs w:val="15"/>
          <w:color w:val="auto"/>
        </w:rPr>
        <w:t>Certificate Code: C6542932); 2) office building and Phase II Plant with an area of 18,955.70 m</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(Property Ownership Certificate Code: C6542929); 3) Dormitory Building #1</w:t>
      </w:r>
    </w:p>
    <w:p>
      <w:pPr>
        <w:spacing w:after="0" w:line="197" w:lineRule="auto"/>
        <w:rPr>
          <w:sz w:val="20"/>
          <w:szCs w:val="20"/>
          <w:color w:val="auto"/>
        </w:rPr>
      </w:pPr>
      <w:r>
        <w:rPr>
          <w:rFonts w:ascii="Arial" w:cs="Arial" w:eastAsia="Arial" w:hAnsi="Arial"/>
          <w:sz w:val="15"/>
          <w:szCs w:val="15"/>
          <w:color w:val="auto"/>
        </w:rPr>
        <w:t>with an area of 6,400.50 m</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(Property Ownership Certificate Code: C654928); 4) Dormitory Building #2 with an area of 2,861.60 m</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(Property Ownership Certificate Code: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C542928); 5) Dormitory Building #3 with an area of 6,482.10 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(Property Ownership Certificate Code: C6542926); and 6) any makeshift structures or shelters.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spacing w:after="0"/>
              <w:rPr>
                <w:sz w:val="16"/>
                <w:szCs w:val="16"/>
                <w:color w:val="auto"/>
              </w:rPr>
            </w:pPr>
          </w:p>
        </w:tc>
        <w:tc>
          <w:tcPr>
            <w:tcW w:w="1640" w:type="dxa"/>
            <w:vAlign w:val="bottom"/>
          </w:tcPr>
          <w:p>
            <w:pPr>
              <w:jc w:val="right"/>
              <w:ind w:right="299"/>
              <w:spacing w:after="0"/>
              <w:rPr>
                <w:sz w:val="20"/>
                <w:szCs w:val="20"/>
                <w:color w:val="auto"/>
              </w:rPr>
            </w:pPr>
            <w:r>
              <w:rPr>
                <w:rFonts w:ascii="Arial" w:cs="Arial" w:eastAsia="Arial" w:hAnsi="Arial"/>
                <w:sz w:val="16"/>
                <w:szCs w:val="16"/>
                <w:color w:val="auto"/>
              </w:rPr>
              <w:t>28345.70</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C6542932</w:t>
            </w:r>
          </w:p>
        </w:tc>
        <w:tc>
          <w:tcPr>
            <w:tcW w:w="10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color w:val="auto"/>
                <w:w w:val="86"/>
              </w:rPr>
              <w:t>18955.70</w:t>
            </w:r>
          </w:p>
        </w:tc>
        <w:tc>
          <w:tcPr>
            <w:tcW w:w="1620" w:type="dxa"/>
            <w:vAlign w:val="bottom"/>
          </w:tcPr>
          <w:p>
            <w:pPr>
              <w:ind w:left="480"/>
              <w:spacing w:after="0"/>
              <w:rPr>
                <w:sz w:val="20"/>
                <w:szCs w:val="20"/>
                <w:color w:val="auto"/>
              </w:rPr>
            </w:pPr>
            <w:r>
              <w:rPr>
                <w:rFonts w:ascii="Arial" w:cs="Arial" w:eastAsia="Arial" w:hAnsi="Arial"/>
                <w:sz w:val="16"/>
                <w:szCs w:val="16"/>
                <w:color w:val="auto"/>
              </w:rPr>
              <w:t>C6542929</w:t>
            </w:r>
          </w:p>
        </w:tc>
        <w:tc>
          <w:tcPr>
            <w:tcW w:w="1000" w:type="dxa"/>
            <w:vAlign w:val="bottom"/>
          </w:tcPr>
          <w:p>
            <w:pPr>
              <w:jc w:val="right"/>
              <w:spacing w:after="0"/>
              <w:rPr>
                <w:sz w:val="20"/>
                <w:szCs w:val="20"/>
                <w:color w:val="auto"/>
              </w:rPr>
            </w:pPr>
            <w:r>
              <w:rPr>
                <w:rFonts w:ascii="Arial" w:cs="Arial" w:eastAsia="Arial" w:hAnsi="Arial"/>
                <w:sz w:val="16"/>
                <w:szCs w:val="16"/>
                <w:color w:val="auto"/>
              </w:rPr>
              <w:t>6400.50</w:t>
            </w:r>
          </w:p>
        </w:tc>
      </w:tr>
      <w:tr>
        <w:trPr>
          <w:trHeight w:val="206"/>
        </w:trPr>
        <w:tc>
          <w:tcPr>
            <w:tcW w:w="320" w:type="dxa"/>
            <w:vAlign w:val="bottom"/>
          </w:tcPr>
          <w:p>
            <w:pPr>
              <w:spacing w:after="0"/>
              <w:rPr>
                <w:sz w:val="17"/>
                <w:szCs w:val="17"/>
                <w:color w:val="auto"/>
              </w:rPr>
            </w:pPr>
          </w:p>
        </w:tc>
        <w:tc>
          <w:tcPr>
            <w:tcW w:w="1600" w:type="dxa"/>
            <w:vAlign w:val="bottom"/>
          </w:tcPr>
          <w:p>
            <w:pPr>
              <w:ind w:left="540"/>
              <w:spacing w:after="0"/>
              <w:rPr>
                <w:sz w:val="20"/>
                <w:szCs w:val="20"/>
                <w:color w:val="auto"/>
              </w:rPr>
            </w:pPr>
            <w:r>
              <w:rPr>
                <w:rFonts w:ascii="Arial" w:cs="Arial" w:eastAsia="Arial" w:hAnsi="Arial"/>
                <w:sz w:val="16"/>
                <w:szCs w:val="16"/>
                <w:color w:val="auto"/>
              </w:rPr>
              <w:t>C654928</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2861.60</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C542928</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6482.10</w:t>
            </w:r>
          </w:p>
        </w:tc>
        <w:tc>
          <w:tcPr>
            <w:tcW w:w="1040" w:type="dxa"/>
            <w:vAlign w:val="bottom"/>
          </w:tcPr>
          <w:p>
            <w:pPr>
              <w:ind w:left="300"/>
              <w:spacing w:after="0"/>
              <w:rPr>
                <w:sz w:val="20"/>
                <w:szCs w:val="20"/>
                <w:color w:val="auto"/>
              </w:rPr>
            </w:pPr>
            <w:r>
              <w:rPr>
                <w:rFonts w:ascii="Arial" w:cs="Arial" w:eastAsia="Arial" w:hAnsi="Arial"/>
                <w:sz w:val="16"/>
                <w:szCs w:val="16"/>
                <w:color w:val="auto"/>
                <w:w w:val="91"/>
              </w:rPr>
              <w:t>C6542926;</w:t>
            </w:r>
          </w:p>
        </w:tc>
        <w:tc>
          <w:tcPr>
            <w:tcW w:w="1080" w:type="dxa"/>
            <w:vAlign w:val="bottom"/>
          </w:tcPr>
          <w:p>
            <w:pPr>
              <w:jc w:val="right"/>
              <w:ind w:right="799"/>
              <w:spacing w:after="0"/>
              <w:rPr>
                <w:sz w:val="20"/>
                <w:szCs w:val="20"/>
                <w:color w:val="auto"/>
              </w:rPr>
            </w:pPr>
            <w:r>
              <w:rPr>
                <w:rFonts w:ascii="Arial" w:cs="Arial" w:eastAsia="Arial" w:hAnsi="Arial"/>
                <w:sz w:val="16"/>
                <w:szCs w:val="16"/>
                <w:color w:val="auto"/>
              </w:rPr>
              <w:t>6</w:t>
            </w: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“Third Party” </w:t>
      </w:r>
      <w:r>
        <w:rPr>
          <w:rFonts w:ascii="Arial" w:cs="Arial" w:eastAsia="Arial" w:hAnsi="Arial"/>
          <w:sz w:val="16"/>
          <w:szCs w:val="16"/>
          <w:color w:val="auto"/>
        </w:rPr>
        <w:t>refers to any entity or individual except Party A, Party B and Party 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Approval Authority” </w:t>
      </w:r>
      <w:r>
        <w:rPr>
          <w:rFonts w:ascii="Arial" w:cs="Arial" w:eastAsia="Arial" w:hAnsi="Arial"/>
          <w:sz w:val="16"/>
          <w:szCs w:val="16"/>
          <w:color w:val="auto"/>
        </w:rPr>
        <w:t>refers to the competent authority which previously examined and approved the incorporation of Party 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“Commerce Approval Authority” </w:t>
      </w:r>
      <w:r>
        <w:rPr>
          <w:rFonts w:ascii="Arial" w:cs="Arial" w:eastAsia="Arial" w:hAnsi="Arial"/>
          <w:sz w:val="16"/>
          <w:szCs w:val="16"/>
          <w:color w:val="auto"/>
        </w:rPr>
        <w:t>refers to the competent authority which handles and approves changes in industrial and commercial registration.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“Approval” </w:t>
      </w:r>
      <w:r>
        <w:rPr>
          <w:rFonts w:ascii="Arial" w:cs="Arial" w:eastAsia="Arial" w:hAnsi="Arial"/>
          <w:sz w:val="15"/>
          <w:szCs w:val="15"/>
          <w:color w:val="auto"/>
        </w:rPr>
        <w:t>refers to any permission, permit, license, approval, exemption, agreement, authorization, registration or record issued or made by any governmental authority.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 xml:space="preserve">“Applicable Laws” </w:t>
      </w:r>
      <w:r>
        <w:rPr>
          <w:rFonts w:ascii="Arial" w:cs="Arial" w:eastAsia="Arial" w:hAnsi="Arial"/>
          <w:sz w:val="16"/>
          <w:szCs w:val="16"/>
          <w:color w:val="auto"/>
        </w:rPr>
        <w:t>refers to any binding, effective and applicable treaties, laws, administrative regulations, local laws, regulations, decisions, orders, judicial interpretations,</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decisions, arbitration awards or other normative documents to which a specified person or property is subject.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4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 xml:space="preserve">“Closing Date” </w:t>
      </w:r>
      <w:r>
        <w:rPr>
          <w:rFonts w:ascii="Arial" w:cs="Arial" w:eastAsia="Arial" w:hAnsi="Arial"/>
          <w:sz w:val="16"/>
          <w:szCs w:val="16"/>
          <w:color w:val="auto"/>
        </w:rPr>
        <w:t>refers to the date when Party B completes the procedures for changes in Party C’s Industrial and Commercial Registration, and receives the Notice for</w:t>
      </w:r>
      <w:r>
        <w:rPr>
          <w:rFonts w:ascii="Arial" w:cs="Arial" w:eastAsia="Arial" w:hAnsi="Arial"/>
          <w:sz w:val="16"/>
          <w:szCs w:val="16"/>
          <w:b w:val="1"/>
          <w:bCs w:val="1"/>
          <w:color w:val="auto"/>
        </w:rPr>
        <w:t xml:space="preserve"> </w:t>
      </w:r>
      <w:r>
        <w:rPr>
          <w:rFonts w:ascii="Arial" w:cs="Arial" w:eastAsia="Arial" w:hAnsi="Arial"/>
          <w:sz w:val="16"/>
          <w:szCs w:val="16"/>
          <w:color w:val="auto"/>
        </w:rPr>
        <w:t>Allowance of Change of Industrial and Commercial Registration from the Commerce Approval Authority.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“Handover Date</w:t>
      </w:r>
      <w:r>
        <w:rPr>
          <w:rFonts w:ascii="Arial" w:cs="Arial" w:eastAsia="Arial" w:hAnsi="Arial"/>
          <w:sz w:val="16"/>
          <w:szCs w:val="16"/>
          <w:color w:val="auto"/>
        </w:rPr>
        <w:t>” refers to the date on which Party B completes the handover of the Project Lot, Buildings, corporate and legal documents, key licenses, bank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and chops in accordance with the requirements set forth by Article 3.4 of the Agreement and as evidenced by the issuance of the Certificate of Handover Completion as defined in Article 3.4.</w:t>
      </w:r>
    </w:p>
    <w:p>
      <w:pPr>
        <w:spacing w:after="0" w:line="97" w:lineRule="exact"/>
        <w:rPr>
          <w:sz w:val="20"/>
          <w:szCs w:val="20"/>
          <w:color w:val="auto"/>
        </w:rPr>
      </w:pPr>
    </w:p>
    <w:p>
      <w:pPr>
        <w:spacing w:after="0"/>
        <w:tabs>
          <w:tab w:leader="none" w:pos="360" w:val="left"/>
          <w:tab w:leader="none" w:pos="1380" w:val="left"/>
          <w:tab w:leader="none" w:pos="62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3.4</w:t>
      </w:r>
      <w:r>
        <w:rPr>
          <w:sz w:val="20"/>
          <w:szCs w:val="20"/>
          <w:color w:val="auto"/>
        </w:rPr>
        <w:tab/>
      </w:r>
      <w:r>
        <w:rPr>
          <w:rFonts w:ascii="Arial" w:cs="Arial" w:eastAsia="Arial" w:hAnsi="Arial"/>
          <w:sz w:val="14"/>
          <w:szCs w:val="14"/>
          <w:color w:val="auto"/>
        </w:rPr>
        <w:t>3.4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Liabilities</w:t>
      </w:r>
      <w:r>
        <w:rPr>
          <w:rFonts w:ascii="Arial" w:cs="Arial" w:eastAsia="Arial" w:hAnsi="Arial"/>
          <w:sz w:val="16"/>
          <w:szCs w:val="16"/>
          <w:color w:val="auto"/>
        </w:rPr>
        <w:t>” means all forms of taxes, fees, and related charges.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4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“Party A Receivables” means cash reserve maintained by Party C in its bank accounts prior to the Handover Date minus the regularly incurred tax liabilities of Party C payable by Party A prior to the Handover Date and other liabilities which are required to be paid by Party A prior to the Handover Date pursuant to this Agreement.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ectPr>
          <w:pgSz w:w="11900" w:h="16838" w:orient="portrait"/>
          <w:cols w:equalWidth="0" w:num="1">
            <w:col w:w="11420"/>
          </w:cols>
          <w:pgMar w:left="240" w:top="585"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refers to any calendar day other than Saturdays, Sundays and all other statutory holidays in China.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“yuan” </w:t>
      </w:r>
      <w:r>
        <w:rPr>
          <w:rFonts w:ascii="Arial" w:cs="Arial" w:eastAsia="Arial" w:hAnsi="Arial"/>
          <w:sz w:val="16"/>
          <w:szCs w:val="16"/>
          <w:color w:val="auto"/>
        </w:rPr>
        <w:t>refers to CNY (Chinese yuan).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p>
    <w:p>
      <w:pPr>
        <w:spacing w:after="0" w:line="200" w:lineRule="exact"/>
        <w:rPr>
          <w:sz w:val="20"/>
          <w:szCs w:val="20"/>
          <w:color w:val="auto"/>
        </w:rPr>
      </w:pPr>
    </w:p>
    <w:p>
      <w:pPr>
        <w:spacing w:after="0" w:line="264"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Purpose and Subject Matter of Transaction, and Transaction Amount</w:t>
      </w:r>
    </w:p>
    <w:p>
      <w:pPr>
        <w:spacing w:after="0" w:line="14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2.1 Party B agrees to buy and Party A agrees to sell 100% of the shares of Party C in accordance with the terms of this Agreement.</w:t>
      </w:r>
    </w:p>
    <w:p>
      <w:pPr>
        <w:spacing w:after="0" w:line="140" w:lineRule="exact"/>
        <w:rPr>
          <w:sz w:val="20"/>
          <w:szCs w:val="20"/>
          <w:color w:val="auto"/>
        </w:rPr>
      </w:pPr>
    </w:p>
    <w:p>
      <w:pPr>
        <w:spacing w:after="0"/>
        <w:tabs>
          <w:tab w:leader="none" w:pos="27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100%</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Transaction purpose:</w:t>
      </w:r>
      <w:r>
        <w:rPr>
          <w:rFonts w:ascii="Arial" w:cs="Arial" w:eastAsia="Arial" w:hAnsi="Arial"/>
          <w:sz w:val="16"/>
          <w:szCs w:val="16"/>
          <w:color w:val="auto"/>
        </w:rPr>
        <w:t xml:space="preserve"> Facilitate Party B to obtain the corresponding Project Lot and the Buildings thereon through acquiring from Party A 100% shares that Party A holds in Party 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Subject matter of transaction:</w:t>
      </w:r>
      <w:r>
        <w:rPr>
          <w:rFonts w:ascii="Arial" w:cs="Arial" w:eastAsia="Arial" w:hAnsi="Arial"/>
          <w:sz w:val="16"/>
          <w:szCs w:val="16"/>
          <w:color w:val="auto"/>
        </w:rPr>
        <w:t xml:space="preserve"> 100% of Party C’s shares held by Party A</w:t>
      </w:r>
    </w:p>
    <w:p>
      <w:pPr>
        <w:spacing w:after="0" w:line="144"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100%</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Transaction Amount:</w:t>
      </w:r>
      <w:r>
        <w:rPr>
          <w:rFonts w:ascii="Arial" w:cs="Arial" w:eastAsia="Arial" w:hAnsi="Arial"/>
          <w:sz w:val="16"/>
          <w:szCs w:val="16"/>
          <w:color w:val="auto"/>
        </w:rPr>
        <w:t xml:space="preserve"> RMB 338,880,000 yuan plus the Party A Receivables as jointly determined by Parties A and B for transfer of 100% of Party C’s shares (“Transaction Amount”).</w:t>
      </w:r>
    </w:p>
    <w:p>
      <w:pPr>
        <w:spacing w:after="0" w:line="86" w:lineRule="exact"/>
        <w:rPr>
          <w:sz w:val="20"/>
          <w:szCs w:val="20"/>
          <w:color w:val="auto"/>
        </w:rPr>
      </w:pPr>
    </w:p>
    <w:p>
      <w:pPr>
        <w:spacing w:after="0"/>
        <w:tabs>
          <w:tab w:leader="none" w:pos="900" w:val="left"/>
          <w:tab w:leader="none" w:pos="33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100%</w:t>
      </w:r>
      <w:r>
        <w:rPr>
          <w:sz w:val="20"/>
          <w:szCs w:val="20"/>
          <w:color w:val="auto"/>
        </w:rPr>
        <w:tab/>
      </w:r>
      <w:r>
        <w:rPr>
          <w:rFonts w:ascii="Arial" w:cs="Arial" w:eastAsia="Arial" w:hAnsi="Arial"/>
          <w:sz w:val="14"/>
          <w:szCs w:val="14"/>
          <w:color w:val="auto"/>
        </w:rPr>
        <w:t>338880000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-6985</wp:posOffset>
            </wp:positionV>
            <wp:extent cx="540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Arrangements for Transaction and Payment of Transaction Amount</w:t>
      </w:r>
    </w:p>
    <w:p>
      <w:pPr>
        <w:spacing w:after="0" w:line="140" w:lineRule="exact"/>
        <w:rPr>
          <w:rFonts w:ascii="Arial" w:cs="Arial" w:eastAsia="Arial" w:hAnsi="Arial"/>
          <w:sz w:val="16"/>
          <w:szCs w:val="16"/>
          <w:b w:val="1"/>
          <w:bCs w:val="1"/>
          <w:color w:val="auto"/>
        </w:rPr>
      </w:pPr>
    </w:p>
    <w:p>
      <w:pPr>
        <w:spacing w:after="0"/>
        <w:tabs>
          <w:tab w:leader="none" w:pos="0" w:val="left"/>
        </w:tabs>
        <w:numPr>
          <w:ilvl w:val="0"/>
          <w:numId w:val="63"/>
        </w:numPr>
        <w:rPr>
          <w:rFonts w:ascii="Arial" w:cs="Arial" w:eastAsia="Arial" w:hAnsi="Arial"/>
          <w:sz w:val="16"/>
          <w:szCs w:val="16"/>
          <w:b w:val="1"/>
          <w:bCs w:val="1"/>
          <w:color w:val="auto"/>
        </w:rPr>
      </w:pP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3.1 Within three (3) days upon the execution of this Agreement, Party B shall remit RMB 33,888,000 yuan into the bank account designated by Party A as the transaction deposit (“Deposit”) under this Agreement. Party B shall provide the payment wire confirmation to Party A once the wire transfer is done.</w:t>
      </w:r>
    </w:p>
    <w:p>
      <w:pPr>
        <w:spacing w:after="0" w:line="92" w:lineRule="exact"/>
        <w:rPr>
          <w:sz w:val="20"/>
          <w:szCs w:val="20"/>
          <w:color w:val="auto"/>
        </w:rPr>
      </w:pPr>
    </w:p>
    <w:p>
      <w:pPr>
        <w:spacing w:after="0"/>
        <w:tabs>
          <w:tab w:leader="none" w:pos="1080" w:val="left"/>
          <w:tab w:leader="none" w:pos="37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33,888,000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-6985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3.2 Within twenty (20) days upon the execution of this Agreement, all parties shall cooperate to commence to fulfill the required procedures regarding the business approval of such share transfer and the changes in Party C's Industrial and Commercial Registration with the relevant authority (including but not limited to filings with the Business Approval Authority and Commerce Approval Authority). On the date that Party B receives a confirmation receipt from the Commerce Approval Authority that the Authority has received on file the application materials, Party B shall remit RMB 237,216,000 yuan into the bank account designated by Party A. Party B shall provide the payment wire confirmation to Party A once the wire transfer is done.</w:t>
      </w:r>
    </w:p>
    <w:p>
      <w:pPr>
        <w:spacing w:after="0" w:line="111" w:lineRule="exact"/>
        <w:rPr>
          <w:sz w:val="20"/>
          <w:szCs w:val="20"/>
          <w:color w:val="auto"/>
        </w:rPr>
      </w:pPr>
    </w:p>
    <w:p>
      <w:pPr>
        <w:spacing w:after="0"/>
        <w:tabs>
          <w:tab w:leader="none" w:pos="1080" w:val="left"/>
          <w:tab w:leader="none" w:pos="102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20</w:t>
      </w:r>
      <w:r>
        <w:rPr>
          <w:sz w:val="20"/>
          <w:szCs w:val="20"/>
          <w:color w:val="auto"/>
        </w:rPr>
        <w:tab/>
      </w:r>
      <w:r>
        <w:rPr>
          <w:rFonts w:ascii="Arial" w:cs="Arial" w:eastAsia="Arial" w:hAnsi="Arial"/>
          <w:sz w:val="14"/>
          <w:szCs w:val="14"/>
          <w:color w:val="auto"/>
        </w:rPr>
        <w:t>237,216,000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-6985</wp:posOffset>
            </wp:positionV>
            <wp:extent cx="780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3.3 Within 2 business days after Party B has received a confirmation receipt from the Commerce Approval Authority that the Authority has received on file the application materials, Party B shall remit RMB 67,776,000 yuan into the bank account of Guangdong Zu Chi Nou Law Firm for safe custody; in exchange Guangdong Zu Chi Nou Law Firm shall issue a receipt (escrow) certificate of the fund to Party A upon receipt of such amount. Party B shall provide payment wire confirmation to Party A after the wire transfer is done.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Bank Account Information of the Guangdong Zu Chi Nou Law Firm is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Account Holder Name: Guangdong Zu Chi Nou Law Firm</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Bank Branch Name: Guangzhou Famer Merchant Bank Hua-Nan New City Branch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Account No.: 0620 1739 0000 00415</w:t>
      </w:r>
    </w:p>
    <w:p>
      <w:pPr>
        <w:spacing w:after="0" w:line="140"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67,776,000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-6985</wp:posOffset>
            </wp:positionV>
            <wp:extent cx="660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53" w:name="page54"/>
    <w:bookmarkEnd w:id="53"/>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0620 1739 0000 00415</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3.4 Within thirty (30) days from the Closing Date, Parties A and, B and the Guangdong Zu Chi Nou Law Firm shall form a transition team. Party A shall hand over Party C corporate documents and the Project Lot for Party B's sole management. Upon the delivery of the corporate and legal documents, key licenses, chops, and originals of certificates of Party C as listed in the List of Party C Handover Materials (attached as an Appendix), Parties A and B shall in good faith jointly issue a written Certificate of Handover Completion. Guangdong Zu Chi Nou Law Firm shall unconditionally remit the entire escrow fund in the amount of RMB 67,776,000 yuan into the bank account designated by Party A within 24 hours from the receipt of such Certificate of Handover Completion. Party A shall issue a receipt to Party B upon Party A's receipt of the aforementioned balance of escrow fund.</w:t>
      </w:r>
    </w:p>
    <w:p>
      <w:pPr>
        <w:spacing w:after="0" w:line="11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color w:val="auto"/>
        </w:rPr>
        <w:t>30</w:t>
      </w:r>
    </w:p>
    <w:p>
      <w:pPr>
        <w:spacing w:after="0" w:line="19" w:lineRule="exact"/>
        <w:rPr>
          <w:sz w:val="20"/>
          <w:szCs w:val="20"/>
          <w:color w:val="auto"/>
        </w:rPr>
      </w:pPr>
    </w:p>
    <w:p>
      <w:pPr>
        <w:ind w:left="2460"/>
        <w:spacing w:after="0"/>
        <w:tabs>
          <w:tab w:leader="none" w:pos="53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67,776,000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-15875</wp:posOffset>
            </wp:positionV>
            <wp:extent cx="660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3.5 Account information of Party A’s designated bank account is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Account Holder Name: Guangzhou Universal Electronics Service Co., Ltd.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Bank Branch Name: Bank of China Guangzhou Panyu Branch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Account No.: 689968360537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689968360537</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3.6 Five (5) days prior to submitting the applications for change of Industrial and Commercial Registration with the Commerce Approval Authority , Parties A and B shall jointly confirm the amount of Party A Receivables. Thereafter, Party A shall be solely responsible for the handling and processing of such Party A Receivables, and be responsible for any tax liabilities incurred therewith.</w:t>
      </w:r>
    </w:p>
    <w:p>
      <w:pPr>
        <w:spacing w:after="0" w:line="102" w:lineRule="exact"/>
        <w:rPr>
          <w:sz w:val="20"/>
          <w:szCs w:val="20"/>
          <w:color w:val="auto"/>
        </w:rPr>
      </w:pPr>
    </w:p>
    <w:p>
      <w:pPr>
        <w:spacing w:after="0"/>
        <w:tabs>
          <w:tab w:leader="none" w:pos="256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color w:val="auto"/>
        </w:rPr>
        <w:t>5</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3.7 Party B’s payment obligations under this Agreement shall be deemed to have been fulfilled on the date that Party A actually receives the entire Transaction Amount of RMB 338,880,000 yuan.</w:t>
      </w:r>
    </w:p>
    <w:p>
      <w:pPr>
        <w:spacing w:after="0" w:line="92"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color w:val="auto"/>
        </w:rPr>
        <w:t>33,888</w:t>
      </w:r>
    </w:p>
    <w:p>
      <w:pPr>
        <w:spacing w:after="0" w:line="200" w:lineRule="exact"/>
        <w:rPr>
          <w:sz w:val="20"/>
          <w:szCs w:val="20"/>
          <w:color w:val="auto"/>
        </w:rPr>
      </w:pPr>
    </w:p>
    <w:p>
      <w:pPr>
        <w:spacing w:after="0" w:line="287"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 and Warranties</w:t>
      </w:r>
    </w:p>
    <w:p>
      <w:pPr>
        <w:spacing w:after="0" w:line="140" w:lineRule="exact"/>
        <w:rPr>
          <w:rFonts w:ascii="Arial" w:cs="Arial" w:eastAsia="Arial" w:hAnsi="Arial"/>
          <w:sz w:val="16"/>
          <w:szCs w:val="16"/>
          <w:b w:val="1"/>
          <w:bCs w:val="1"/>
          <w:color w:val="auto"/>
        </w:rPr>
      </w:pPr>
    </w:p>
    <w:p>
      <w:pPr>
        <w:spacing w:after="0"/>
        <w:tabs>
          <w:tab w:leader="none" w:pos="0" w:val="left"/>
        </w:tabs>
        <w:numPr>
          <w:ilvl w:val="0"/>
          <w:numId w:val="65"/>
        </w:numPr>
        <w:rPr>
          <w:rFonts w:ascii="Arial" w:cs="Arial" w:eastAsia="Arial" w:hAnsi="Arial"/>
          <w:sz w:val="16"/>
          <w:szCs w:val="16"/>
          <w:b w:val="1"/>
          <w:bCs w:val="1"/>
          <w:color w:val="auto"/>
        </w:rPr>
      </w:pP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4.1 For the purpose of the performance hereof, Party A represents and warrants to Party B that to Party A’s actual knowledge and except otherwise disclosed by Party A in writing:</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4.1.1 To Party A's actual knowledge, the List of Handover Materials, and all the documents, materials and information in connection with this Agreement provided by Party A to Party B are true, and there are no false records, misleading statements or significant omissions. They are materially accurate, complete, and effective regarding the descriptions of assets. If there are material omissions, Party A has the duty to supplement.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4.1.1</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4.1.2 Party A has truthfully and completely disclosed to Party B, to its actual knowledge, any information that may have material adverse effect (meaning having a substantial adverse effect on the legitimacy, effectiveness or enforceability of this Agreement, or on Party C's operation, assets, businesses or financial position) on Party C and its related assets and businesses before the execution of this Agreement Party A further warrants that Party A will not take any action that leads or may lead to any material adverse effect on Party C and its related assets and businesses after the execution of this Agreement.</w:t>
      </w:r>
    </w:p>
    <w:p>
      <w:pPr>
        <w:sectPr>
          <w:pgSz w:w="11900" w:h="16838" w:orient="portrait"/>
          <w:cols w:equalWidth="0" w:num="1">
            <w:col w:w="11420"/>
          </w:cols>
          <w:pgMar w:left="240" w:top="1440"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4.1.2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4.1.3 All the provisions in “WHEREAS” herein, as well as Party A’s representation and warranties hereunder, are authentic.</w:t>
      </w:r>
    </w:p>
    <w:p>
      <w:pPr>
        <w:spacing w:after="0" w:line="140" w:lineRule="exact"/>
        <w:rPr>
          <w:sz w:val="20"/>
          <w:szCs w:val="20"/>
          <w:color w:val="auto"/>
        </w:rPr>
      </w:pPr>
    </w:p>
    <w:p>
      <w:pPr>
        <w:spacing w:after="0"/>
        <w:tabs>
          <w:tab w:leader="none" w:pos="640" w:val="left"/>
          <w:tab w:leader="none" w:pos="900" w:val="left"/>
        </w:tabs>
        <w:rPr>
          <w:sz w:val="20"/>
          <w:szCs w:val="20"/>
          <w:color w:val="auto"/>
        </w:rPr>
      </w:pPr>
      <w:r>
        <w:rPr>
          <w:rFonts w:ascii="Arial" w:cs="Arial" w:eastAsia="Arial" w:hAnsi="Arial"/>
          <w:sz w:val="16"/>
          <w:szCs w:val="16"/>
          <w:color w:val="auto"/>
        </w:rPr>
        <w:t>4.1.3</w:t>
      </w:r>
      <w:r>
        <w:rPr>
          <w:sz w:val="20"/>
          <w:szCs w:val="20"/>
          <w:color w:val="auto"/>
        </w:rPr>
        <w:tab/>
      </w:r>
      <w:r>
        <w:rPr>
          <w:rFonts w:ascii="Arial" w:cs="Arial" w:eastAsia="Arial" w:hAnsi="Arial"/>
          <w:sz w:val="16"/>
          <w:szCs w:val="16"/>
          <w:color w:val="auto"/>
        </w:rPr>
        <w:t>“</w:t>
        <w:tab/>
        <w:t>”</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4.1.4 On the date of the execution of this Agreement, Party A must provide Party B with the following documents duly stamped and confirmed by Party A, including: i) Party C’s unaudited financial statements as of March 31, 2018; ii) Party C's unaudited balance sheet as of March 31, 2018, 2018; (iii) tax clearance certificate and Party C's audit report; (iv) the tax certificate for increment tax on land value (if any), and (v) the settlement statement of corporate income tax. Prior to the Closing Date, Party A will submit those unaudited financial statements as of the Closing Date.</w:t>
      </w:r>
    </w:p>
    <w:p>
      <w:pPr>
        <w:spacing w:after="0" w:line="106" w:lineRule="exact"/>
        <w:rPr>
          <w:sz w:val="20"/>
          <w:szCs w:val="20"/>
          <w:color w:val="auto"/>
        </w:rPr>
      </w:pPr>
    </w:p>
    <w:p>
      <w:pPr>
        <w:spacing w:after="0"/>
        <w:tabs>
          <w:tab w:leader="none" w:pos="3600" w:val="left"/>
          <w:tab w:leader="none" w:pos="4920" w:val="left"/>
        </w:tabs>
        <w:rPr>
          <w:sz w:val="20"/>
          <w:szCs w:val="20"/>
          <w:color w:val="auto"/>
        </w:rPr>
      </w:pPr>
      <w:r>
        <w:rPr>
          <w:rFonts w:ascii="Arial" w:cs="Arial" w:eastAsia="Arial" w:hAnsi="Arial"/>
          <w:sz w:val="16"/>
          <w:szCs w:val="16"/>
          <w:color w:val="auto"/>
        </w:rPr>
        <w:t>4.1.4</w:t>
      </w:r>
      <w:r>
        <w:rPr>
          <w:sz w:val="20"/>
          <w:szCs w:val="20"/>
          <w:color w:val="auto"/>
        </w:rPr>
        <w:tab/>
      </w:r>
      <w:r>
        <w:rPr>
          <w:rFonts w:ascii="Arial" w:cs="Arial" w:eastAsia="Arial" w:hAnsi="Arial"/>
          <w:sz w:val="16"/>
          <w:szCs w:val="16"/>
          <w:color w:val="auto"/>
        </w:rPr>
        <w:t>2018 3 31</w:t>
      </w:r>
      <w:r>
        <w:rPr>
          <w:sz w:val="20"/>
          <w:szCs w:val="20"/>
          <w:color w:val="auto"/>
        </w:rPr>
        <w:tab/>
      </w:r>
      <w:r>
        <w:rPr>
          <w:rFonts w:ascii="Arial" w:cs="Arial" w:eastAsia="Arial" w:hAnsi="Arial"/>
          <w:sz w:val="16"/>
          <w:szCs w:val="16"/>
          <w:color w:val="auto"/>
        </w:rPr>
        <w:t>2018 3 31</w:t>
      </w:r>
    </w:p>
    <w:p>
      <w:pPr>
        <w:spacing w:after="0" w:line="3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4.1.5 Party A shall be liable for all of Party C’s losses and liabilities arising from the Tax Examination as stated in point 13 of WHEREAS. Party A shall provide Party B a copy of the final examination report original copy issued by the Guangzhou Municipal State Taxation Bureau.</w:t>
      </w:r>
    </w:p>
    <w:p>
      <w:pPr>
        <w:spacing w:after="0" w:line="92" w:lineRule="exact"/>
        <w:rPr>
          <w:sz w:val="20"/>
          <w:szCs w:val="20"/>
          <w:color w:val="auto"/>
        </w:rPr>
      </w:pPr>
    </w:p>
    <w:p>
      <w:pPr>
        <w:spacing w:after="0"/>
        <w:tabs>
          <w:tab w:leader="none" w:pos="1480" w:val="left"/>
          <w:tab w:leader="none" w:pos="1740" w:val="left"/>
        </w:tabs>
        <w:rPr>
          <w:sz w:val="20"/>
          <w:szCs w:val="20"/>
          <w:color w:val="auto"/>
        </w:rPr>
      </w:pPr>
      <w:r>
        <w:rPr>
          <w:rFonts w:ascii="Arial" w:cs="Arial" w:eastAsia="Arial" w:hAnsi="Arial"/>
          <w:sz w:val="16"/>
          <w:szCs w:val="16"/>
          <w:color w:val="auto"/>
        </w:rPr>
        <w:t>4.1.5</w:t>
      </w:r>
      <w:r>
        <w:rPr>
          <w:sz w:val="20"/>
          <w:szCs w:val="20"/>
          <w:color w:val="auto"/>
        </w:rPr>
        <w:tab/>
      </w:r>
      <w:r>
        <w:rPr>
          <w:rFonts w:ascii="Arial" w:cs="Arial" w:eastAsia="Arial" w:hAnsi="Arial"/>
          <w:sz w:val="16"/>
          <w:szCs w:val="16"/>
          <w:color w:val="auto"/>
        </w:rPr>
        <w:t>“</w:t>
        <w:tab/>
        <w:t>” 13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4.1.6 Party A will provide Party B with a set of Party C’s current financial books and records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4.1.6</w:t>
      </w:r>
    </w:p>
    <w:p>
      <w:pPr>
        <w:spacing w:after="0" w:line="14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4.1.7 Parties A and C warrant that presently there are no disputes regarding their shares. Party A warrants that it will not sign any share transfer contract similar to this Agreement with any third party after the full execution of this Agreement.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4.1.7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4.2 For the purpose of the performance hereof, Party B make the following representation and warranties to Party 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4.2.1 Party B has sufficient funds that can be disposed and transferred at any time to carry out the transaction hereunder.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4.2.1</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4.2.2 Party B possesses the full capacity for civil conduct and full capacity to execute this Agreement, as well as all the rights, power and authority necessary to have any of its rights and perform any of its duties hereunder. Party B’s performance hereof will neither violate any law, regulation, rule or order applicable to it, nor go against its existing valid articles of association.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4.2.2</w:t>
      </w:r>
    </w:p>
    <w:p>
      <w:pPr>
        <w:spacing w:after="0" w:line="140"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4.2.3 If after the Handover Date, if Party B actually uses the Net Taxable Loss stated in point 6 of “WHEREAS” to reduce Party B’s operating income and associated tax liability, Party B shall repay to Party A the realized tax savings due to such usage within ten (10) days upon receipt of the related tax payment voucher or supporting documents issued by the taxation authority. Prior to the full utilization of the Net Taxable Loss, Party B shall disclose to Party A in writing (1) each instance on which the Net Taxable Loss is utilized to reduce Party B’s operating income and tax liability, and (2) submit its detailed annual income tax return to Party A on an annual basis up to five (5) years.</w:t>
      </w:r>
    </w:p>
    <w:p>
      <w:pPr>
        <w:spacing w:after="0" w:line="76" w:lineRule="exact"/>
        <w:rPr>
          <w:sz w:val="20"/>
          <w:szCs w:val="20"/>
          <w:color w:val="auto"/>
        </w:rPr>
      </w:pPr>
    </w:p>
    <w:p>
      <w:pPr>
        <w:spacing w:after="0"/>
        <w:tabs>
          <w:tab w:leader="none" w:pos="1620" w:val="left"/>
          <w:tab w:leader="none" w:pos="1880" w:val="left"/>
        </w:tabs>
        <w:rPr>
          <w:sz w:val="20"/>
          <w:szCs w:val="20"/>
          <w:color w:val="auto"/>
        </w:rPr>
      </w:pPr>
      <w:r>
        <w:rPr>
          <w:rFonts w:ascii="Arial" w:cs="Arial" w:eastAsia="Arial" w:hAnsi="Arial"/>
          <w:sz w:val="16"/>
          <w:szCs w:val="16"/>
          <w:color w:val="auto"/>
        </w:rPr>
        <w:t>4.2.3</w:t>
      </w:r>
      <w:r>
        <w:rPr>
          <w:sz w:val="20"/>
          <w:szCs w:val="20"/>
          <w:color w:val="auto"/>
        </w:rPr>
        <w:tab/>
      </w:r>
      <w:r>
        <w:rPr>
          <w:rFonts w:ascii="Arial" w:cs="Arial" w:eastAsia="Arial" w:hAnsi="Arial"/>
          <w:sz w:val="16"/>
          <w:szCs w:val="16"/>
          <w:color w:val="auto"/>
        </w:rPr>
        <w:t>“</w:t>
        <w:tab/>
        <w:t>” 6</w:t>
      </w:r>
    </w:p>
    <w:p>
      <w:pPr>
        <w:spacing w:after="0" w:line="3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4.2.4 Party B undertakes and warrants that it will continuously perform the Transfer Contract for the Use Right of State-owned Land in Panyu, the General Management Contract for State-owned Land Transfer in Panyu, and the Agreement with Guangzhou Panyu Zhongcun Electronic Industrial Company as specified in point 9 of “WHEREAS” herein, and that Party B will solely assume all rights and obligations arising out of these agreements.</w:t>
      </w:r>
    </w:p>
    <w:p>
      <w:pPr>
        <w:spacing w:after="0" w:line="102" w:lineRule="exact"/>
        <w:rPr>
          <w:sz w:val="20"/>
          <w:szCs w:val="20"/>
          <w:color w:val="auto"/>
        </w:rPr>
      </w:pPr>
    </w:p>
    <w:p>
      <w:pPr>
        <w:spacing w:after="0"/>
        <w:tabs>
          <w:tab w:leader="none" w:pos="1680" w:val="left"/>
          <w:tab w:leader="none" w:pos="1940" w:val="left"/>
        </w:tabs>
        <w:rPr>
          <w:sz w:val="20"/>
          <w:szCs w:val="20"/>
          <w:color w:val="auto"/>
        </w:rPr>
      </w:pPr>
      <w:r>
        <w:rPr>
          <w:rFonts w:ascii="Arial" w:cs="Arial" w:eastAsia="Arial" w:hAnsi="Arial"/>
          <w:sz w:val="16"/>
          <w:szCs w:val="16"/>
          <w:color w:val="auto"/>
        </w:rPr>
        <w:t>4.2.4</w:t>
      </w:r>
      <w:r>
        <w:rPr>
          <w:sz w:val="20"/>
          <w:szCs w:val="20"/>
          <w:color w:val="auto"/>
        </w:rPr>
        <w:tab/>
      </w:r>
      <w:r>
        <w:rPr>
          <w:rFonts w:ascii="Arial" w:cs="Arial" w:eastAsia="Arial" w:hAnsi="Arial"/>
          <w:sz w:val="16"/>
          <w:szCs w:val="16"/>
          <w:color w:val="auto"/>
        </w:rPr>
        <w:t>“</w:t>
        <w:tab/>
        <w:t>”</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4.2.5 Party B warrants that if _ Guangdong Zu Chi Nou Law Firm fails to remit the balance of the Transaction Amount pursuant to this Agreement, Party B shall be responsible for paying Party A any such shortfall in the Transaction Amount .</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4.2.5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4.3 Party A and Party B acknowledge and agree that that: i) for two years after the Handover Date, Party A shall indemnify Party B for any losses</w:t>
      </w:r>
    </w:p>
    <w:p>
      <w:pPr>
        <w:sectPr>
          <w:pgSz w:w="11900" w:h="16838" w:orient="portrait"/>
          <w:cols w:equalWidth="0" w:num="1">
            <w:col w:w="11420"/>
          </w:cols>
          <w:pgMar w:left="240" w:top="589" w:right="239" w:bottom="144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16"/>
          <w:szCs w:val="16"/>
          <w:color w:val="auto"/>
        </w:rPr>
        <w:t>or debt incurred arising from any rights and obligations of Party C (including but not limited to legal disputes, litigation, guarantees, rent, administrative penalties and fines, contractual damages, and delinquent taxes) that arose or were incurred prior to the Closing Date, except for those matters listed in “WHEREAS” herein; and ii) Party B shall solely assume and be obligated for any rights and obligations of Party C that arise or are incurred upon or after the Handover Date. Upon the expiration of said two-year period, the indemnification obligations of Party A will cease with no further actions needing to be taken by the Parties.</w:t>
      </w:r>
    </w:p>
    <w:p>
      <w:pPr>
        <w:sectPr>
          <w:pgSz w:w="11900" w:h="16838" w:orient="portrait"/>
          <w:cols w:equalWidth="0" w:num="1">
            <w:col w:w="11420"/>
          </w:cols>
          <w:pgMar w:left="240" w:top="589" w:right="2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w:t>
      </w:r>
    </w:p>
    <w:p>
      <w:pPr>
        <w:spacing w:after="0" w:line="22" w:lineRule="exact"/>
        <w:rPr>
          <w:sz w:val="20"/>
          <w:szCs w:val="20"/>
          <w:color w:val="auto"/>
        </w:rPr>
      </w:pPr>
    </w:p>
    <w:p>
      <w:pPr>
        <w:sectPr>
          <w:pgSz w:w="11900" w:h="16838" w:orient="portrait"/>
          <w:cols w:equalWidth="0" w:num="3">
            <w:col w:w="580" w:space="720"/>
            <w:col w:w="1020" w:space="720"/>
            <w:col w:w="8380"/>
          </w:cols>
          <w:pgMar w:left="240" w:top="589" w:right="2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 ii)</w:t>
      </w:r>
    </w:p>
    <w:p>
      <w:pPr>
        <w:sectPr>
          <w:pgSz w:w="11900" w:h="16838" w:orient="portrait"/>
          <w:cols w:equalWidth="0" w:num="1">
            <w:col w:w="11420"/>
          </w:cols>
          <w:pgMar w:left="240" w:top="589" w:right="239" w:bottom="1440" w:gutter="0" w:footer="0" w:header="0"/>
          <w:type w:val="continuous"/>
        </w:sectPr>
      </w:pP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4.4 On the Handover Date, Parties A and B will destroy the old official chops of Party C, and handover the new official chops of Party C to Party B. Liabilities and debt arising from documents previously chopped by the old official chops will be considered as Party C’s liabilities which arose prior to the Handover Date. Liabilities and debt arising from documents chopped by the new official chops will be considered as Party C’s liabilities which arose after the Handover Date, for which Party A has no responsibility or liability.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for Breach and Termination of Agreement</w:t>
      </w:r>
    </w:p>
    <w:p>
      <w:pPr>
        <w:spacing w:after="0" w:line="140" w:lineRule="exact"/>
        <w:rPr>
          <w:rFonts w:ascii="Arial" w:cs="Arial" w:eastAsia="Arial" w:hAnsi="Arial"/>
          <w:sz w:val="16"/>
          <w:szCs w:val="16"/>
          <w:b w:val="1"/>
          <w:bCs w:val="1"/>
          <w:color w:val="auto"/>
        </w:rPr>
      </w:pPr>
    </w:p>
    <w:p>
      <w:pPr>
        <w:spacing w:after="0"/>
        <w:tabs>
          <w:tab w:leader="none" w:pos="0" w:val="left"/>
        </w:tabs>
        <w:numPr>
          <w:ilvl w:val="0"/>
          <w:numId w:val="67"/>
        </w:numPr>
        <w:rPr>
          <w:rFonts w:ascii="Arial" w:cs="Arial" w:eastAsia="Arial" w:hAnsi="Arial"/>
          <w:sz w:val="16"/>
          <w:szCs w:val="16"/>
          <w:b w:val="1"/>
          <w:bCs w:val="1"/>
          <w:color w:val="auto"/>
        </w:rPr>
      </w:pP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5.1 Except as otherwise agreed herein, for two years after the execution of this Agreement, any party must indemnify for the other party’s actual losses arising from such party’s failure to perform its duties and obligations hereunder, or misleading or incorrect representation and warranties.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5.2 After Party B has paid the Deposit to Party A pursuant to Article 3.1, if Party A commits a material delay in fulfilling its obligations as provided in this Agreement, it shall pay Party B a liquidated damage equaling 0.05% of the Transaction Amount Party A already received from Party B per day for each day of material delay, except if such delay is attributable to any governmental authority’s action, any examination and approval delayed by a relevant authority which is out of the control of Party A, or any other cause which is beyond the reasonable control of Party A Meanwhile, Party A shall finish the relevant contractual obligations as soon as possible, and all parties shall also continue to perform the Agreement. However, if the delay by Party A exceeds twenty (20) days, Party B is entitled to terminate this Agreement without further liability, and claim against Party A liquidated damage at 10% of the total Transaction Amount.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 w:type="dxa"/>
            <w:vAlign w:val="bottom"/>
          </w:tcPr>
          <w:p>
            <w:pPr>
              <w:jc w:val="right"/>
              <w:ind w:right="259"/>
              <w:spacing w:after="0"/>
              <w:rPr>
                <w:sz w:val="20"/>
                <w:szCs w:val="20"/>
                <w:color w:val="auto"/>
              </w:rPr>
            </w:pPr>
            <w:r>
              <w:rPr>
                <w:rFonts w:ascii="Arial" w:cs="Arial" w:eastAsia="Arial" w:hAnsi="Arial"/>
                <w:sz w:val="16"/>
                <w:szCs w:val="16"/>
                <w:color w:val="auto"/>
                <w:w w:val="89"/>
              </w:rPr>
              <w:t>5.2</w:t>
            </w: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2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20" w:type="dxa"/>
            <w:vAlign w:val="bottom"/>
          </w:tcPr>
          <w:p>
            <w:pPr>
              <w:jc w:val="right"/>
              <w:ind w:right="399"/>
              <w:spacing w:after="0"/>
              <w:rPr>
                <w:sz w:val="20"/>
                <w:szCs w:val="20"/>
                <w:color w:val="auto"/>
              </w:rPr>
            </w:pPr>
            <w:r>
              <w:rPr>
                <w:rFonts w:ascii="Arial" w:cs="Arial" w:eastAsia="Arial" w:hAnsi="Arial"/>
                <w:sz w:val="16"/>
                <w:szCs w:val="16"/>
                <w:color w:val="auto"/>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06"/>
        </w:trPr>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60" w:type="dxa"/>
            <w:vAlign w:val="bottom"/>
          </w:tcPr>
          <w:p>
            <w:pPr>
              <w:jc w:val="right"/>
              <w:ind w:right="2559"/>
              <w:spacing w:after="0"/>
              <w:rPr>
                <w:sz w:val="20"/>
                <w:szCs w:val="20"/>
                <w:color w:val="auto"/>
              </w:rPr>
            </w:pPr>
            <w:r>
              <w:rPr>
                <w:rFonts w:ascii="Arial" w:cs="Arial" w:eastAsia="Arial" w:hAnsi="Arial"/>
                <w:sz w:val="16"/>
                <w:szCs w:val="16"/>
                <w:color w:val="auto"/>
              </w:rPr>
              <w:t>20</w:t>
            </w:r>
          </w:p>
        </w:tc>
        <w:tc>
          <w:tcPr>
            <w:tcW w:w="3820" w:type="dxa"/>
            <w:vAlign w:val="bottom"/>
          </w:tcPr>
          <w:p>
            <w:pPr>
              <w:jc w:val="right"/>
              <w:ind w:right="3339"/>
              <w:spacing w:after="0"/>
              <w:rPr>
                <w:sz w:val="20"/>
                <w:szCs w:val="20"/>
                <w:color w:val="auto"/>
              </w:rPr>
            </w:pPr>
            <w:r>
              <w:rPr>
                <w:rFonts w:ascii="Arial" w:cs="Arial" w:eastAsia="Arial" w:hAnsi="Arial"/>
                <w:sz w:val="16"/>
                <w:szCs w:val="16"/>
                <w:color w:val="auto"/>
              </w:rPr>
              <w:t>10%</w:t>
            </w:r>
          </w:p>
        </w:tc>
        <w:tc>
          <w:tcPr>
            <w:tcW w:w="900" w:type="dxa"/>
            <w:vAlign w:val="bottom"/>
          </w:tcPr>
          <w:p>
            <w:pPr>
              <w:spacing w:after="0"/>
              <w:rPr>
                <w:sz w:val="17"/>
                <w:szCs w:val="17"/>
                <w:color w:val="auto"/>
              </w:rPr>
            </w:pPr>
          </w:p>
        </w:tc>
      </w:tr>
    </w:tbl>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5.3 In case that Party B fails to make the payment to Party A pursuant to Article 3.2, Party B shall pay Party A a liquidated damage equaling 0.05% of the unpaid Transaction Amount for each day of delay. In addition, in case Party B’s late payment exceeds three (3) days, Party A is entitled to unilaterally terminate this Agreement (without the need to notify Party B) without further liability, and claim against Party B a liquidated damage at 10% of the total Transaction Amount.</w:t>
      </w:r>
    </w:p>
    <w:p>
      <w:pPr>
        <w:spacing w:after="0" w:line="102" w:lineRule="exact"/>
        <w:rPr>
          <w:sz w:val="20"/>
          <w:szCs w:val="20"/>
          <w:color w:val="auto"/>
        </w:rPr>
      </w:pPr>
    </w:p>
    <w:p>
      <w:pPr>
        <w:spacing w:after="0"/>
        <w:tabs>
          <w:tab w:leader="none" w:pos="900" w:val="left"/>
          <w:tab w:leader="none" w:pos="2040" w:val="left"/>
          <w:tab w:leader="none" w:pos="3060" w:val="left"/>
          <w:tab w:leader="none" w:pos="5280" w:val="left"/>
          <w:tab w:leader="none" w:pos="962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0.05%</w:t>
      </w:r>
      <w:r>
        <w:rPr>
          <w:sz w:val="20"/>
          <w:szCs w:val="20"/>
          <w:color w:val="auto"/>
        </w:rPr>
        <w:tab/>
      </w: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10%</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5.4 In case that Party B fails to make the payment to Guangdong Zu Chi Nou Law Firm pursuant to Article 3.3, it shall pay Party A a liquidated damage equaling 0.05% of the unpaid Transaction Amount per day for each day of delay. In addition, in case of Party B’s late payment exceeds five (5) days, Party A is entitled to unilaterally terminate this Agreement (without the need to notify Party B) without further liability, and claim against Party B a liquidated damage at 10% of the total Transaction Amount.</w:t>
      </w:r>
    </w:p>
    <w:p>
      <w:pPr>
        <w:spacing w:after="0" w:line="86" w:lineRule="exact"/>
        <w:rPr>
          <w:sz w:val="20"/>
          <w:szCs w:val="20"/>
          <w:color w:val="auto"/>
        </w:rPr>
      </w:pPr>
    </w:p>
    <w:p>
      <w:pPr>
        <w:spacing w:after="0"/>
        <w:tabs>
          <w:tab w:leader="none" w:pos="900" w:val="left"/>
          <w:tab w:leader="none" w:pos="3480" w:val="left"/>
          <w:tab w:leader="none" w:pos="4520" w:val="left"/>
          <w:tab w:leader="none" w:pos="6740" w:val="left"/>
          <w:tab w:leader="none" w:pos="1110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0.05%</w:t>
      </w:r>
      <w:r>
        <w:rPr>
          <w:sz w:val="20"/>
          <w:szCs w:val="20"/>
          <w:color w:val="auto"/>
        </w:rPr>
        <w:tab/>
      </w:r>
      <w:r>
        <w:rPr>
          <w:rFonts w:ascii="Arial" w:cs="Arial" w:eastAsia="Arial" w:hAnsi="Arial"/>
          <w:sz w:val="16"/>
          <w:szCs w:val="16"/>
          <w:color w:val="auto"/>
        </w:rPr>
        <w:t>5</w:t>
      </w:r>
      <w:r>
        <w:rPr>
          <w:sz w:val="20"/>
          <w:szCs w:val="20"/>
          <w:color w:val="auto"/>
        </w:rPr>
        <w:tab/>
      </w:r>
      <w:r>
        <w:rPr>
          <w:rFonts w:ascii="Arial" w:cs="Arial" w:eastAsia="Arial" w:hAnsi="Arial"/>
          <w:sz w:val="14"/>
          <w:szCs w:val="14"/>
          <w:color w:val="auto"/>
        </w:rPr>
        <w:t>10%</w:t>
      </w:r>
    </w:p>
    <w:p>
      <w:pPr>
        <w:spacing w:after="0" w:line="329"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5.5 Upon the execution of this Agreement, neither party A or B shall unilaterally discharge this Agreement on any ground unless such party’s obligations to perform the Agreement has been duly excused (for example, the other party announces that it will not continue to perform the Agreement according to its term). If either party unilaterally terminates this Agreement without just cause, such breaching party must pay the non-breaching party the liquidated damages at 10% of the total Transaction Amount.</w:t>
      </w:r>
    </w:p>
    <w:p>
      <w:pPr>
        <w:spacing w:after="0" w:line="68" w:lineRule="exact"/>
        <w:rPr>
          <w:sz w:val="20"/>
          <w:szCs w:val="20"/>
          <w:color w:val="auto"/>
        </w:rPr>
      </w:pPr>
    </w:p>
    <w:p>
      <w:pPr>
        <w:spacing w:after="0"/>
        <w:tabs>
          <w:tab w:leader="none" w:pos="912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color w:val="auto"/>
        </w:rPr>
        <w:t>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5.6 If Party A’s representations and warranties are materially untrue or inaccurate, or its failure to perform its duties as specified in this Agreement,</w:t>
      </w:r>
    </w:p>
    <w:p>
      <w:pPr>
        <w:sectPr>
          <w:pgSz w:w="11900" w:h="16838" w:orient="portrait"/>
          <w:cols w:equalWidth="0" w:num="1">
            <w:col w:w="11420"/>
          </w:cols>
          <w:pgMar w:left="240" w:top="589" w:right="239" w:bottom="1440" w:gutter="0" w:footer="0" w:header="0"/>
          <w:type w:val="continuous"/>
        </w:sectPr>
      </w:pPr>
    </w:p>
    <w:bookmarkStart w:id="56" w:name="page57"/>
    <w:bookmarkEnd w:id="56"/>
    <w:p>
      <w:pPr>
        <w:jc w:val="both"/>
        <w:spacing w:after="0" w:line="261" w:lineRule="auto"/>
        <w:rPr>
          <w:sz w:val="20"/>
          <w:szCs w:val="20"/>
          <w:color w:val="auto"/>
        </w:rPr>
      </w:pPr>
      <w:r>
        <w:rPr>
          <w:rFonts w:ascii="Arial" w:cs="Arial" w:eastAsia="Arial" w:hAnsi="Arial"/>
          <w:sz w:val="16"/>
          <w:szCs w:val="16"/>
          <w:color w:val="auto"/>
        </w:rPr>
        <w:t>results in any actual losses and liabilities of Party C or Party B, Party B must claim such loss against Party A in writing and list any matter, basis and amount for compensation no later than two years from the Closing Date. Within fifteen (15) days upon receipt of such written claim for damages, Party A shall investigate such matter specified therein. If it is verified through investigation, Party A shall make compensation to Party B.</w:t>
      </w:r>
    </w:p>
    <w:p>
      <w:pPr>
        <w:spacing w:after="0" w:line="102" w:lineRule="exact"/>
        <w:rPr>
          <w:sz w:val="20"/>
          <w:szCs w:val="20"/>
          <w:color w:val="auto"/>
        </w:rPr>
      </w:pPr>
    </w:p>
    <w:p>
      <w:pPr>
        <w:spacing w:after="0"/>
        <w:tabs>
          <w:tab w:leader="none" w:pos="1066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15</w:t>
      </w: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5.7 Notwithstanding anything to the contrary, in the event that the transaction contemplated by this Agreement fails to fully close on or before June 30, 2018 (including but not limited to the transfer of shares and handover of the project), and such failure to close is through no fault of Party A or reasons related to the delay of the government not otherwise caused by or attributable to Party B, Party A shall be able to terminate this Agreement without further liability and retain 10% of the Transaction Amount paid by Party B as liquidated damage.</w:t>
      </w:r>
    </w:p>
    <w:p>
      <w:pPr>
        <w:spacing w:after="0" w:line="106" w:lineRule="exact"/>
        <w:rPr>
          <w:sz w:val="20"/>
          <w:szCs w:val="20"/>
          <w:color w:val="auto"/>
        </w:rPr>
      </w:pPr>
    </w:p>
    <w:p>
      <w:pPr>
        <w:spacing w:after="0"/>
        <w:tabs>
          <w:tab w:leader="none" w:pos="1080" w:val="left"/>
          <w:tab w:leader="none" w:pos="1900" w:val="left"/>
          <w:tab w:leader="none" w:pos="3080" w:val="left"/>
          <w:tab w:leader="none" w:pos="3540" w:val="left"/>
          <w:tab w:leader="none" w:pos="870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2018</w:t>
        <w:tab/>
        <w:t>6 30</w:t>
      </w:r>
      <w:r>
        <w:rPr>
          <w:sz w:val="20"/>
          <w:szCs w:val="20"/>
          <w:color w:val="auto"/>
        </w:rPr>
        <w:tab/>
      </w:r>
      <w:r>
        <w:rPr>
          <w:rFonts w:ascii="Arial" w:cs="Arial" w:eastAsia="Arial" w:hAnsi="Arial"/>
          <w:sz w:val="14"/>
          <w:szCs w:val="14"/>
          <w:color w:val="auto"/>
        </w:rPr>
        <w:t>10</w:t>
      </w:r>
    </w:p>
    <w:p>
      <w:pPr>
        <w:spacing w:after="0" w:line="200" w:lineRule="exact"/>
        <w:rPr>
          <w:sz w:val="20"/>
          <w:szCs w:val="20"/>
          <w:color w:val="auto"/>
        </w:rPr>
      </w:pPr>
    </w:p>
    <w:p>
      <w:pPr>
        <w:spacing w:after="0" w:line="260"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Laws and Resolution of Disputes</w:t>
      </w:r>
    </w:p>
    <w:p>
      <w:pPr>
        <w:spacing w:after="0" w:line="140" w:lineRule="exact"/>
        <w:rPr>
          <w:rFonts w:ascii="Arial" w:cs="Arial" w:eastAsia="Arial" w:hAnsi="Arial"/>
          <w:sz w:val="16"/>
          <w:szCs w:val="16"/>
          <w:b w:val="1"/>
          <w:bCs w:val="1"/>
          <w:color w:val="auto"/>
        </w:rPr>
      </w:pPr>
    </w:p>
    <w:p>
      <w:pPr>
        <w:spacing w:after="0"/>
        <w:tabs>
          <w:tab w:leader="none" w:pos="0" w:val="left"/>
        </w:tabs>
        <w:numPr>
          <w:ilvl w:val="0"/>
          <w:numId w:val="69"/>
        </w:numPr>
        <w:rPr>
          <w:rFonts w:ascii="Arial" w:cs="Arial" w:eastAsia="Arial" w:hAnsi="Arial"/>
          <w:sz w:val="16"/>
          <w:szCs w:val="16"/>
          <w:b w:val="1"/>
          <w:bCs w:val="1"/>
          <w:color w:val="auto"/>
        </w:rPr>
      </w:pPr>
    </w:p>
    <w:p>
      <w:pPr>
        <w:spacing w:after="0" w:line="144"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6"/>
          <w:szCs w:val="16"/>
          <w:color w:val="auto"/>
        </w:rPr>
        <w:t>All the disputes during the performance hereof shall be settled by Party A and Party B through consultation between officials of the Parties that have decision making authority. Failing that, Party A and Party B acknowledge that any dispute arising from or in connection with this Agreement shall be filed for arbitration with Nansha International Arbitration Center. For this purpose, the summary procedures and the laws of PRC shall apply in the hearing process. The arbitral award shall be final and binding upon Party A and Party B.</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Notice and Service</w:t>
      </w:r>
    </w:p>
    <w:p>
      <w:pPr>
        <w:spacing w:after="0" w:line="140" w:lineRule="exact"/>
        <w:rPr>
          <w:rFonts w:ascii="Arial" w:cs="Arial" w:eastAsia="Arial" w:hAnsi="Arial"/>
          <w:sz w:val="16"/>
          <w:szCs w:val="16"/>
          <w:b w:val="1"/>
          <w:bCs w:val="1"/>
          <w:color w:val="auto"/>
        </w:rPr>
      </w:pPr>
    </w:p>
    <w:p>
      <w:pPr>
        <w:spacing w:after="0"/>
        <w:tabs>
          <w:tab w:leader="none" w:pos="0" w:val="left"/>
        </w:tabs>
        <w:numPr>
          <w:ilvl w:val="0"/>
          <w:numId w:val="71"/>
        </w:numPr>
        <w:rPr>
          <w:rFonts w:ascii="Arial" w:cs="Arial" w:eastAsia="Arial" w:hAnsi="Arial"/>
          <w:sz w:val="16"/>
          <w:szCs w:val="16"/>
          <w:b w:val="1"/>
          <w:bCs w:val="1"/>
          <w:color w:val="auto"/>
        </w:rPr>
      </w:pPr>
    </w:p>
    <w:p>
      <w:pPr>
        <w:spacing w:after="0" w:line="144" w:lineRule="exact"/>
        <w:rPr>
          <w:sz w:val="20"/>
          <w:szCs w:val="20"/>
          <w:color w:val="auto"/>
        </w:rPr>
      </w:pPr>
    </w:p>
    <w:p>
      <w:pPr>
        <w:jc w:val="both"/>
        <w:ind w:right="20" w:firstLine="500"/>
        <w:spacing w:after="0" w:line="286" w:lineRule="auto"/>
        <w:rPr>
          <w:sz w:val="20"/>
          <w:szCs w:val="20"/>
          <w:color w:val="auto"/>
        </w:rPr>
      </w:pPr>
      <w:r>
        <w:rPr>
          <w:rFonts w:ascii="Arial" w:cs="Arial" w:eastAsia="Arial" w:hAnsi="Arial"/>
          <w:sz w:val="15"/>
          <w:szCs w:val="15"/>
          <w:color w:val="auto"/>
        </w:rPr>
        <w:t>Any notices, documents and materials sent or submitted among all parties for the performance hereof shall be made in writing (including email) and addressed through registered mail or express delivery to the addresses stated herein. In case of change in either party’s address, it shall promptly inform the other party in writing; otherwise, any notices and documents sent to such party’s address stated herein shall be deemed to have been directly delivered to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 Provisions</w:t>
      </w:r>
    </w:p>
    <w:p>
      <w:pPr>
        <w:spacing w:after="0" w:line="140" w:lineRule="exact"/>
        <w:rPr>
          <w:rFonts w:ascii="Arial" w:cs="Arial" w:eastAsia="Arial" w:hAnsi="Arial"/>
          <w:sz w:val="16"/>
          <w:szCs w:val="16"/>
          <w:b w:val="1"/>
          <w:bCs w:val="1"/>
          <w:color w:val="auto"/>
        </w:rPr>
      </w:pPr>
    </w:p>
    <w:p>
      <w:pPr>
        <w:spacing w:after="0"/>
        <w:tabs>
          <w:tab w:leader="none" w:pos="0" w:val="left"/>
        </w:tabs>
        <w:numPr>
          <w:ilvl w:val="0"/>
          <w:numId w:val="73"/>
        </w:numPr>
        <w:rPr>
          <w:rFonts w:ascii="Arial" w:cs="Arial" w:eastAsia="Arial" w:hAnsi="Arial"/>
          <w:sz w:val="16"/>
          <w:szCs w:val="16"/>
          <w:b w:val="1"/>
          <w:bCs w:val="1"/>
          <w:color w:val="auto"/>
        </w:rPr>
      </w:pP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8.1 Party A shall be responsible for the fees incurred through the commerce authority for this transaction. Any taxes and levies relating to the transaction hereunder shall be borne by the related parties in accordance with relevant laws and regulations and as provided herein, or shall be equally (50%) shared by Party A and Party B if no such law, regulation or provision.</w:t>
      </w:r>
    </w:p>
    <w:p>
      <w:pPr>
        <w:spacing w:after="0" w:line="10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color w:val="auto"/>
        </w:rPr>
        <w:t>50%</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8.2 Where either party hereto fails to perform this Agreement in whole or in part due to force majeure, any act of government, and any other unforeseeable and insurmountable cause, such affected party shall immediately inform the other party in writing. Consequently, all parties hereto shall discuss whether to discharge this Agreement based on the impact of such events on the performance hereof, or shall be released from, in whole or in part, or shall decide to postpone the performance hereof.</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3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8.3 The transaction amount to be stated in the standard share transfer contract to be entered into by Party A and Party B for purpose of the business approval procedure (“Standard Transfer Contract”) shall be the same as the Transaction Amount stated in this Agreement. In the event of any inconsistency between the Standard Transfer Contract and this Agreement, this Agreement shall prevail.</w:t>
      </w:r>
    </w:p>
    <w:p>
      <w:pPr>
        <w:sectPr>
          <w:pgSz w:w="11900" w:h="16838" w:orient="portrait"/>
          <w:cols w:equalWidth="0" w:num="1">
            <w:col w:w="11420"/>
          </w:cols>
          <w:pgMar w:left="240" w:top="589"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8.3</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8.4 Upon the end of the land use period granted to Party C, Party B shall be solely responsible for those matters (and associated liabilities) relating to the ownership or use rights of the land and building. If Party B needs Party A’s assistance, Party A will provide reasonable assistance provided that (i) such assistance does not adversely impact the interests of Party A, and (ii) Party B reimburses any out-of-pocket costs incurred by Party A in the course of such assistance.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8.5 Party B shall be responsible for cost water, electricity and security services of Party C on the following month following the Handover Date.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8.6 Neither party has engaged or authorized any broker, finder, investment banker or other third party to act on behalf of any Party hereto, directly or indirectly, as a broker, finder, investment banker or in any other like capacity in connection with this Agreement or the transactions contemplated hereby, or has consented to or acquiesced in anyone so acting. There are no claims for compensation from any such broker, finder, investment banker or other third party for so acting or of any basis for such a claim.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8.7 This Agreement is written both in Chinese and English. In case of any difference between the two versions, the Chinese version shall prevail.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8.8 This Agreement is made in duplicates. Parties A and B will each hold two (2) copies. Parties C and the Guangdong Zu Chi Nou Law Firm’s will each hold one (1) copy.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Agreement comes into effect upon signature and seal by the authorized representatives of all parties. All copies have the same legal force.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9" w:right="239" w:bottom="1440" w:gutter="0" w:footer="0" w:header="0"/>
        </w:sectPr>
      </w:pPr>
    </w:p>
    <w:bookmarkStart w:id="58" w:name="page59"/>
    <w:bookmarkEnd w:id="58"/>
    <w:p>
      <w:pPr>
        <w:spacing w:after="0" w:line="200" w:lineRule="exact"/>
        <w:rPr>
          <w:sz w:val="20"/>
          <w:szCs w:val="20"/>
          <w:color w:val="auto"/>
        </w:rPr>
      </w:pP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Party A:</w:t>
      </w:r>
      <w:r>
        <w:rPr>
          <w:sz w:val="20"/>
          <w:szCs w:val="20"/>
          <w:color w:val="auto"/>
        </w:rPr>
        <w:tab/>
      </w:r>
      <w:r>
        <w:rPr>
          <w:rFonts w:ascii="Arial" w:cs="Arial" w:eastAsia="Arial" w:hAnsi="Arial"/>
          <w:sz w:val="15"/>
          <w:szCs w:val="15"/>
          <w:color w:val="auto"/>
        </w:rPr>
        <w:t>CG Development Limited (Chop)</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color w:val="auto"/>
        </w:rPr>
        <w:t>Party B:</w:t>
      </w:r>
      <w:r>
        <w:rPr>
          <w:sz w:val="20"/>
          <w:szCs w:val="20"/>
          <w:color w:val="auto"/>
        </w:rPr>
        <w:tab/>
      </w:r>
      <w:r>
        <w:rPr>
          <w:rFonts w:ascii="Arial" w:cs="Arial" w:eastAsia="Arial" w:hAnsi="Arial"/>
          <w:sz w:val="15"/>
          <w:szCs w:val="15"/>
          <w:color w:val="auto"/>
        </w:rPr>
        <w:t>Guangzhou MuXia Hotel Management Co. Ltd.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Gemstar Technology (China) Co., Ltd.</w:t>
      </w:r>
    </w:p>
    <w:p>
      <w:pPr>
        <w:spacing w:after="0" w:line="140"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color w:val="auto"/>
        </w:rPr>
        <w:t>Party C:</w:t>
      </w:r>
      <w:r>
        <w:rPr>
          <w:sz w:val="20"/>
          <w:szCs w:val="20"/>
          <w:color w:val="auto"/>
        </w:rPr>
        <w:tab/>
      </w:r>
      <w:r>
        <w:rPr>
          <w:rFonts w:ascii="Arial" w:cs="Arial" w:eastAsia="Arial" w:hAnsi="Arial"/>
          <w:sz w:val="14"/>
          <w:szCs w:val="14"/>
          <w:color w:val="auto"/>
        </w:rPr>
        <w:t>Gemstar Technology (China) Co., Ltd.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Guangdong Zu Chi Nou Law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 (Signature):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Place of Signature: Panyu District, Guangzhou</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Appendix</w:t>
      </w:r>
    </w:p>
    <w:p>
      <w:pPr>
        <w:sectPr>
          <w:pgSz w:w="11900" w:h="16838" w:orient="portrait"/>
          <w:cols w:equalWidth="0" w:num="1">
            <w:col w:w="10219"/>
          </w:cols>
          <w:pgMar w:left="240" w:top="1440" w:right="1440" w:bottom="1440" w:gutter="0" w:footer="0" w:header="0"/>
        </w:sectPr>
      </w:pPr>
    </w:p>
    <w:bookmarkStart w:id="59" w:name="page60"/>
    <w:bookmarkEnd w:id="59"/>
    <w:p>
      <w:pPr>
        <w:ind w:left="328" w:hanging="328"/>
        <w:spacing w:after="0"/>
        <w:tabs>
          <w:tab w:leader="none" w:pos="3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List of Party C Handover Materials</w:t>
      </w:r>
    </w:p>
    <w:p>
      <w:pPr>
        <w:spacing w:after="0" w:line="19" w:lineRule="exact"/>
        <w:rPr>
          <w:rFonts w:ascii="Arial" w:cs="Arial" w:eastAsia="Arial" w:hAnsi="Arial"/>
          <w:sz w:val="16"/>
          <w:szCs w:val="16"/>
          <w:color w:val="auto"/>
        </w:rPr>
      </w:pPr>
    </w:p>
    <w:p>
      <w:pPr>
        <w:ind w:left="328" w:hanging="328"/>
        <w:spacing w:after="0"/>
        <w:tabs>
          <w:tab w:leader="none" w:pos="3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Party’s business license</w:t>
      </w:r>
    </w:p>
    <w:p>
      <w:pPr>
        <w:spacing w:after="0" w:line="5" w:lineRule="exact"/>
        <w:rPr>
          <w:rFonts w:ascii="Arial" w:cs="Arial" w:eastAsia="Arial" w:hAnsi="Arial"/>
          <w:sz w:val="16"/>
          <w:szCs w:val="16"/>
          <w:color w:val="auto"/>
        </w:rPr>
      </w:pPr>
    </w:p>
    <w:p>
      <w:pPr>
        <w:ind w:left="328" w:hanging="328"/>
        <w:spacing w:after="0"/>
        <w:tabs>
          <w:tab w:leader="none" w:pos="3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Guangdong Zu Chi Nou Law Firm’s License.</w:t>
      </w:r>
    </w:p>
    <w:p>
      <w:pPr>
        <w:spacing w:after="0" w:line="5" w:lineRule="exact"/>
        <w:rPr>
          <w:rFonts w:ascii="Arial" w:cs="Arial" w:eastAsia="Arial" w:hAnsi="Arial"/>
          <w:sz w:val="16"/>
          <w:szCs w:val="16"/>
          <w:color w:val="auto"/>
        </w:rPr>
      </w:pPr>
    </w:p>
    <w:p>
      <w:pPr>
        <w:ind w:left="328" w:hanging="328"/>
        <w:spacing w:after="0"/>
        <w:tabs>
          <w:tab w:leader="none" w:pos="328" w:val="left"/>
        </w:tabs>
        <w:numPr>
          <w:ilvl w:val="0"/>
          <w:numId w:val="74"/>
        </w:numPr>
        <w:rPr>
          <w:rFonts w:ascii="Arial" w:cs="Arial" w:eastAsia="Arial" w:hAnsi="Arial"/>
          <w:sz w:val="14"/>
          <w:szCs w:val="14"/>
          <w:color w:val="auto"/>
        </w:rPr>
      </w:pPr>
      <w:r>
        <w:rPr>
          <w:rFonts w:ascii="Arial" w:cs="Arial" w:eastAsia="Arial" w:hAnsi="Arial"/>
          <w:sz w:val="14"/>
          <w:szCs w:val="14"/>
          <w:color w:val="auto"/>
        </w:rPr>
        <w:t>Form of Escrow Receipt/Certificate and Certificate of Handover Completion</w:t>
      </w:r>
    </w:p>
    <w:p>
      <w:pPr>
        <w:sectPr>
          <w:pgSz w:w="11900" w:h="16838" w:orient="portrait"/>
          <w:cols w:equalWidth="0" w:num="1">
            <w:col w:w="9887"/>
          </w:cols>
          <w:pgMar w:left="572" w:top="589"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2018 EQUITY AND INCENTIVE COMPENSATION PLAN</w:t>
      </w:r>
    </w:p>
    <w:p>
      <w:pPr>
        <w:spacing w:after="0" w:line="227" w:lineRule="exact"/>
        <w:rPr>
          <w:sz w:val="20"/>
          <w:szCs w:val="20"/>
          <w:color w:val="auto"/>
        </w:rPr>
      </w:pPr>
    </w:p>
    <w:p>
      <w:pPr>
        <w:jc w:val="both"/>
        <w:ind w:firstLine="656"/>
        <w:spacing w:after="0" w:line="427" w:lineRule="auto"/>
        <w:tabs>
          <w:tab w:leader="none" w:pos="1013" w:val="left"/>
        </w:tabs>
        <w:numPr>
          <w:ilvl w:val="0"/>
          <w:numId w:val="75"/>
        </w:numPr>
        <w:rPr>
          <w:rFonts w:ascii="Arial" w:cs="Arial" w:eastAsia="Arial" w:hAnsi="Arial"/>
          <w:sz w:val="14"/>
          <w:szCs w:val="14"/>
          <w:color w:val="auto"/>
        </w:rPr>
      </w:pPr>
      <w:r>
        <w:rPr>
          <w:rFonts w:ascii="Arial" w:cs="Arial" w:eastAsia="Arial" w:hAnsi="Arial"/>
          <w:sz w:val="14"/>
          <w:szCs w:val="14"/>
          <w:b w:val="1"/>
          <w:bCs w:val="1"/>
          <w:i w:val="1"/>
          <w:iCs w:val="1"/>
          <w:color w:val="auto"/>
        </w:rPr>
        <w:t>Purpose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purpose of the Universal Electronics Inc. 2018 Equity and Incentive Compensation Plan is to provide a means through which the Company may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attract and retain key personnel and to provide a means whereby directors, officers, employees, consultants and advisors of the Company and its Subsidiaries (the “</w:t>
      </w:r>
      <w:r>
        <w:rPr>
          <w:rFonts w:ascii="Arial" w:cs="Arial" w:eastAsia="Arial" w:hAnsi="Arial"/>
          <w:sz w:val="14"/>
          <w:szCs w:val="14"/>
          <w:b w:val="1"/>
          <w:bCs w:val="1"/>
          <w:color w:val="auto"/>
        </w:rPr>
        <w:t>Company</w:t>
      </w:r>
      <w:r>
        <w:rPr>
          <w:rFonts w:ascii="Arial" w:cs="Arial" w:eastAsia="Arial" w:hAnsi="Arial"/>
          <w:sz w:val="14"/>
          <w:szCs w:val="14"/>
          <w:color w:val="auto"/>
        </w:rPr>
        <w:t xml:space="preserve"> </w:t>
      </w:r>
      <w:r>
        <w:rPr>
          <w:rFonts w:ascii="Arial" w:cs="Arial" w:eastAsia="Arial" w:hAnsi="Arial"/>
          <w:sz w:val="14"/>
          <w:szCs w:val="14"/>
          <w:b w:val="1"/>
          <w:bCs w:val="1"/>
          <w:color w:val="auto"/>
        </w:rPr>
        <w:t>Group</w:t>
      </w:r>
      <w:r>
        <w:rPr>
          <w:rFonts w:ascii="Arial" w:cs="Arial" w:eastAsia="Arial" w:hAnsi="Arial"/>
          <w:sz w:val="14"/>
          <w:szCs w:val="14"/>
          <w:color w:val="auto"/>
        </w:rPr>
        <w:t>”) can acquire and maintain an equity interest in the Company, or be paid incentive compensation, which may (but need not) be measured by reference to the value of</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thereby strengthening their commitment to the welfare of the Company Group and aligning their interests with those of the Company’s stockholders.</w:t>
      </w:r>
    </w:p>
    <w:p>
      <w:pPr>
        <w:spacing w:after="0" w:line="245" w:lineRule="exact"/>
        <w:rPr>
          <w:rFonts w:ascii="Arial" w:cs="Arial" w:eastAsia="Arial" w:hAnsi="Arial"/>
          <w:sz w:val="14"/>
          <w:szCs w:val="14"/>
          <w:color w:val="auto"/>
        </w:rPr>
      </w:pPr>
    </w:p>
    <w:p>
      <w:pPr>
        <w:ind w:left="1020" w:hanging="364"/>
        <w:spacing w:after="0"/>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definitions shall be applicable throughout the Plan: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Annual Award</w:t>
      </w:r>
      <w:r>
        <w:rPr>
          <w:rFonts w:ascii="Arial" w:cs="Arial" w:eastAsia="Arial" w:hAnsi="Arial"/>
          <w:sz w:val="16"/>
          <w:szCs w:val="16"/>
          <w:color w:val="auto"/>
        </w:rPr>
        <w:t>” has the meaning given such term in Section 5(c) of the Plan.</w:t>
      </w:r>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Award</w:t>
      </w:r>
      <w:r>
        <w:rPr>
          <w:rFonts w:ascii="Arial" w:cs="Arial" w:eastAsia="Arial" w:hAnsi="Arial"/>
          <w:sz w:val="16"/>
          <w:szCs w:val="16"/>
          <w:color w:val="auto"/>
        </w:rPr>
        <w:t>” means, individually or collectively, any Incentive Stock Option, Nonqualified Stock Option, Stock Appreciation Right, Restricted Stock, Restricted Stock Unit, Other Stock-Based Award, Cash-Based Award granted under the Plan.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Award Agreement</w:t>
      </w:r>
      <w:r>
        <w:rPr>
          <w:rFonts w:ascii="Arial" w:cs="Arial" w:eastAsia="Arial" w:hAnsi="Arial"/>
          <w:sz w:val="14"/>
          <w:szCs w:val="14"/>
          <w:color w:val="auto"/>
        </w:rPr>
        <w:t>” means a written agreement between the Company and a Participant evidencing the grant of an Award (other than a Cash-Based Award) to the Participant.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Board</w:t>
      </w:r>
      <w:r>
        <w:rPr>
          <w:rFonts w:ascii="Arial" w:cs="Arial" w:eastAsia="Arial" w:hAnsi="Arial"/>
          <w:sz w:val="16"/>
          <w:szCs w:val="16"/>
          <w:color w:val="auto"/>
        </w:rPr>
        <w:t>” means the Board of Directors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Business Combination</w:t>
      </w:r>
      <w:r>
        <w:rPr>
          <w:rFonts w:ascii="Arial" w:cs="Arial" w:eastAsia="Arial" w:hAnsi="Arial"/>
          <w:sz w:val="16"/>
          <w:szCs w:val="16"/>
          <w:color w:val="auto"/>
        </w:rPr>
        <w:t>” has the meaning given such term in the definition of “</w:t>
      </w:r>
      <w:r>
        <w:rPr>
          <w:rFonts w:ascii="Arial" w:cs="Arial" w:eastAsia="Arial" w:hAnsi="Arial"/>
          <w:sz w:val="16"/>
          <w:szCs w:val="16"/>
          <w:b w:val="1"/>
          <w:bCs w:val="1"/>
          <w:color w:val="auto"/>
        </w:rPr>
        <w:t>Change in Control</w:t>
      </w:r>
      <w:r>
        <w:rPr>
          <w:rFonts w:ascii="Arial" w:cs="Arial" w:eastAsia="Arial" w:hAnsi="Arial"/>
          <w:sz w:val="16"/>
          <w:szCs w:val="16"/>
          <w:color w:val="auto"/>
        </w:rPr>
        <w:t>.”</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Cash-Based Award</w:t>
      </w:r>
      <w:r>
        <w:rPr>
          <w:rFonts w:ascii="Arial" w:cs="Arial" w:eastAsia="Arial" w:hAnsi="Arial"/>
          <w:sz w:val="16"/>
          <w:szCs w:val="16"/>
          <w:color w:val="auto"/>
        </w:rPr>
        <w:t>” means an Award that is not a Stock Appreciation Right or Restricted Stock Unit granted under Section 10 of the Plan that is denominated and/or payable in cash.</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Cause</w:t>
      </w:r>
      <w:r>
        <w:rPr>
          <w:rFonts w:ascii="Arial" w:cs="Arial" w:eastAsia="Arial" w:hAnsi="Arial"/>
          <w:sz w:val="15"/>
          <w:szCs w:val="15"/>
          <w:color w:val="auto"/>
        </w:rPr>
        <w:t>” means in the case of a particular Award, unless the applicable Award Agreement states otherwise, (i) the Company or any Subsidiary having “cause” to terminate a Participant’s employment or service, as defined in any employment or consulting agreement between the Participant and any member of the Company Group in effect at the time of such termination or (ii) in the absence of any such employment or consulting agreement (or the absence of any definition of “</w:t>
      </w:r>
      <w:r>
        <w:rPr>
          <w:rFonts w:ascii="Arial" w:cs="Arial" w:eastAsia="Arial" w:hAnsi="Arial"/>
          <w:sz w:val="15"/>
          <w:szCs w:val="15"/>
          <w:b w:val="1"/>
          <w:bCs w:val="1"/>
          <w:color w:val="auto"/>
        </w:rPr>
        <w:t>Cause</w:t>
      </w:r>
      <w:r>
        <w:rPr>
          <w:rFonts w:ascii="Arial" w:cs="Arial" w:eastAsia="Arial" w:hAnsi="Arial"/>
          <w:sz w:val="15"/>
          <w:szCs w:val="15"/>
          <w:color w:val="auto"/>
        </w:rPr>
        <w:t>” contained therein), the following with respect to a Participant: (a) the commission of a felony or other crime involving moral turpitude or the commission of any act or omission involving dishonesty, disloyalty or fraud in connection with the performance of his or her duties with respect to the Company or any of its Subsidiaries; (b) any conduct in conjunction with his or her duties which could reasonably be expected to, or which does, cause public disgrace or disrepute or significant economic harm to the Company or any of its Subsidiaries; (c) repeated or continuing failure to perform his or her duties that is not cured to the Company’s reasonable satisfaction within fifteen (15) days after written notice thereof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such opportunity to cure shall not be available for repeated or habitual violations); (d) a deliberate act of insubordination or repeated refusal to follow reasonable and lawful instructions of supervisors, including engaging in disruptive conduct to the detriment of the Company or any of its Subsidiaries; (e) gross negligence or willful misconduct in connection with the performance of his or her duties with respect to the Company or any of its Subsidiaries; (f) obtaining any personal profit not thoroughly disclosed to and approved by the Company in connection with any transaction entered into by, or on behalf of, the Company or any of its Subsidiaries or a breach of his or her fiduciary duties to the Company or any of its Subsidiaries; (g) violating any material terms of the applicable material policies of the Company or any of its Subsidiaries that is not cured to the Company’s reasonable satisfaction within fifteen (15) days after written notice thereof (</w:t>
      </w:r>
      <w:r>
        <w:rPr>
          <w:rFonts w:ascii="Arial" w:cs="Arial" w:eastAsia="Arial" w:hAnsi="Arial"/>
          <w:sz w:val="15"/>
          <w:szCs w:val="15"/>
          <w:u w:val="single" w:color="auto"/>
          <w:color w:val="auto"/>
        </w:rPr>
        <w:t>provided, that</w:t>
      </w:r>
      <w:r>
        <w:rPr>
          <w:rFonts w:ascii="Arial" w:cs="Arial" w:eastAsia="Arial" w:hAnsi="Arial"/>
          <w:sz w:val="15"/>
          <w:szCs w:val="15"/>
          <w:color w:val="auto"/>
        </w:rPr>
        <w:t>, such opportunity to cure shall not be available for repeated or habitual violations); or (i) any breach of any material provision of a written agreement between the Company or any of its Subsidiaries and the Participant which is not cured to the Company’s reasonable satisfaction within fifteen (15) days after written notice thereof.</w:t>
      </w:r>
    </w:p>
    <w:p>
      <w:pPr>
        <w:spacing w:after="0" w:line="155" w:lineRule="exact"/>
        <w:rPr>
          <w:sz w:val="20"/>
          <w:szCs w:val="20"/>
          <w:color w:val="auto"/>
        </w:rPr>
      </w:pPr>
    </w:p>
    <w:p>
      <w:pPr>
        <w:ind w:left="120" w:right="3700" w:hanging="10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Change in Control</w:t>
      </w:r>
      <w:r>
        <w:rPr>
          <w:rFonts w:ascii="Arial" w:cs="Arial" w:eastAsia="Arial" w:hAnsi="Arial"/>
          <w:sz w:val="14"/>
          <w:szCs w:val="14"/>
          <w:color w:val="auto"/>
        </w:rPr>
        <w:t>” shall, in the case of a particular Award, unless the applicable Award Agreement states otherwise or contains a different definition of “Change in Control,” be deemed to occur upon the first to occur of the following:</w:t>
      </w:r>
    </w:p>
    <w:p>
      <w:pPr>
        <w:spacing w:after="0" w:line="140" w:lineRule="exact"/>
        <w:rPr>
          <w:sz w:val="20"/>
          <w:szCs w:val="20"/>
          <w:color w:val="auto"/>
        </w:rPr>
      </w:pPr>
    </w:p>
    <w:p>
      <w:pPr>
        <w:jc w:val="both"/>
        <w:ind w:left="760" w:firstLine="4"/>
        <w:spacing w:after="0" w:line="383" w:lineRule="auto"/>
        <w:tabs>
          <w:tab w:leader="none" w:pos="115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Any individual, entity or group (within the meaning of Section 12(d)(3) or 14(d)(2) of the Securities Exchange Act of 1934, as amended and any successor thereto (the “</w:t>
      </w:r>
      <w:r>
        <w:rPr>
          <w:rFonts w:ascii="Arial" w:cs="Arial" w:eastAsia="Arial" w:hAnsi="Arial"/>
          <w:sz w:val="15"/>
          <w:szCs w:val="15"/>
          <w:b w:val="1"/>
          <w:bCs w:val="1"/>
          <w:color w:val="auto"/>
        </w:rPr>
        <w:t>Exchange Act</w:t>
      </w:r>
      <w:r>
        <w:rPr>
          <w:rFonts w:ascii="Arial" w:cs="Arial" w:eastAsia="Arial" w:hAnsi="Arial"/>
          <w:sz w:val="15"/>
          <w:szCs w:val="15"/>
          <w:color w:val="auto"/>
        </w:rPr>
        <w:t>”)) (a “</w:t>
      </w:r>
      <w:r>
        <w:rPr>
          <w:rFonts w:ascii="Arial" w:cs="Arial" w:eastAsia="Arial" w:hAnsi="Arial"/>
          <w:sz w:val="15"/>
          <w:szCs w:val="15"/>
          <w:b w:val="1"/>
          <w:bCs w:val="1"/>
          <w:color w:val="auto"/>
        </w:rPr>
        <w:t>Person</w:t>
      </w:r>
      <w:r>
        <w:rPr>
          <w:rFonts w:ascii="Arial" w:cs="Arial" w:eastAsia="Arial" w:hAnsi="Arial"/>
          <w:sz w:val="15"/>
          <w:szCs w:val="15"/>
          <w:color w:val="auto"/>
        </w:rPr>
        <w:t>”) becomes the beneficial owner (within the meaning of Rule 13d-3 promulgated under the Exchange Act) of fifty percent (50%) or more of either (A) the then-outstanding shares of Common Stock of the Company (the “</w:t>
      </w:r>
      <w:r>
        <w:rPr>
          <w:rFonts w:ascii="Arial" w:cs="Arial" w:eastAsia="Arial" w:hAnsi="Arial"/>
          <w:sz w:val="15"/>
          <w:szCs w:val="15"/>
          <w:b w:val="1"/>
          <w:bCs w:val="1"/>
          <w:color w:val="auto"/>
        </w:rPr>
        <w:t>Outstanding Company Common Stock</w:t>
      </w:r>
      <w:r>
        <w:rPr>
          <w:rFonts w:ascii="Arial" w:cs="Arial" w:eastAsia="Arial" w:hAnsi="Arial"/>
          <w:sz w:val="15"/>
          <w:szCs w:val="15"/>
          <w:color w:val="auto"/>
        </w:rPr>
        <w:t>”) or (B) the combined voting power of the then-outstanding voting securities of the Company entitled to vote generally in the election of directors (the “</w:t>
      </w:r>
      <w:r>
        <w:rPr>
          <w:rFonts w:ascii="Arial" w:cs="Arial" w:eastAsia="Arial" w:hAnsi="Arial"/>
          <w:sz w:val="15"/>
          <w:szCs w:val="15"/>
          <w:b w:val="1"/>
          <w:bCs w:val="1"/>
          <w:color w:val="auto"/>
        </w:rPr>
        <w:t>Outstanding</w:t>
      </w:r>
      <w:r>
        <w:rPr>
          <w:rFonts w:ascii="Arial" w:cs="Arial" w:eastAsia="Arial" w:hAnsi="Arial"/>
          <w:sz w:val="15"/>
          <w:szCs w:val="15"/>
          <w:color w:val="auto"/>
        </w:rPr>
        <w:t xml:space="preserve"> </w:t>
      </w:r>
      <w:r>
        <w:rPr>
          <w:rFonts w:ascii="Arial" w:cs="Arial" w:eastAsia="Arial" w:hAnsi="Arial"/>
          <w:sz w:val="15"/>
          <w:szCs w:val="15"/>
          <w:b w:val="1"/>
          <w:bCs w:val="1"/>
          <w:color w:val="auto"/>
        </w:rPr>
        <w:t>Company Voting Securities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herein, the following acquisitions shall not constitute a Change in Control: (I) any acquisition</w:t>
      </w:r>
      <w:r>
        <w:rPr>
          <w:rFonts w:ascii="Arial" w:cs="Arial" w:eastAsia="Arial" w:hAnsi="Arial"/>
          <w:sz w:val="15"/>
          <w:szCs w:val="15"/>
          <w:b w:val="1"/>
          <w:bCs w:val="1"/>
          <w:color w:val="auto"/>
        </w:rPr>
        <w:t xml:space="preserve"> </w:t>
      </w:r>
      <w:r>
        <w:rPr>
          <w:rFonts w:ascii="Arial" w:cs="Arial" w:eastAsia="Arial" w:hAnsi="Arial"/>
          <w:sz w:val="15"/>
          <w:szCs w:val="15"/>
          <w:color w:val="auto"/>
        </w:rPr>
        <w:t>by the Company, (II) any acquisition by any employee benefit plan (or related trust) sponsored or maintained by the Company or any affiliate of the Company, or (III) any acquisition by any corporation pursuant to a transaction that complies with subsections (iii)(A), (iii)(B) and (iii)(C) of this definition below;</w:t>
      </w:r>
    </w:p>
    <w:p>
      <w:pPr>
        <w:spacing w:after="0" w:line="149" w:lineRule="exact"/>
        <w:rPr>
          <w:rFonts w:ascii="Arial" w:cs="Arial" w:eastAsia="Arial" w:hAnsi="Arial"/>
          <w:sz w:val="15"/>
          <w:szCs w:val="15"/>
          <w:color w:val="auto"/>
        </w:rPr>
      </w:pPr>
    </w:p>
    <w:p>
      <w:pPr>
        <w:jc w:val="both"/>
        <w:ind w:left="760" w:firstLine="4"/>
        <w:spacing w:after="0" w:line="359" w:lineRule="auto"/>
        <w:tabs>
          <w:tab w:leader="none" w:pos="12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During any period of twelve (12) consecutive months, individuals who, as of the date hereof,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62" w:lineRule="exact"/>
        <w:rPr>
          <w:rFonts w:ascii="Arial" w:cs="Arial" w:eastAsia="Arial" w:hAnsi="Arial"/>
          <w:sz w:val="16"/>
          <w:szCs w:val="16"/>
          <w:color w:val="auto"/>
        </w:rPr>
      </w:pPr>
    </w:p>
    <w:p>
      <w:pPr>
        <w:ind w:left="1260" w:hanging="496"/>
        <w:spacing w:after="0"/>
        <w:tabs>
          <w:tab w:leader="none" w:pos="1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Consummation of a reorganization (excluding a reorganization under either Chapter 7 or Chapter 11 of Title 11 of the United States Code), merger, statutory</w:t>
      </w:r>
    </w:p>
    <w:p>
      <w:pPr>
        <w:spacing w:after="0" w:line="109" w:lineRule="exact"/>
        <w:rPr>
          <w:sz w:val="20"/>
          <w:szCs w:val="20"/>
          <w:color w:val="auto"/>
        </w:rPr>
      </w:pPr>
    </w:p>
    <w:p>
      <w:pPr>
        <w:jc w:val="both"/>
        <w:ind w:left="760"/>
        <w:spacing w:after="0" w:line="337" w:lineRule="auto"/>
        <w:rPr>
          <w:sz w:val="20"/>
          <w:szCs w:val="20"/>
          <w:color w:val="auto"/>
        </w:rPr>
      </w:pPr>
      <w:r>
        <w:rPr>
          <w:rFonts w:ascii="Arial" w:cs="Arial" w:eastAsia="Arial" w:hAnsi="Arial"/>
          <w:sz w:val="16"/>
          <w:szCs w:val="16"/>
          <w:color w:val="auto"/>
        </w:rPr>
        <w:t>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w:t>
      </w:r>
    </w:p>
    <w:p>
      <w:pPr>
        <w:spacing w:after="0" w:line="35" w:lineRule="exact"/>
        <w:rPr>
          <w:sz w:val="20"/>
          <w:szCs w:val="20"/>
          <w:color w:val="auto"/>
        </w:rPr>
      </w:pPr>
    </w:p>
    <w:p>
      <w:pPr>
        <w:jc w:val="both"/>
        <w:ind w:left="760" w:firstLine="4"/>
        <w:spacing w:after="0" w:line="321" w:lineRule="auto"/>
        <w:tabs>
          <w:tab w:leader="none" w:pos="1282" w:val="left"/>
        </w:tabs>
        <w:numPr>
          <w:ilvl w:val="0"/>
          <w:numId w:val="77"/>
        </w:numPr>
        <w:rPr>
          <w:rFonts w:ascii="Arial" w:cs="Arial" w:eastAsia="Arial" w:hAnsi="Arial"/>
          <w:sz w:val="19"/>
          <w:szCs w:val="19"/>
          <w:color w:val="auto"/>
        </w:rPr>
      </w:pPr>
      <w:r>
        <w:rPr>
          <w:rFonts w:ascii="Arial" w:cs="Arial" w:eastAsia="Arial" w:hAnsi="Arial"/>
          <w:sz w:val="15"/>
          <w:szCs w:val="15"/>
          <w:color w:val="auto"/>
        </w:rPr>
        <w:t>all or substantially all of the individuals and entities that were the beneficial owners of the Outstanding Company Common Stock and the Outstanding Company Voting Securities immediately prior to such Business Combination beneficially own, directly or indirectly, more than fifty percent (50%) of the then-outstanding shares of common stock (or, for a non-corporate entity, equivalent securities) and the combined voting power of the then-outstanding voting securities entitled to vote generally in the election of directors (or, for a non- 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w:t>
      </w:r>
    </w:p>
    <w:p>
      <w:pPr>
        <w:spacing w:after="0" w:line="38" w:lineRule="exact"/>
        <w:rPr>
          <w:rFonts w:ascii="Arial" w:cs="Arial" w:eastAsia="Arial" w:hAnsi="Arial"/>
          <w:sz w:val="19"/>
          <w:szCs w:val="19"/>
          <w:color w:val="auto"/>
        </w:rPr>
      </w:pPr>
    </w:p>
    <w:p>
      <w:pPr>
        <w:jc w:val="both"/>
        <w:ind w:left="760" w:firstLine="4"/>
        <w:spacing w:after="0" w:line="321" w:lineRule="auto"/>
        <w:tabs>
          <w:tab w:leader="none" w:pos="1244" w:val="left"/>
        </w:tabs>
        <w:numPr>
          <w:ilvl w:val="0"/>
          <w:numId w:val="77"/>
        </w:numPr>
        <w:rPr>
          <w:rFonts w:ascii="Arial" w:cs="Arial" w:eastAsia="Arial" w:hAnsi="Arial"/>
          <w:sz w:val="19"/>
          <w:szCs w:val="19"/>
          <w:color w:val="auto"/>
        </w:rPr>
      </w:pPr>
      <w:r>
        <w:rPr>
          <w:rFonts w:ascii="Arial" w:cs="Arial" w:eastAsia="Arial" w:hAnsi="Arial"/>
          <w:sz w:val="15"/>
          <w:szCs w:val="15"/>
          <w:color w:val="auto"/>
        </w:rPr>
        <w:t>no Person (excluding any corporation resulting from such Business Combination or any employee benefit plan (or related trust) of the Company or such corporation resulting from such Business Combination) beneficially owns, directly or indirectly, fifty percent (50%) or more of, respectively, the then-outstanding</w:t>
      </w:r>
    </w:p>
    <w:p>
      <w:pPr>
        <w:sectPr>
          <w:pgSz w:w="11900" w:h="16838" w:orient="portrait"/>
          <w:cols w:equalWidth="0" w:num="1">
            <w:col w:w="11420"/>
          </w:cols>
          <w:pgMar w:left="240" w:top="450" w:right="239" w:bottom="0" w:gutter="0" w:footer="0" w:header="0"/>
        </w:sectPr>
      </w:pPr>
    </w:p>
    <w:bookmarkStart w:id="61" w:name="page62"/>
    <w:bookmarkEnd w:id="61"/>
    <w:p>
      <w:pPr>
        <w:jc w:val="both"/>
        <w:ind w:left="680"/>
        <w:spacing w:after="0" w:line="353" w:lineRule="auto"/>
        <w:rPr>
          <w:sz w:val="20"/>
          <w:szCs w:val="20"/>
          <w:color w:val="auto"/>
        </w:rPr>
      </w:pPr>
      <w:r>
        <w:rPr>
          <w:rFonts w:ascii="Arial" w:cs="Arial" w:eastAsia="Arial" w:hAnsi="Arial"/>
          <w:sz w:val="15"/>
          <w:szCs w:val="15"/>
          <w:color w:val="auto"/>
        </w:rPr>
        <w:t>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(iv)Approval by the stockholders of the Company of a complete liquidation or dissolution of the Company.</w:t>
      </w:r>
    </w:p>
    <w:p>
      <w:pPr>
        <w:spacing w:after="0" w:line="19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Notwithstanding the foregoing, a Change in Control shall not be deemed to occur under the Plan unless the event(s) constituting a Change in Control also constitute a “change in the ownership” of the Company, a “change in effective control” of the Company, or a “change in the ownership of a substantial portion of the assets” of the Company under Treasury Regulations § 1.409A-3(i)(5), or any successor provision.</w:t>
      </w:r>
    </w:p>
    <w:p>
      <w:pPr>
        <w:spacing w:after="0" w:line="156" w:lineRule="exact"/>
        <w:rPr>
          <w:sz w:val="20"/>
          <w:szCs w:val="20"/>
          <w:color w:val="auto"/>
        </w:rPr>
      </w:pPr>
    </w:p>
    <w:p>
      <w:pPr>
        <w:ind w:left="40" w:right="20"/>
        <w:spacing w:after="0" w:line="32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Code</w:t>
      </w:r>
      <w:r>
        <w:rPr>
          <w:rFonts w:ascii="Arial" w:cs="Arial" w:eastAsia="Arial" w:hAnsi="Arial"/>
          <w:sz w:val="15"/>
          <w:szCs w:val="15"/>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200" w:lineRule="exact"/>
        <w:rPr>
          <w:sz w:val="20"/>
          <w:szCs w:val="20"/>
          <w:color w:val="auto"/>
        </w:rPr>
      </w:pPr>
    </w:p>
    <w:p>
      <w:pPr>
        <w:spacing w:after="0" w:line="205"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Committee</w:t>
      </w:r>
      <w:r>
        <w:rPr>
          <w:rFonts w:ascii="Arial" w:cs="Arial" w:eastAsia="Arial" w:hAnsi="Arial"/>
          <w:sz w:val="16"/>
          <w:szCs w:val="16"/>
          <w:color w:val="auto"/>
        </w:rPr>
        <w:t>” means the Compensation Committee of the Board or a committee of at least two people as the Board may appoint to administer the Plan or, if no such committee has been appointed by the Board, the Board.</w:t>
      </w:r>
    </w:p>
    <w:p>
      <w:pPr>
        <w:spacing w:after="0" w:line="145"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Common Stock</w:t>
      </w:r>
      <w:r>
        <w:rPr>
          <w:rFonts w:ascii="Arial" w:cs="Arial" w:eastAsia="Arial" w:hAnsi="Arial"/>
          <w:sz w:val="16"/>
          <w:szCs w:val="16"/>
          <w:color w:val="auto"/>
        </w:rPr>
        <w:t>” means the common stock, par value $0.01 per share, of the Company (and any stock or other securities into which such common stock may be converted or into which it may be exchanged).</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Company</w:t>
      </w:r>
      <w:r>
        <w:rPr>
          <w:rFonts w:ascii="Arial" w:cs="Arial" w:eastAsia="Arial" w:hAnsi="Arial"/>
          <w:sz w:val="16"/>
          <w:szCs w:val="16"/>
          <w:color w:val="auto"/>
        </w:rPr>
        <w:t>” means Universal Electronics Inc., a Delaware corporation, and any successor thereto.</w:t>
      </w:r>
    </w:p>
    <w:p>
      <w:pPr>
        <w:spacing w:after="0" w:line="194" w:lineRule="exact"/>
        <w:rPr>
          <w:sz w:val="20"/>
          <w:szCs w:val="20"/>
          <w:color w:val="auto"/>
        </w:rPr>
      </w:pPr>
    </w:p>
    <w:p>
      <w:pPr>
        <w:jc w:val="both"/>
        <w:ind w:left="40"/>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Confidential Information</w:t>
      </w:r>
      <w:r>
        <w:rPr>
          <w:rFonts w:ascii="Arial" w:cs="Arial" w:eastAsia="Arial" w:hAnsi="Arial"/>
          <w:sz w:val="14"/>
          <w:szCs w:val="14"/>
          <w:color w:val="auto"/>
        </w:rPr>
        <w:t>”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finance, supply or service; (2) customers, suppliers or consumers, including customer lists, relationships and profiles;</w:t>
      </w:r>
    </w:p>
    <w:p>
      <w:pPr>
        <w:spacing w:after="0" w:line="19" w:lineRule="exact"/>
        <w:rPr>
          <w:sz w:val="20"/>
          <w:szCs w:val="20"/>
          <w:color w:val="auto"/>
        </w:rPr>
      </w:pPr>
    </w:p>
    <w:p>
      <w:pPr>
        <w:jc w:val="both"/>
        <w:ind w:left="40" w:hanging="4"/>
        <w:spacing w:after="0" w:line="272" w:lineRule="auto"/>
        <w:tabs>
          <w:tab w:leader="none" w:pos="294"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 inventions or systems information, whether or not patentable or copyrightable, and that is not otherwise a Trade Secret.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Date of Grant</w:t>
      </w:r>
      <w:r>
        <w:rPr>
          <w:rFonts w:ascii="Arial" w:cs="Arial" w:eastAsia="Arial" w:hAnsi="Arial"/>
          <w:sz w:val="16"/>
          <w:szCs w:val="16"/>
          <w:color w:val="auto"/>
        </w:rPr>
        <w:t>” means the date on which the granting of an Award is authorized, or such other date as may be specified in such authorization.</w:t>
      </w:r>
    </w:p>
    <w:p>
      <w:pPr>
        <w:spacing w:after="0" w:line="208" w:lineRule="exact"/>
        <w:rPr>
          <w:sz w:val="20"/>
          <w:szCs w:val="20"/>
          <w:color w:val="auto"/>
        </w:rPr>
      </w:pPr>
    </w:p>
    <w:p>
      <w:pPr>
        <w:jc w:val="both"/>
        <w:ind w:left="40"/>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Detrimental Activity</w:t>
      </w:r>
      <w:r>
        <w:rPr>
          <w:rFonts w:ascii="Arial" w:cs="Arial" w:eastAsia="Arial" w:hAnsi="Arial"/>
          <w:sz w:val="15"/>
          <w:szCs w:val="15"/>
          <w:color w:val="auto"/>
        </w:rPr>
        <w:t xml:space="preserve">” means any of the following: (1) unauthorized use, disclosure or dissemination of Confidential Information or Trade Secrets pertaining to the business of any member of the Company Group; (2) any activity that would be grounds to terminate the Participant’s employment or service with any member of the Company Group for Cause; or (3) a breach by the Participant of any restrictive covenant by which such Participant is bound, including, without limitation, any covenant not to compete or not to solicit, in any agreement with any member of the Company Group;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activity described under clause (1) of this definition does not apply to (x) any Confidential Information which has become generally known to competitors of any member of the Company Group through no act or omission by the Participant or (y) a Participant’s communications that are required by law or judicial process (</w:t>
      </w:r>
      <w:r>
        <w:rPr>
          <w:rFonts w:ascii="Arial" w:cs="Arial" w:eastAsia="Arial" w:hAnsi="Arial"/>
          <w:sz w:val="15"/>
          <w:szCs w:val="15"/>
          <w:i w:val="1"/>
          <w:iCs w:val="1"/>
          <w:color w:val="auto"/>
        </w:rPr>
        <w:t>e.g</w:t>
      </w:r>
      <w:r>
        <w:rPr>
          <w:rFonts w:ascii="Arial" w:cs="Arial" w:eastAsia="Arial" w:hAnsi="Arial"/>
          <w:sz w:val="15"/>
          <w:szCs w:val="15"/>
          <w:color w:val="auto"/>
        </w:rPr>
        <w:t>., subpoena). Further, this definition does not preclude a Participant from communicating, cooperating or filing a complaint with any U.S. federal, state or local governmental or law enforcement branch, agency or entity (collectively, a “</w:t>
      </w:r>
      <w:r>
        <w:rPr>
          <w:rFonts w:ascii="Arial" w:cs="Arial" w:eastAsia="Arial" w:hAnsi="Arial"/>
          <w:sz w:val="15"/>
          <w:szCs w:val="15"/>
          <w:b w:val="1"/>
          <w:bCs w:val="1"/>
          <w:color w:val="auto"/>
        </w:rPr>
        <w:t>Governmental Entity</w:t>
      </w:r>
      <w:r>
        <w:rPr>
          <w:rFonts w:ascii="Arial" w:cs="Arial" w:eastAsia="Arial" w:hAnsi="Arial"/>
          <w:sz w:val="15"/>
          <w:szCs w:val="15"/>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in each case, such communications and disclosures are consistent with applicable law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under no circumstance is the Participant authorized to disclose any information covered by the Company Group’s attorney-client privilege or attorney work product or Trade Secrets without prior written consent of the Board or its designee.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Effective Date</w:t>
      </w:r>
      <w:r>
        <w:rPr>
          <w:rFonts w:ascii="Arial" w:cs="Arial" w:eastAsia="Arial" w:hAnsi="Arial"/>
          <w:sz w:val="16"/>
          <w:szCs w:val="16"/>
          <w:color w:val="auto"/>
        </w:rPr>
        <w:t>” means the first date on which the Plan has been both adopted by the Board and approved by the Company’s shareholders.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Eligible Director</w:t>
      </w:r>
      <w:r>
        <w:rPr>
          <w:rFonts w:ascii="Arial" w:cs="Arial" w:eastAsia="Arial" w:hAnsi="Arial"/>
          <w:sz w:val="16"/>
          <w:szCs w:val="16"/>
          <w:color w:val="auto"/>
        </w:rPr>
        <w:t>” means a person who is a “non-employee director” within the meaning of Rule 16b-3 under the Exchange Act.</w:t>
      </w:r>
    </w:p>
    <w:p>
      <w:pPr>
        <w:spacing w:after="0" w:line="208" w:lineRule="exact"/>
        <w:rPr>
          <w:sz w:val="20"/>
          <w:szCs w:val="20"/>
          <w:color w:val="auto"/>
        </w:rPr>
      </w:pPr>
    </w:p>
    <w:p>
      <w:pPr>
        <w:jc w:val="both"/>
        <w:ind w:left="40" w:right="2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Eligible Person</w:t>
      </w:r>
      <w:r>
        <w:rPr>
          <w:rFonts w:ascii="Arial" w:cs="Arial" w:eastAsia="Arial" w:hAnsi="Arial"/>
          <w:sz w:val="16"/>
          <w:szCs w:val="16"/>
          <w:color w:val="auto"/>
        </w:rPr>
        <w:t>” means any (i) individual employed by any member of the Company Group; (ii) director of any member of the Company Group; or (iii) consultant or advisor to any member of the Company Group who may be offered securities registrable on Form S-8 under the Securities Act or pursuant to Rule 701 of the Securities Act, or any other available exemption, as applicable.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Employment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employment agreement or similar agreement between a Participant and a member of the Company Group</w:t>
      </w:r>
      <w:r>
        <w:rPr>
          <w:rFonts w:ascii="Arial" w:cs="Arial" w:eastAsia="Arial" w:hAnsi="Arial"/>
          <w:sz w:val="16"/>
          <w:szCs w:val="16"/>
          <w:i w:val="1"/>
          <w:iCs w:val="1"/>
          <w:color w:val="auto"/>
        </w:rPr>
        <w:t>.</w:t>
      </w:r>
    </w:p>
    <w:p>
      <w:pPr>
        <w:spacing w:after="0" w:line="208" w:lineRule="exact"/>
        <w:rPr>
          <w:sz w:val="20"/>
          <w:szCs w:val="20"/>
          <w:color w:val="auto"/>
        </w:rPr>
      </w:pPr>
    </w:p>
    <w:p>
      <w:pPr>
        <w:jc w:val="both"/>
        <w:ind w:left="40"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Exchange Act</w:t>
      </w:r>
      <w:r>
        <w:rPr>
          <w:rFonts w:ascii="Arial" w:cs="Arial" w:eastAsia="Arial" w:hAnsi="Arial"/>
          <w:sz w:val="16"/>
          <w:szCs w:val="16"/>
          <w:color w:val="auto"/>
        </w:rPr>
        <w:t>” has the meaning given such term in the definition of “Change in Control,” and any reference in the Plan to any section of (or rule promulgated under) the Exchange Act shall be deemed to include any rules, regulations</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or other interpretative guidance under such section or rule, and any amendments or successor provisions to such section, rules, regulations or guidance.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Exercise Price</w:t>
      </w:r>
      <w:r>
        <w:rPr>
          <w:rFonts w:ascii="Arial" w:cs="Arial" w:eastAsia="Arial" w:hAnsi="Arial"/>
          <w:sz w:val="16"/>
          <w:szCs w:val="16"/>
          <w:color w:val="auto"/>
        </w:rPr>
        <w:t>” has the meaning given such term in Section 7(b) of the Plan.</w:t>
      </w:r>
    </w:p>
    <w:p>
      <w:pPr>
        <w:spacing w:after="0" w:line="208" w:lineRule="exact"/>
        <w:rPr>
          <w:sz w:val="20"/>
          <w:szCs w:val="20"/>
          <w:color w:val="auto"/>
        </w:rPr>
      </w:pPr>
    </w:p>
    <w:p>
      <w:pPr>
        <w:jc w:val="both"/>
        <w:ind w:left="40"/>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Fair Market Value</w:t>
      </w:r>
      <w:r>
        <w:rPr>
          <w:rFonts w:ascii="Arial" w:cs="Arial" w:eastAsia="Arial" w:hAnsi="Arial"/>
          <w:sz w:val="14"/>
          <w:szCs w:val="14"/>
          <w:color w:val="auto"/>
        </w:rPr>
        <w:t>” means, on a given date, (i) if the Common Stock is listed on the NASDAQ Stock Market or another national securities exchange, the closing sales price of the Common Stock reported on such national securities exchange, or, if there is no such sale on that date, then on the last preceding date on which such a sale was reported;</w:t>
      </w:r>
    </w:p>
    <w:p>
      <w:pPr>
        <w:spacing w:after="0" w:line="1" w:lineRule="exact"/>
        <w:rPr>
          <w:sz w:val="20"/>
          <w:szCs w:val="20"/>
          <w:color w:val="auto"/>
        </w:rPr>
      </w:pPr>
    </w:p>
    <w:p>
      <w:pPr>
        <w:jc w:val="both"/>
        <w:ind w:left="40" w:hanging="4"/>
        <w:spacing w:after="0" w:line="272" w:lineRule="auto"/>
        <w:tabs>
          <w:tab w:leader="none" w:pos="283"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Common Stock is not listed on the NASDAQ Stock Market or another national securities exchange, but is quoted on an inter-dealer quotation system on a last sale basis, the closing bid price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 in a manner intended to satisfy the principles of Section 409A of the Code.</w:t>
      </w:r>
    </w:p>
    <w:p>
      <w:pPr>
        <w:spacing w:after="0" w:line="161" w:lineRule="exact"/>
        <w:rPr>
          <w:sz w:val="20"/>
          <w:szCs w:val="20"/>
          <w:color w:val="auto"/>
        </w:rPr>
      </w:pPr>
    </w:p>
    <w:p>
      <w:pPr>
        <w:ind w:left="40"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Good Reason</w:t>
      </w:r>
      <w:r>
        <w:rPr>
          <w:rFonts w:ascii="Arial" w:cs="Arial" w:eastAsia="Arial" w:hAnsi="Arial"/>
          <w:sz w:val="16"/>
          <w:szCs w:val="16"/>
          <w:color w:val="auto"/>
        </w:rPr>
        <w:t>” or “</w:t>
      </w:r>
      <w:r>
        <w:rPr>
          <w:rFonts w:ascii="Arial" w:cs="Arial" w:eastAsia="Arial" w:hAnsi="Arial"/>
          <w:sz w:val="16"/>
          <w:szCs w:val="16"/>
          <w:i w:val="1"/>
          <w:iCs w:val="1"/>
          <w:u w:val="single" w:color="auto"/>
          <w:color w:val="auto"/>
        </w:rPr>
        <w:t>Constructive Termination</w:t>
      </w:r>
      <w:r>
        <w:rPr>
          <w:rFonts w:ascii="Arial" w:cs="Arial" w:eastAsia="Arial" w:hAnsi="Arial"/>
          <w:sz w:val="16"/>
          <w:szCs w:val="16"/>
          <w:color w:val="auto"/>
        </w:rPr>
        <w:t xml:space="preserve">” means the definition of such term as set forth in an Employment Agreement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absence of such definition in such an agreement, the concept shall not apply with respect to a Participant’s Awards.</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Immediate Family Members</w:t>
      </w:r>
      <w:r>
        <w:rPr>
          <w:rFonts w:ascii="Arial" w:cs="Arial" w:eastAsia="Arial" w:hAnsi="Arial"/>
          <w:sz w:val="16"/>
          <w:szCs w:val="16"/>
          <w:color w:val="auto"/>
        </w:rPr>
        <w:t>” shall have the meaning set forth in Section 15(b).</w:t>
      </w:r>
    </w:p>
    <w:p>
      <w:pPr>
        <w:spacing w:after="0" w:line="194" w:lineRule="exact"/>
        <w:rPr>
          <w:sz w:val="20"/>
          <w:szCs w:val="20"/>
          <w:color w:val="auto"/>
        </w:rPr>
      </w:pPr>
    </w:p>
    <w:p>
      <w:pPr>
        <w:ind w:left="40" w:firstLine="2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Incentive Stock Option</w:t>
      </w:r>
      <w:r>
        <w:rPr>
          <w:rFonts w:ascii="Arial" w:cs="Arial" w:eastAsia="Arial" w:hAnsi="Arial"/>
          <w:sz w:val="16"/>
          <w:szCs w:val="16"/>
          <w:color w:val="auto"/>
        </w:rPr>
        <w:t>” means an Option that is designated by the Committee as an incentive stock option as described in Section 422 of the Code and otherwise meets the requirements set forth in the Plan.</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Incumbent Board</w:t>
      </w:r>
      <w:r>
        <w:rPr>
          <w:rFonts w:ascii="Arial" w:cs="Arial" w:eastAsia="Arial" w:hAnsi="Arial"/>
          <w:sz w:val="15"/>
          <w:szCs w:val="15"/>
          <w:color w:val="auto"/>
        </w:rPr>
        <w:t>” has the meaning given such term in the definition of “Change in Control.” “</w:t>
      </w:r>
      <w:r>
        <w:rPr>
          <w:rFonts w:ascii="Arial" w:cs="Arial" w:eastAsia="Arial" w:hAnsi="Arial"/>
          <w:sz w:val="15"/>
          <w:szCs w:val="15"/>
          <w:i w:val="1"/>
          <w:iCs w:val="1"/>
          <w:u w:val="single" w:color="auto"/>
          <w:color w:val="auto"/>
        </w:rPr>
        <w:t>Indemnifiable Person</w:t>
      </w:r>
      <w:r>
        <w:rPr>
          <w:rFonts w:ascii="Arial" w:cs="Arial" w:eastAsia="Arial" w:hAnsi="Arial"/>
          <w:sz w:val="15"/>
          <w:szCs w:val="15"/>
          <w:color w:val="auto"/>
        </w:rPr>
        <w:t>” shall have the meaning set forth in Section 4(e) of the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Plan.</w:t>
      </w:r>
    </w:p>
    <w:p>
      <w:pPr>
        <w:sectPr>
          <w:pgSz w:w="11900" w:h="16838" w:orient="portrait"/>
          <w:cols w:equalWidth="0" w:num="1">
            <w:col w:w="11340"/>
          </w:cols>
          <w:pgMar w:left="320" w:top="157" w:right="239" w:bottom="0" w:gutter="0" w:footer="0" w:header="0"/>
        </w:sectPr>
      </w:pPr>
    </w:p>
    <w:bookmarkStart w:id="62" w:name="page63"/>
    <w:bookmarkEnd w:id="62"/>
    <w:p>
      <w:pPr>
        <w:spacing w:after="0" w:line="4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Mature Shares</w:t>
      </w:r>
      <w:r>
        <w:rPr>
          <w:rFonts w:ascii="Arial" w:cs="Arial" w:eastAsia="Arial" w:hAnsi="Arial"/>
          <w:sz w:val="16"/>
          <w:szCs w:val="16"/>
          <w:color w:val="auto"/>
        </w:rPr>
        <w:t>” means shares of Common Stock owned by a Participant that are not subject to any pledge or security interest and that have been either previously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Nonqualified Stock Option</w:t>
      </w:r>
      <w:r>
        <w:rPr>
          <w:rFonts w:ascii="Arial" w:cs="Arial" w:eastAsia="Arial" w:hAnsi="Arial"/>
          <w:sz w:val="15"/>
          <w:szCs w:val="15"/>
          <w:color w:val="auto"/>
        </w:rPr>
        <w:t>” means an Option that is not designated by the Committee as an Incentive Stock Option. “</w:t>
      </w:r>
      <w:r>
        <w:rPr>
          <w:rFonts w:ascii="Arial" w:cs="Arial" w:eastAsia="Arial" w:hAnsi="Arial"/>
          <w:sz w:val="15"/>
          <w:szCs w:val="15"/>
          <w:i w:val="1"/>
          <w:iCs w:val="1"/>
          <w:u w:val="single" w:color="auto"/>
          <w:color w:val="auto"/>
        </w:rPr>
        <w:t>Option</w:t>
      </w:r>
      <w:r>
        <w:rPr>
          <w:rFonts w:ascii="Arial" w:cs="Arial" w:eastAsia="Arial" w:hAnsi="Arial"/>
          <w:sz w:val="15"/>
          <w:szCs w:val="15"/>
          <w:color w:val="auto"/>
        </w:rPr>
        <w:t>” means an Award granted under Section 7 of</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Plan.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Option Period</w:t>
      </w:r>
      <w:r>
        <w:rPr>
          <w:rFonts w:ascii="Arial" w:cs="Arial" w:eastAsia="Arial" w:hAnsi="Arial"/>
          <w:sz w:val="16"/>
          <w:szCs w:val="16"/>
          <w:color w:val="auto"/>
        </w:rPr>
        <w:t>” has the meaning given such term in Section 7(c) of the Plan.</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Other Stock-Based Award</w:t>
      </w:r>
      <w:r>
        <w:rPr>
          <w:rFonts w:ascii="Arial" w:cs="Arial" w:eastAsia="Arial" w:hAnsi="Arial"/>
          <w:sz w:val="16"/>
          <w:szCs w:val="16"/>
          <w:color w:val="auto"/>
        </w:rPr>
        <w:t>” means an Award that is not an Option, Stock Appreciation Right, Restricted Stock, or Restricted Stock Unit, that is granted under Section 10 of the Plan and is (1) payable by delivery of Common Stock and/or (2) measured by reference to the value of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Outstanding Company Common Stock</w:t>
      </w:r>
      <w:r>
        <w:rPr>
          <w:rFonts w:ascii="Arial" w:cs="Arial" w:eastAsia="Arial" w:hAnsi="Arial"/>
          <w:sz w:val="15"/>
          <w:szCs w:val="15"/>
          <w:color w:val="auto"/>
        </w:rPr>
        <w:t>” has the meaning given such term in the definition of “Change in Control.” “</w:t>
      </w:r>
      <w:r>
        <w:rPr>
          <w:rFonts w:ascii="Arial" w:cs="Arial" w:eastAsia="Arial" w:hAnsi="Arial"/>
          <w:sz w:val="15"/>
          <w:szCs w:val="15"/>
          <w:i w:val="1"/>
          <w:iCs w:val="1"/>
          <w:u w:val="single" w:color="auto"/>
          <w:color w:val="auto"/>
        </w:rPr>
        <w:t>Outstanding Company Voting Securities</w:t>
      </w:r>
      <w:r>
        <w:rPr>
          <w:rFonts w:ascii="Arial" w:cs="Arial" w:eastAsia="Arial" w:hAnsi="Arial"/>
          <w:sz w:val="15"/>
          <w:szCs w:val="15"/>
          <w:color w:val="auto"/>
        </w:rPr>
        <w:t>” has the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meaning given such term in the definition of “Change in Control.”</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Participant</w:t>
      </w:r>
      <w:r>
        <w:rPr>
          <w:rFonts w:ascii="Arial" w:cs="Arial" w:eastAsia="Arial" w:hAnsi="Arial"/>
          <w:sz w:val="15"/>
          <w:szCs w:val="15"/>
          <w:color w:val="auto"/>
        </w:rPr>
        <w:t>” means an Eligible Person who has been selected by the Committee to participate in the Plan and to receive an Award pursuant to Section 6 of the Plan.</w:t>
      </w:r>
    </w:p>
    <w:p>
      <w:pPr>
        <w:spacing w:after="0" w:line="314" w:lineRule="exact"/>
        <w:rPr>
          <w:sz w:val="20"/>
          <w:szCs w:val="20"/>
          <w:color w:val="auto"/>
        </w:rPr>
      </w:pPr>
    </w:p>
    <w:p>
      <w:pPr>
        <w:ind w:right="340"/>
        <w:spacing w:after="0" w:line="41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Permitted Transferee</w:t>
      </w:r>
      <w:r>
        <w:rPr>
          <w:rFonts w:ascii="Arial" w:cs="Arial" w:eastAsia="Arial" w:hAnsi="Arial"/>
          <w:sz w:val="16"/>
          <w:szCs w:val="16"/>
          <w:color w:val="auto"/>
        </w:rPr>
        <w:t>” shall have the meaning set forth in Section 15(b) of the Plan. “</w:t>
      </w:r>
      <w:r>
        <w:rPr>
          <w:rFonts w:ascii="Arial" w:cs="Arial" w:eastAsia="Arial" w:hAnsi="Arial"/>
          <w:sz w:val="16"/>
          <w:szCs w:val="16"/>
          <w:i w:val="1"/>
          <w:iCs w:val="1"/>
          <w:u w:val="single" w:color="auto"/>
          <w:color w:val="auto"/>
        </w:rPr>
        <w:t>Person</w:t>
      </w:r>
      <w:r>
        <w:rPr>
          <w:rFonts w:ascii="Arial" w:cs="Arial" w:eastAsia="Arial" w:hAnsi="Arial"/>
          <w:sz w:val="16"/>
          <w:szCs w:val="16"/>
          <w:color w:val="auto"/>
        </w:rPr>
        <w:t>” has the meaning given such term in the definition of “Change in Control.” “</w:t>
      </w:r>
      <w:r>
        <w:rPr>
          <w:rFonts w:ascii="Arial" w:cs="Arial" w:eastAsia="Arial" w:hAnsi="Arial"/>
          <w:sz w:val="16"/>
          <w:szCs w:val="16"/>
          <w:i w:val="1"/>
          <w:iCs w:val="1"/>
          <w:u w:val="single" w:color="auto"/>
          <w:color w:val="auto"/>
        </w:rPr>
        <w:t>Plan</w:t>
      </w:r>
      <w:r>
        <w:rPr>
          <w:rFonts w:ascii="Arial" w:cs="Arial" w:eastAsia="Arial" w:hAnsi="Arial"/>
          <w:sz w:val="16"/>
          <w:szCs w:val="16"/>
          <w:color w:val="auto"/>
        </w:rPr>
        <w:t>” means this Universal Electronics Inc. 2018 Equity and Incentive Compensation Plan.</w:t>
      </w:r>
    </w:p>
    <w:p>
      <w:pPr>
        <w:spacing w:after="0" w:line="200" w:lineRule="exact"/>
        <w:rPr>
          <w:sz w:val="20"/>
          <w:szCs w:val="20"/>
          <w:color w:val="auto"/>
        </w:rPr>
      </w:pPr>
    </w:p>
    <w:p>
      <w:pPr>
        <w:spacing w:after="0" w:line="29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Plan</w:t>
      </w:r>
      <w:r>
        <w:rPr>
          <w:rFonts w:ascii="Arial" w:cs="Arial" w:eastAsia="Arial" w:hAnsi="Arial"/>
          <w:sz w:val="16"/>
          <w:szCs w:val="16"/>
          <w:color w:val="auto"/>
        </w:rPr>
        <w:t>” means each of the Universal Electronics Inc. 2014 Stock Incentive Plan, the Universal Electronics Inc. 2010 Stock Incentive Plan, the Universal Electronics Inc. 2006 Stock Incentive Plan, the Universal Electronics Inc. 2003 Stock Incentive Plan, and the Universal Electronics Inc. 1999A Nonqualified Stock Plan (collectively, the “</w:t>
      </w:r>
      <w:r>
        <w:rPr>
          <w:rFonts w:ascii="Arial" w:cs="Arial" w:eastAsia="Arial" w:hAnsi="Arial"/>
          <w:sz w:val="16"/>
          <w:szCs w:val="16"/>
          <w:u w:val="single" w:color="auto"/>
          <w:color w:val="auto"/>
        </w:rPr>
        <w:t>Prior Plans</w:t>
      </w:r>
      <w:r>
        <w:rPr>
          <w:rFonts w:ascii="Arial" w:cs="Arial" w:eastAsia="Arial" w:hAnsi="Arial"/>
          <w:sz w:val="16"/>
          <w:szCs w:val="16"/>
          <w:color w:val="auto"/>
        </w:rPr>
        <w:t>”).</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Restricted Period</w:t>
      </w:r>
      <w:r>
        <w:rPr>
          <w:rFonts w:ascii="Arial" w:cs="Arial" w:eastAsia="Arial" w:hAnsi="Arial"/>
          <w:sz w:val="16"/>
          <w:szCs w:val="16"/>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4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Restricted Stock Unit</w:t>
      </w:r>
      <w:r>
        <w:rPr>
          <w:rFonts w:ascii="Arial" w:cs="Arial" w:eastAsia="Arial" w:hAnsi="Arial"/>
          <w:sz w:val="16"/>
          <w:szCs w:val="16"/>
          <w:color w:val="auto"/>
        </w:rPr>
        <w:t>” means an unfunded and unsecured promise to deliver shares of Common Stock, cash, other securities or other property, subject to certain restrictions (including, without limitation, a requirement that the Participant remain continuously employed or provide continuous services for a specified period of time), granted under Section 9 of the Plan.</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Restricted Stock</w:t>
      </w:r>
      <w:r>
        <w:rPr>
          <w:rFonts w:ascii="Arial" w:cs="Arial" w:eastAsia="Arial" w:hAnsi="Arial"/>
          <w:sz w:val="16"/>
          <w:szCs w:val="16"/>
          <w:color w:val="auto"/>
        </w:rPr>
        <w:t>” means Common Stock, subject to certain specified restrictions (including, without limitation, a requirement that the Participant remain continuously employed or provide continuous services for a specified period of time), granted under Section 9 of the Plan.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SAR Period</w:t>
      </w:r>
      <w:r>
        <w:rPr>
          <w:rFonts w:ascii="Arial" w:cs="Arial" w:eastAsia="Arial" w:hAnsi="Arial"/>
          <w:sz w:val="16"/>
          <w:szCs w:val="16"/>
          <w:color w:val="auto"/>
        </w:rPr>
        <w:t>” has the meaning given such term in Section 8(b) of the Plan.</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Securities Act</w:t>
      </w:r>
      <w:r>
        <w:rPr>
          <w:rFonts w:ascii="Arial" w:cs="Arial" w:eastAsia="Arial" w:hAnsi="Arial"/>
          <w:sz w:val="16"/>
          <w:szCs w:val="16"/>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Stock Appreciation Right</w:t>
      </w:r>
      <w:r>
        <w:rPr>
          <w:rFonts w:ascii="Arial" w:cs="Arial" w:eastAsia="Arial" w:hAnsi="Arial"/>
          <w:sz w:val="16"/>
          <w:szCs w:val="16"/>
          <w:color w:val="auto"/>
        </w:rPr>
        <w:t>” or “</w:t>
      </w:r>
      <w:r>
        <w:rPr>
          <w:rFonts w:ascii="Arial" w:cs="Arial" w:eastAsia="Arial" w:hAnsi="Arial"/>
          <w:sz w:val="16"/>
          <w:szCs w:val="16"/>
          <w:i w:val="1"/>
          <w:iCs w:val="1"/>
          <w:u w:val="single" w:color="auto"/>
          <w:color w:val="auto"/>
        </w:rPr>
        <w:t>SAR</w:t>
      </w:r>
      <w:r>
        <w:rPr>
          <w:rFonts w:ascii="Arial" w:cs="Arial" w:eastAsia="Arial" w:hAnsi="Arial"/>
          <w:sz w:val="16"/>
          <w:szCs w:val="16"/>
          <w:color w:val="auto"/>
        </w:rPr>
        <w:t>” means an Award granted under Section 8 of the Plan.</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Strike Price</w:t>
      </w:r>
      <w:r>
        <w:rPr>
          <w:rFonts w:ascii="Arial" w:cs="Arial" w:eastAsia="Arial" w:hAnsi="Arial"/>
          <w:sz w:val="16"/>
          <w:szCs w:val="16"/>
          <w:color w:val="auto"/>
        </w:rPr>
        <w:t>” 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spacing w:after="0" w:line="145"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Subsidiary</w:t>
      </w:r>
      <w:r>
        <w:rPr>
          <w:rFonts w:ascii="Arial" w:cs="Arial" w:eastAsia="Arial" w:hAnsi="Arial"/>
          <w:sz w:val="14"/>
          <w:szCs w:val="14"/>
          <w:color w:val="auto"/>
        </w:rPr>
        <w:t xml:space="preserve">”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fifty percent (50%) of whose ownership interest representing the right generally to make decisions for such other entity is, now or hereafter, owned or controlled, directly or indirectly, by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for purposes of determining whether any person may be a Participant for purposes of any grant of Incentive Stock Options, “Subsidiary” means any corporation in which the Company at the time owns or controls, directly or indirectly, more than fifty percent (50%) of the total combined Voting Power represented by all classes of stock issued by such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Substitute Award</w:t>
      </w:r>
      <w:r>
        <w:rPr>
          <w:rFonts w:ascii="Arial" w:cs="Arial" w:eastAsia="Arial" w:hAnsi="Arial"/>
          <w:sz w:val="16"/>
          <w:szCs w:val="16"/>
          <w:color w:val="auto"/>
        </w:rPr>
        <w:t>” has the meaning given such term in Section 5(f).</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Sub-Plans</w:t>
      </w:r>
      <w:r>
        <w:rPr>
          <w:rFonts w:ascii="Arial" w:cs="Arial" w:eastAsia="Arial" w:hAnsi="Arial"/>
          <w:sz w:val="16"/>
          <w:szCs w:val="16"/>
          <w:color w:val="auto"/>
        </w:rPr>
        <w:t>” means any sub-plan to this Plan that has been adopted by the Board or the Committee for the purpose of permitting the offering of Awards to employees of any member of the Company Group that are located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limits specified in Section 5 shall apply in the aggregate to the Plan and any Sub-Plan adopted hereunder.</w:t>
      </w:r>
    </w:p>
    <w:p>
      <w:pPr>
        <w:spacing w:after="0" w:line="162" w:lineRule="exact"/>
        <w:rPr>
          <w:sz w:val="20"/>
          <w:szCs w:val="20"/>
          <w:color w:val="auto"/>
        </w:rPr>
      </w:pPr>
    </w:p>
    <w:p>
      <w:pPr>
        <w:jc w:val="both"/>
        <w:spacing w:after="0" w:line="36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Trade Secrets</w:t>
      </w:r>
      <w:r>
        <w:rPr>
          <w:rFonts w:ascii="Arial" w:cs="Arial" w:eastAsia="Arial" w:hAnsi="Arial"/>
          <w:sz w:val="14"/>
          <w:szCs w:val="14"/>
          <w:color w:val="auto"/>
        </w:rPr>
        <w:t>” means without limitation, (1)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w:t>
      </w:r>
    </w:p>
    <w:p>
      <w:pPr>
        <w:spacing w:after="0" w:line="3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information, whether or not patentable or copyrightable;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this definition of Trade Secrets shall have the broadest meaning as permitted by law and shall extend beyond the definition of “trade secrets” as set forth in the Delaware Uniform Trade Secrets Act.</w:t>
      </w:r>
    </w:p>
    <w:p>
      <w:pPr>
        <w:spacing w:after="0" w:line="182" w:lineRule="exact"/>
        <w:rPr>
          <w:sz w:val="20"/>
          <w:szCs w:val="20"/>
          <w:color w:val="auto"/>
        </w:rPr>
      </w:pPr>
    </w:p>
    <w:p>
      <w:pPr>
        <w:ind w:left="1000" w:hanging="356"/>
        <w:spacing w:after="0"/>
        <w:tabs>
          <w:tab w:leader="none" w:pos="1000" w:val="left"/>
        </w:tabs>
        <w:numPr>
          <w:ilvl w:val="0"/>
          <w:numId w:val="80"/>
        </w:numPr>
        <w:rPr>
          <w:rFonts w:ascii="Arial" w:cs="Arial" w:eastAsia="Arial" w:hAnsi="Arial"/>
          <w:sz w:val="15"/>
          <w:szCs w:val="15"/>
          <w:color w:val="auto"/>
        </w:rPr>
      </w:pPr>
      <w:r>
        <w:rPr>
          <w:rFonts w:ascii="Arial" w:cs="Arial" w:eastAsia="Arial" w:hAnsi="Arial"/>
          <w:sz w:val="15"/>
          <w:szCs w:val="15"/>
          <w:b w:val="1"/>
          <w:bCs w:val="1"/>
          <w:i w:val="1"/>
          <w:iCs w:val="1"/>
          <w:color w:val="auto"/>
        </w:rPr>
        <w:t>Effective Date; Duration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Plan shall be effective as of the Effective Date. No grants shall be made on or after the Effective Date under any of the Prior</w:t>
      </w:r>
    </w:p>
    <w:p>
      <w:pPr>
        <w:spacing w:after="0" w:line="101" w:lineRule="exact"/>
        <w:rPr>
          <w:rFonts w:ascii="Arial" w:cs="Arial" w:eastAsia="Arial" w:hAnsi="Arial"/>
          <w:sz w:val="15"/>
          <w:szCs w:val="15"/>
          <w:color w:val="auto"/>
        </w:rPr>
      </w:pPr>
    </w:p>
    <w:p>
      <w:pPr>
        <w:jc w:val="both"/>
        <w:spacing w:after="0" w:line="402" w:lineRule="auto"/>
        <w:rPr>
          <w:rFonts w:ascii="Arial" w:cs="Arial" w:eastAsia="Arial" w:hAnsi="Arial"/>
          <w:sz w:val="15"/>
          <w:szCs w:val="15"/>
          <w:color w:val="auto"/>
        </w:rPr>
      </w:pPr>
      <w:r>
        <w:rPr>
          <w:rFonts w:ascii="Arial" w:cs="Arial" w:eastAsia="Arial" w:hAnsi="Arial"/>
          <w:sz w:val="14"/>
          <w:szCs w:val="14"/>
          <w:color w:val="auto"/>
        </w:rPr>
        <w:t xml:space="preserve">Plans;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outstanding awards granted under any Prior Plan will remain subject to the terms and conditions of the applicable Prior Plan. Unless earlier terminated as provided herein, the expiration date of the Plan, on and after which date no Awards may be granted hereunder, shall be the tenth (10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anniversary of the Effective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expiration shall not affect Awards then outstanding, and the terms and conditions of the Plan shall continue to apply to such Awards.</w:t>
      </w:r>
    </w:p>
    <w:p>
      <w:pPr>
        <w:spacing w:after="0" w:line="109" w:lineRule="exact"/>
        <w:rPr>
          <w:rFonts w:ascii="Arial" w:cs="Arial" w:eastAsia="Arial" w:hAnsi="Arial"/>
          <w:sz w:val="15"/>
          <w:szCs w:val="15"/>
          <w:color w:val="auto"/>
        </w:rPr>
      </w:pPr>
    </w:p>
    <w:p>
      <w:pPr>
        <w:jc w:val="both"/>
        <w:ind w:firstLine="644"/>
        <w:spacing w:after="0" w:line="427" w:lineRule="auto"/>
        <w:tabs>
          <w:tab w:leader="none" w:pos="1013" w:val="left"/>
        </w:tabs>
        <w:numPr>
          <w:ilvl w:val="0"/>
          <w:numId w:val="80"/>
        </w:numPr>
        <w:rPr>
          <w:rFonts w:ascii="Arial" w:cs="Arial" w:eastAsia="Arial" w:hAnsi="Arial"/>
          <w:sz w:val="14"/>
          <w:szCs w:val="14"/>
          <w:color w:val="auto"/>
        </w:rPr>
      </w:pPr>
      <w:r>
        <w:rPr>
          <w:rFonts w:ascii="Arial" w:cs="Arial" w:eastAsia="Arial" w:hAnsi="Arial"/>
          <w:sz w:val="14"/>
          <w:szCs w:val="14"/>
          <w:b w:val="1"/>
          <w:bCs w:val="1"/>
          <w:i w:val="1"/>
          <w:iCs w:val="1"/>
          <w:color w:val="auto"/>
        </w:rPr>
        <w:t>Administration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The Committee shall administer the Plan. To the extent required to comply with the provisions of Rule 16b-3 promulgated under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Exchange Act (if the Board is not acting as the Committee under the Plan) it is intended that each member of the Committee shall, at the time he or she takes any action with respect to an Award under the Plan, be an Eligible Director. However, the fact that a Committee member shall fail to qualify as an Eligible Director shall not invalidate any Award granted by the Committee that is otherwise validly granted under the Plan. The majority of the members of the Committee shall constitute a quorum. The acts of a</w:t>
      </w:r>
    </w:p>
    <w:p>
      <w:pPr>
        <w:sectPr>
          <w:pgSz w:w="11900" w:h="16881" w:orient="portrait"/>
          <w:cols w:equalWidth="0" w:num="1">
            <w:col w:w="11300"/>
          </w:cols>
          <w:pgMar w:left="360" w:top="130" w:right="239" w:bottom="0" w:gutter="0" w:footer="0" w:header="0"/>
        </w:sectPr>
      </w:pPr>
    </w:p>
    <w:bookmarkStart w:id="63" w:name="page64"/>
    <w:bookmarkEnd w:id="63"/>
    <w:p>
      <w:pPr>
        <w:ind w:left="4"/>
        <w:spacing w:after="0" w:line="381" w:lineRule="auto"/>
        <w:rPr>
          <w:sz w:val="20"/>
          <w:szCs w:val="20"/>
          <w:color w:val="auto"/>
        </w:rPr>
      </w:pPr>
      <w:r>
        <w:rPr>
          <w:rFonts w:ascii="Arial" w:cs="Arial" w:eastAsia="Arial" w:hAnsi="Arial"/>
          <w:sz w:val="16"/>
          <w:szCs w:val="16"/>
          <w:color w:val="auto"/>
        </w:rPr>
        <w:t>majority of the members present at any meeting at which a quorum is present or acts approved in writing by the Committee in compliance with Delaware law shall be deemed the acts of the Committee.</w:t>
      </w:r>
    </w:p>
    <w:p>
      <w:pPr>
        <w:spacing w:after="0" w:line="145" w:lineRule="exact"/>
        <w:rPr>
          <w:sz w:val="20"/>
          <w:szCs w:val="20"/>
          <w:color w:val="auto"/>
        </w:rPr>
      </w:pPr>
    </w:p>
    <w:p>
      <w:pPr>
        <w:jc w:val="both"/>
        <w:ind w:left="4" w:hanging="4"/>
        <w:spacing w:after="0" w:line="372" w:lineRule="auto"/>
        <w:tabs>
          <w:tab w:leader="none" w:pos="477" w:val="left"/>
        </w:tabs>
        <w:numPr>
          <w:ilvl w:val="0"/>
          <w:numId w:val="81"/>
        </w:numPr>
        <w:rPr>
          <w:rFonts w:ascii="Arial" w:cs="Arial" w:eastAsia="Arial" w:hAnsi="Arial"/>
          <w:sz w:val="15"/>
          <w:szCs w:val="15"/>
          <w:color w:val="auto"/>
        </w:rPr>
      </w:pPr>
      <w:r>
        <w:rPr>
          <w:rFonts w:ascii="Arial" w:cs="Arial" w:eastAsia="Arial" w:hAnsi="Arial"/>
          <w:sz w:val="15"/>
          <w:szCs w:val="15"/>
          <w:color w:val="auto"/>
        </w:rPr>
        <w:t>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including any applicable performance criteria relating to the Award; (v) determine whether, to what extent, and under what circumstances Awards may be settled or exercised in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w:t>
      </w:r>
    </w:p>
    <w:p>
      <w:pPr>
        <w:spacing w:after="0" w:line="1" w:lineRule="exact"/>
        <w:rPr>
          <w:sz w:val="20"/>
          <w:szCs w:val="20"/>
          <w:color w:val="auto"/>
        </w:rPr>
      </w:pPr>
    </w:p>
    <w:p>
      <w:pPr>
        <w:ind w:left="4" w:hanging="4"/>
        <w:spacing w:after="0" w:line="293" w:lineRule="auto"/>
        <w:tabs>
          <w:tab w:leader="none" w:pos="281" w:val="left"/>
        </w:tabs>
        <w:numPr>
          <w:ilvl w:val="0"/>
          <w:numId w:val="82"/>
        </w:numPr>
        <w:rPr>
          <w:rFonts w:ascii="Arial" w:cs="Arial" w:eastAsia="Arial" w:hAnsi="Arial"/>
          <w:sz w:val="16"/>
          <w:szCs w:val="16"/>
          <w:color w:val="auto"/>
        </w:rPr>
      </w:pPr>
      <w:r>
        <w:rPr>
          <w:rFonts w:ascii="Arial" w:cs="Arial" w:eastAsia="Arial" w:hAnsi="Arial"/>
          <w:sz w:val="16"/>
          <w:szCs w:val="16"/>
          <w:color w:val="auto"/>
        </w:rPr>
        <w:t>accelerate the vesting or exercisability of, payment for or lapse of restrictions on, Awards; (x) adopt Sub-Plans; and (xi) make any other determination and take any other action that the Committee deems necessary or desirable for the administration of the Plan.</w:t>
      </w:r>
    </w:p>
    <w:p>
      <w:pPr>
        <w:spacing w:after="0" w:line="186" w:lineRule="exact"/>
        <w:rPr>
          <w:sz w:val="20"/>
          <w:szCs w:val="20"/>
          <w:color w:val="auto"/>
        </w:rPr>
      </w:pPr>
    </w:p>
    <w:p>
      <w:pPr>
        <w:jc w:val="both"/>
        <w:ind w:left="4" w:hanging="4"/>
        <w:spacing w:after="0" w:line="391" w:lineRule="auto"/>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Committee may from time to time delegate all or any part of its authority under this Plan to a subcommittee thereof. To the extent of any such delegation, references in this Plan to the Committee will be deemed to be references to such subcommittee. The Committee may also delegate to one or more officers of any member of the Company Group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spacing w:after="0" w:line="145" w:lineRule="exact"/>
        <w:rPr>
          <w:rFonts w:ascii="Arial" w:cs="Arial" w:eastAsia="Arial" w:hAnsi="Arial"/>
          <w:sz w:val="15"/>
          <w:szCs w:val="15"/>
          <w:color w:val="auto"/>
        </w:rPr>
      </w:pPr>
    </w:p>
    <w:p>
      <w:pPr>
        <w:jc w:val="both"/>
        <w:ind w:left="4" w:hanging="4"/>
        <w:spacing w:after="0" w:line="362" w:lineRule="auto"/>
        <w:tabs>
          <w:tab w:leader="none" w:pos="477"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Subsidiary, any Participant, any holder or beneficiary of any Award, and any stockholder of the Company.</w:t>
      </w:r>
    </w:p>
    <w:p>
      <w:pPr>
        <w:spacing w:after="0" w:line="155" w:lineRule="exact"/>
        <w:rPr>
          <w:rFonts w:ascii="Arial" w:cs="Arial" w:eastAsia="Arial" w:hAnsi="Arial"/>
          <w:sz w:val="16"/>
          <w:szCs w:val="16"/>
          <w:color w:val="auto"/>
        </w:rPr>
      </w:pPr>
    </w:p>
    <w:p>
      <w:pPr>
        <w:jc w:val="both"/>
        <w:ind w:left="4" w:hanging="4"/>
        <w:spacing w:after="0" w:line="369" w:lineRule="auto"/>
        <w:tabs>
          <w:tab w:leader="none" w:pos="467"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member of the Board, the Committee, delegate of the Committee or any employee or agent of the Company (each such person, an “</w:t>
      </w:r>
      <w:r>
        <w:rPr>
          <w:rFonts w:ascii="Arial" w:cs="Arial" w:eastAsia="Arial" w:hAnsi="Arial"/>
          <w:sz w:val="16"/>
          <w:szCs w:val="16"/>
          <w:b w:val="1"/>
          <w:bCs w:val="1"/>
          <w:color w:val="auto"/>
        </w:rPr>
        <w:t>Indemnifiable Person</w:t>
      </w:r>
      <w:r>
        <w:rPr>
          <w:rFonts w:ascii="Arial" w:cs="Arial" w:eastAsia="Arial" w:hAnsi="Arial"/>
          <w:sz w:val="16"/>
          <w:szCs w:val="16"/>
          <w:color w:val="auto"/>
        </w:rPr>
        <w:t>”) shall be liable for any action taken or omitted to be taken or any determination made in good faith with respect to the Plan or any Award hereunder. Each Indemnifiable Person shall</w:t>
      </w:r>
    </w:p>
    <w:p>
      <w:pPr>
        <w:spacing w:after="0" w:line="398" w:lineRule="exact"/>
        <w:rPr>
          <w:sz w:val="20"/>
          <w:szCs w:val="20"/>
          <w:color w:val="auto"/>
        </w:rPr>
      </w:pPr>
    </w:p>
    <w:p>
      <w:pPr>
        <w:jc w:val="both"/>
        <w:ind w:left="4"/>
        <w:spacing w:after="0" w:line="286" w:lineRule="auto"/>
        <w:rPr>
          <w:sz w:val="20"/>
          <w:szCs w:val="20"/>
          <w:color w:val="auto"/>
        </w:rPr>
      </w:pPr>
      <w:r>
        <w:rPr>
          <w:rFonts w:ascii="Arial" w:cs="Arial" w:eastAsia="Arial" w:hAnsi="Arial"/>
          <w:sz w:val="15"/>
          <w:szCs w:val="15"/>
          <w:color w:val="auto"/>
        </w:rPr>
        <w:t xml:space="preserve">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Certificate of Incorporation or Bylaws. The foregoing right of indemnification shall not be exclusive of any other rights of indemnification to which such Indemnifiable Persons may be entitled under the Company’s Certificate of Incorporation or Bylaws, as a matter of law, or otherwise, or any other power that the Company may have to indemnify such Indemnifiable Persons or hold them harmless.</w:t>
      </w:r>
    </w:p>
    <w:p>
      <w:pPr>
        <w:spacing w:after="0" w:line="194" w:lineRule="exact"/>
        <w:rPr>
          <w:sz w:val="20"/>
          <w:szCs w:val="20"/>
          <w:color w:val="auto"/>
        </w:rPr>
      </w:pPr>
    </w:p>
    <w:p>
      <w:pPr>
        <w:ind w:left="4" w:hanging="4"/>
        <w:spacing w:after="0" w:line="381" w:lineRule="auto"/>
        <w:tabs>
          <w:tab w:leader="none" w:pos="45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spacing w:after="0" w:line="141" w:lineRule="exact"/>
        <w:rPr>
          <w:rFonts w:ascii="Arial" w:cs="Arial" w:eastAsia="Arial" w:hAnsi="Arial"/>
          <w:sz w:val="16"/>
          <w:szCs w:val="16"/>
          <w:color w:val="auto"/>
        </w:rPr>
      </w:pPr>
    </w:p>
    <w:p>
      <w:pPr>
        <w:ind w:left="4" w:firstLine="644"/>
        <w:spacing w:after="0" w:line="386" w:lineRule="auto"/>
        <w:tabs>
          <w:tab w:leader="none" w:pos="1017" w:val="left"/>
        </w:tabs>
        <w:numPr>
          <w:ilvl w:val="1"/>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Grant of Awards; Shares Subject to the Plan; Limitations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The Committee may, from time to time, grant Options, Stock Appreciation Rights,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Restricted Stock Units, Other Stock-Based Awards and Cash-Based to one or more Eligible Persons.</w:t>
      </w:r>
    </w:p>
    <w:p>
      <w:pPr>
        <w:spacing w:after="0" w:line="141" w:lineRule="exact"/>
        <w:rPr>
          <w:sz w:val="20"/>
          <w:szCs w:val="20"/>
          <w:color w:val="auto"/>
        </w:rPr>
      </w:pPr>
    </w:p>
    <w:p>
      <w:pPr>
        <w:jc w:val="both"/>
        <w:ind w:left="4" w:hanging="4"/>
        <w:spacing w:after="0" w:line="362" w:lineRule="auto"/>
        <w:tabs>
          <w:tab w:leader="none" w:pos="517" w:val="left"/>
        </w:tabs>
        <w:numPr>
          <w:ilvl w:val="0"/>
          <w:numId w:val="85"/>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Shares Available</w:t>
      </w:r>
      <w:r>
        <w:rPr>
          <w:rFonts w:ascii="Arial" w:cs="Arial" w:eastAsia="Arial" w:hAnsi="Arial"/>
          <w:sz w:val="16"/>
          <w:szCs w:val="16"/>
          <w:color w:val="auto"/>
        </w:rPr>
        <w:t>. Subject to adjustment in accordance with Section 11 of the Plan, the total number of shares of Common Stock reserved and available for issuance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Awards under the Plan shall be one million (1,000,000) (all of which may be issued as Incentive Stock Options) plus the number of shares of Common Stock underlying any award granted under any of the Prior Plans that expires, terminates or is canceled or forfeited for any reason whatsoever or settled in cash (in whole or in part) or is unearned (in whole or in part) under the terms of the applicable Prior Plan.</w:t>
      </w:r>
    </w:p>
    <w:p>
      <w:pPr>
        <w:spacing w:after="0" w:line="159" w:lineRule="exact"/>
        <w:rPr>
          <w:rFonts w:ascii="Arial" w:cs="Arial" w:eastAsia="Arial" w:hAnsi="Arial"/>
          <w:sz w:val="16"/>
          <w:szCs w:val="16"/>
          <w:color w:val="auto"/>
        </w:rPr>
      </w:pPr>
    </w:p>
    <w:p>
      <w:pPr>
        <w:jc w:val="both"/>
        <w:ind w:left="4" w:hanging="4"/>
        <w:spacing w:after="0" w:line="402" w:lineRule="auto"/>
        <w:tabs>
          <w:tab w:leader="none" w:pos="508" w:val="left"/>
        </w:tabs>
        <w:numPr>
          <w:ilvl w:val="0"/>
          <w:numId w:val="85"/>
        </w:numPr>
        <w:rPr>
          <w:rFonts w:ascii="Arial" w:cs="Arial" w:eastAsia="Arial" w:hAnsi="Arial"/>
          <w:sz w:val="14"/>
          <w:szCs w:val="14"/>
          <w:color w:val="auto"/>
        </w:rPr>
      </w:pPr>
      <w:r>
        <w:rPr>
          <w:rFonts w:ascii="Arial" w:cs="Arial" w:eastAsia="Arial" w:hAnsi="Arial"/>
          <w:sz w:val="14"/>
          <w:szCs w:val="14"/>
          <w:i w:val="1"/>
          <w:iCs w:val="1"/>
          <w:u w:val="single" w:color="auto"/>
          <w:color w:val="auto"/>
        </w:rPr>
        <w:t>Director Awards</w:t>
      </w:r>
      <w:r>
        <w:rPr>
          <w:rFonts w:ascii="Arial" w:cs="Arial" w:eastAsia="Arial" w:hAnsi="Arial"/>
          <w:sz w:val="14"/>
          <w:szCs w:val="14"/>
          <w:color w:val="auto"/>
        </w:rPr>
        <w:t>. Each year prior to the expiration or termination of the Plan and commencing on the first day of July following the Effective Date, each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who is an Eligible Director shall be granted an Award covering the lesser of (i) 5,000 shares of Common Stock (which number of shares may be reduced when determined by the Board to be necessary and appropriate) and (ii) shares of Common Stock with an aggregate maximum value at the Date of Grant (calculating the value of any such awards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based on the grant date fair value for financial reporting purposes) of</w:t>
      </w:r>
    </w:p>
    <w:p>
      <w:pPr>
        <w:spacing w:after="0" w:line="46" w:lineRule="exact"/>
        <w:rPr>
          <w:sz w:val="20"/>
          <w:szCs w:val="20"/>
          <w:color w:val="auto"/>
        </w:rPr>
      </w:pPr>
    </w:p>
    <w:p>
      <w:pPr>
        <w:jc w:val="both"/>
        <w:ind w:left="4"/>
        <w:spacing w:after="0" w:line="278" w:lineRule="auto"/>
        <w:rPr>
          <w:sz w:val="20"/>
          <w:szCs w:val="20"/>
          <w:color w:val="auto"/>
        </w:rPr>
      </w:pPr>
      <w:r>
        <w:rPr>
          <w:rFonts w:ascii="Arial" w:cs="Arial" w:eastAsia="Arial" w:hAnsi="Arial"/>
          <w:sz w:val="16"/>
          <w:szCs w:val="16"/>
          <w:color w:val="auto"/>
        </w:rPr>
        <w:t>$500,000 (the “Annual Award”). In addition to the Annual Award, as an inducement to commence service with the Company as a Eligible Director or, from time to time, to reward extraordinary service rendered by an existing Eligible Director, a Participant who is or becomes an Eligible Director may be granted an Award of Options covering up to 20,000 shares of Common Stock.</w:t>
      </w:r>
    </w:p>
    <w:p>
      <w:pPr>
        <w:spacing w:after="0" w:line="198" w:lineRule="exact"/>
        <w:rPr>
          <w:sz w:val="20"/>
          <w:szCs w:val="20"/>
          <w:color w:val="auto"/>
        </w:rPr>
      </w:pPr>
    </w:p>
    <w:p>
      <w:pPr>
        <w:jc w:val="both"/>
        <w:ind w:left="4" w:hanging="4"/>
        <w:spacing w:after="0" w:line="425" w:lineRule="auto"/>
        <w:tabs>
          <w:tab w:leader="none" w:pos="517" w:val="left"/>
        </w:tabs>
        <w:numPr>
          <w:ilvl w:val="0"/>
          <w:numId w:val="86"/>
        </w:numPr>
        <w:rPr>
          <w:rFonts w:ascii="Arial" w:cs="Arial" w:eastAsia="Arial" w:hAnsi="Arial"/>
          <w:sz w:val="14"/>
          <w:szCs w:val="14"/>
          <w:color w:val="auto"/>
        </w:rPr>
      </w:pPr>
      <w:r>
        <w:rPr>
          <w:rFonts w:ascii="Arial" w:cs="Arial" w:eastAsia="Arial" w:hAnsi="Arial"/>
          <w:sz w:val="14"/>
          <w:szCs w:val="14"/>
          <w:i w:val="1"/>
          <w:iCs w:val="1"/>
          <w:u w:val="single" w:color="auto"/>
          <w:color w:val="auto"/>
        </w:rPr>
        <w:t>Share Counting</w:t>
      </w:r>
      <w:r>
        <w:rPr>
          <w:rFonts w:ascii="Arial" w:cs="Arial" w:eastAsia="Arial" w:hAnsi="Arial"/>
          <w:sz w:val="14"/>
          <w:szCs w:val="14"/>
          <w:color w:val="auto"/>
        </w:rPr>
        <w:t>. Use of shares of Common Stock to pay the required Exercise Price or tax obligations, or shares not issued in connection with settlement of an Option</w:t>
      </w:r>
      <w:r>
        <w:rPr>
          <w:rFonts w:ascii="Arial" w:cs="Arial" w:eastAsia="Arial" w:hAnsi="Arial"/>
          <w:sz w:val="14"/>
          <w:szCs w:val="14"/>
          <w:i w:val="1"/>
          <w:iCs w:val="1"/>
          <w:color w:val="auto"/>
        </w:rPr>
        <w:t xml:space="preserve"> </w:t>
      </w:r>
      <w:r>
        <w:rPr>
          <w:rFonts w:ascii="Arial" w:cs="Arial" w:eastAsia="Arial" w:hAnsi="Arial"/>
          <w:sz w:val="14"/>
          <w:szCs w:val="14"/>
          <w:color w:val="auto"/>
        </w:rPr>
        <w:t>or SAR, reacquired by the Company on the open market or otherwise using cash proceeds from the exercise of an Option, or that are used or withheld to satisfy tax obligations of the Participant shall, notwithstanding anything herein to the contrary, not be available again for other Awards under the Plan. In addition, if a Participant elects to give up the right to receive compensation in exchange for shares of Common Stock based on Fair Market Value, such shares of Common Stock will not be available again</w:t>
      </w:r>
    </w:p>
    <w:p>
      <w:pPr>
        <w:sectPr>
          <w:pgSz w:w="11900" w:h="16838" w:orient="portrait"/>
          <w:cols w:equalWidth="0" w:num="1">
            <w:col w:w="11304"/>
          </w:cols>
          <w:pgMar w:left="356" w:top="170" w:right="239" w:bottom="0" w:gutter="0" w:footer="0" w:header="0"/>
        </w:sectPr>
      </w:pPr>
    </w:p>
    <w:bookmarkStart w:id="64" w:name="page65"/>
    <w:bookmarkEnd w:id="64"/>
    <w:p>
      <w:pPr>
        <w:spacing w:after="0" w:line="32" w:lineRule="exact"/>
        <w:rPr>
          <w:sz w:val="20"/>
          <w:szCs w:val="20"/>
          <w:color w:val="auto"/>
        </w:rPr>
      </w:pPr>
    </w:p>
    <w:p>
      <w:pPr>
        <w:ind w:left="4"/>
        <w:spacing w:after="0" w:line="381" w:lineRule="auto"/>
        <w:rPr>
          <w:sz w:val="20"/>
          <w:szCs w:val="20"/>
          <w:color w:val="auto"/>
        </w:rPr>
      </w:pPr>
      <w:r>
        <w:rPr>
          <w:rFonts w:ascii="Arial" w:cs="Arial" w:eastAsia="Arial" w:hAnsi="Arial"/>
          <w:sz w:val="16"/>
          <w:szCs w:val="16"/>
          <w:color w:val="auto"/>
        </w:rPr>
        <w:t>for Awards under the Plan. Shares underlying Awards under this Plan that are forfeited, cancelled, expire unexercised, or are settled in cash (in whole or in part) or is unearned (in whole or in part) are available again for Awards under the Plan.</w:t>
      </w:r>
    </w:p>
    <w:p>
      <w:pPr>
        <w:spacing w:after="0" w:line="200" w:lineRule="exact"/>
        <w:rPr>
          <w:sz w:val="20"/>
          <w:szCs w:val="20"/>
          <w:color w:val="auto"/>
        </w:rPr>
      </w:pPr>
    </w:p>
    <w:p>
      <w:pPr>
        <w:spacing w:after="0" w:line="229" w:lineRule="exact"/>
        <w:rPr>
          <w:sz w:val="20"/>
          <w:szCs w:val="20"/>
          <w:color w:val="auto"/>
        </w:rPr>
      </w:pPr>
    </w:p>
    <w:p>
      <w:pPr>
        <w:ind w:left="4" w:hanging="4"/>
        <w:spacing w:after="0" w:line="381" w:lineRule="auto"/>
        <w:tabs>
          <w:tab w:leader="none" w:pos="508" w:val="left"/>
        </w:tabs>
        <w:numPr>
          <w:ilvl w:val="0"/>
          <w:numId w:val="87"/>
        </w:numPr>
        <w:rPr>
          <w:rFonts w:ascii="Arial" w:cs="Arial" w:eastAsia="Arial" w:hAnsi="Arial"/>
          <w:sz w:val="16"/>
          <w:szCs w:val="16"/>
          <w:color w:val="auto"/>
        </w:rPr>
      </w:pPr>
      <w:r>
        <w:rPr>
          <w:rFonts w:ascii="Arial" w:cs="Arial" w:eastAsia="Arial" w:hAnsi="Arial"/>
          <w:sz w:val="16"/>
          <w:szCs w:val="16"/>
          <w:i w:val="1"/>
          <w:iCs w:val="1"/>
          <w:u w:val="single" w:color="auto"/>
          <w:color w:val="auto"/>
        </w:rPr>
        <w:t>Source of Shares</w:t>
      </w:r>
      <w:r>
        <w:rPr>
          <w:rFonts w:ascii="Arial" w:cs="Arial" w:eastAsia="Arial" w:hAnsi="Arial"/>
          <w:sz w:val="16"/>
          <w:szCs w:val="16"/>
          <w:color w:val="auto"/>
        </w:rPr>
        <w:t>. Shares of Common Stock delivered by the Company in settlement of Awards may be authorized and unissued shares, shares held in the treasury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shares purchased on the open market or by private purchase, or a combination of the foregoing.</w:t>
      </w:r>
    </w:p>
    <w:p>
      <w:pPr>
        <w:spacing w:after="0" w:line="145" w:lineRule="exact"/>
        <w:rPr>
          <w:rFonts w:ascii="Arial" w:cs="Arial" w:eastAsia="Arial" w:hAnsi="Arial"/>
          <w:sz w:val="16"/>
          <w:szCs w:val="16"/>
          <w:color w:val="auto"/>
        </w:rPr>
      </w:pPr>
    </w:p>
    <w:p>
      <w:pPr>
        <w:jc w:val="both"/>
        <w:ind w:left="4" w:hanging="4"/>
        <w:spacing w:after="0" w:line="399" w:lineRule="auto"/>
        <w:tabs>
          <w:tab w:leader="none" w:pos="490" w:val="left"/>
        </w:tabs>
        <w:numPr>
          <w:ilvl w:val="0"/>
          <w:numId w:val="87"/>
        </w:numPr>
        <w:rPr>
          <w:rFonts w:ascii="Arial" w:cs="Arial" w:eastAsia="Arial" w:hAnsi="Arial"/>
          <w:sz w:val="15"/>
          <w:szCs w:val="15"/>
          <w:color w:val="auto"/>
        </w:rPr>
      </w:pPr>
      <w:r>
        <w:rPr>
          <w:rFonts w:ascii="Arial" w:cs="Arial" w:eastAsia="Arial" w:hAnsi="Arial"/>
          <w:sz w:val="15"/>
          <w:szCs w:val="15"/>
          <w:i w:val="1"/>
          <w:iCs w:val="1"/>
          <w:u w:val="single" w:color="auto"/>
          <w:color w:val="auto"/>
        </w:rPr>
        <w:t>Substitute Awards</w:t>
      </w:r>
      <w:r>
        <w:rPr>
          <w:rFonts w:ascii="Arial" w:cs="Arial" w:eastAsia="Arial" w:hAnsi="Arial"/>
          <w:sz w:val="15"/>
          <w:szCs w:val="15"/>
          <w:color w:val="auto"/>
        </w:rPr>
        <w:t>. Awards may, in the sole discretion of the Committee, be granted under the Plan in assumption of, or in substitution for, outstanding awards</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granted by an entity acquired by the Company or with which the Company combines (“</w:t>
      </w:r>
      <w:r>
        <w:rPr>
          <w:rFonts w:ascii="Arial" w:cs="Arial" w:eastAsia="Arial" w:hAnsi="Arial"/>
          <w:sz w:val="15"/>
          <w:szCs w:val="15"/>
          <w:b w:val="1"/>
          <w:bCs w:val="1"/>
          <w:color w:val="auto"/>
        </w:rPr>
        <w:t>Substitute Awards</w:t>
      </w:r>
      <w:r>
        <w:rPr>
          <w:rFonts w:ascii="Arial" w:cs="Arial" w:eastAsia="Arial" w:hAnsi="Arial"/>
          <w:sz w:val="15"/>
          <w:szCs w:val="15"/>
          <w:color w:val="auto"/>
        </w:rPr>
        <w:t>”). The number of shares of Common Stock underlying any Substitute Awards shall be counted against the aggregate number of shares of Common Stock available for Awards under the Plan.</w:t>
      </w:r>
    </w:p>
    <w:p>
      <w:pPr>
        <w:spacing w:after="0" w:line="135" w:lineRule="exact"/>
        <w:rPr>
          <w:rFonts w:ascii="Arial" w:cs="Arial" w:eastAsia="Arial" w:hAnsi="Arial"/>
          <w:sz w:val="15"/>
          <w:szCs w:val="15"/>
          <w:color w:val="auto"/>
        </w:rPr>
      </w:pPr>
    </w:p>
    <w:p>
      <w:pPr>
        <w:ind w:left="4" w:firstLine="644"/>
        <w:spacing w:after="0" w:line="386" w:lineRule="auto"/>
        <w:tabs>
          <w:tab w:leader="none" w:pos="1017" w:val="left"/>
        </w:tabs>
        <w:numPr>
          <w:ilvl w:val="1"/>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Participation shall be limited to Eligible Persons who have entered into an Award Agreement or who have received written notification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or from a person designated by the Committee, that they have been selected to participate in the Plan.</w:t>
      </w:r>
    </w:p>
    <w:p>
      <w:pPr>
        <w:spacing w:after="0" w:line="137" w:lineRule="exact"/>
        <w:rPr>
          <w:rFonts w:ascii="Arial" w:cs="Arial" w:eastAsia="Arial" w:hAnsi="Arial"/>
          <w:sz w:val="16"/>
          <w:szCs w:val="16"/>
          <w:color w:val="auto"/>
        </w:rPr>
      </w:pPr>
    </w:p>
    <w:p>
      <w:pPr>
        <w:jc w:val="both"/>
        <w:ind w:left="4" w:firstLine="644"/>
        <w:spacing w:after="0" w:line="380" w:lineRule="auto"/>
        <w:tabs>
          <w:tab w:leader="none" w:pos="1017" w:val="left"/>
        </w:tabs>
        <w:numPr>
          <w:ilvl w:val="1"/>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Options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auto"/>
        </w:rPr>
        <w:t>Generally</w:t>
      </w:r>
      <w:r>
        <w:rPr>
          <w:rFonts w:ascii="Arial" w:cs="Arial" w:eastAsia="Arial" w:hAnsi="Arial"/>
          <w:sz w:val="15"/>
          <w:szCs w:val="15"/>
          <w:color w:val="auto"/>
        </w:rPr>
        <w:t>. Each Option granted under the Plan shall be evidenced by an Award Agreement (whether in paper or electronic medium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53" w:lineRule="exact"/>
        <w:rPr>
          <w:sz w:val="20"/>
          <w:szCs w:val="20"/>
          <w:color w:val="auto"/>
        </w:rPr>
      </w:pPr>
    </w:p>
    <w:p>
      <w:pPr>
        <w:jc w:val="both"/>
        <w:ind w:left="4" w:hanging="4"/>
        <w:spacing w:after="0" w:line="360" w:lineRule="auto"/>
        <w:tabs>
          <w:tab w:leader="none" w:pos="463" w:val="left"/>
        </w:tabs>
        <w:numPr>
          <w:ilvl w:val="0"/>
          <w:numId w:val="88"/>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Price</w:t>
      </w:r>
      <w:r>
        <w:rPr>
          <w:rFonts w:ascii="Arial" w:cs="Arial" w:eastAsia="Arial" w:hAnsi="Arial"/>
          <w:sz w:val="16"/>
          <w:szCs w:val="16"/>
          <w:color w:val="auto"/>
        </w:rPr>
        <w:t>. Except as otherwise provided by the Committee in the case of Substitute Awards, the exercise price (“</w:t>
      </w:r>
      <w:r>
        <w:rPr>
          <w:rFonts w:ascii="Arial" w:cs="Arial" w:eastAsia="Arial" w:hAnsi="Arial"/>
          <w:sz w:val="16"/>
          <w:szCs w:val="16"/>
          <w:b w:val="1"/>
          <w:bCs w:val="1"/>
          <w:color w:val="auto"/>
        </w:rPr>
        <w:t>Exercise Price</w:t>
      </w:r>
      <w:r>
        <w:rPr>
          <w:rFonts w:ascii="Arial" w:cs="Arial" w:eastAsia="Arial" w:hAnsi="Arial"/>
          <w:sz w:val="16"/>
          <w:szCs w:val="16"/>
          <w:color w:val="auto"/>
        </w:rPr>
        <w:t>”) per share of Common Stock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Option shall not be less than one hundred percent (100%) of the Fair Market Value of such share (determined as of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 Incentive Stock Option granted to an employee who, at the time of the grant of such Option, owns stock representing more than ten percent (10%) of the voting power of all classes of stock of any member of the Company Group, the Exercise Price per share shall not be less than one hundred and ten percent (110%) of the Fair Market Value per share on the Date of Grant.</w:t>
      </w:r>
    </w:p>
    <w:p>
      <w:pPr>
        <w:spacing w:after="0" w:line="163" w:lineRule="exact"/>
        <w:rPr>
          <w:rFonts w:ascii="Arial" w:cs="Arial" w:eastAsia="Arial" w:hAnsi="Arial"/>
          <w:sz w:val="16"/>
          <w:szCs w:val="16"/>
          <w:color w:val="auto"/>
        </w:rPr>
      </w:pPr>
    </w:p>
    <w:p>
      <w:pPr>
        <w:jc w:val="both"/>
        <w:ind w:left="4" w:hanging="4"/>
        <w:spacing w:after="0" w:line="358" w:lineRule="auto"/>
        <w:tabs>
          <w:tab w:leader="none" w:pos="454" w:val="left"/>
        </w:tabs>
        <w:numPr>
          <w:ilvl w:val="0"/>
          <w:numId w:val="88"/>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Expiration</w:t>
      </w:r>
      <w:r>
        <w:rPr>
          <w:rFonts w:ascii="Arial" w:cs="Arial" w:eastAsia="Arial" w:hAnsi="Arial"/>
          <w:sz w:val="16"/>
          <w:szCs w:val="16"/>
          <w:color w:val="auto"/>
        </w:rPr>
        <w:t>. Options shall vest and become exercisable in such manner and on such date or dates determined by the Committee and set forth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shall expire after such period, not to exceed ten (10) years, as may be determined by the Committee (the “</w:t>
      </w:r>
      <w:r>
        <w:rPr>
          <w:rFonts w:ascii="Arial" w:cs="Arial" w:eastAsia="Arial" w:hAnsi="Arial"/>
          <w:sz w:val="16"/>
          <w:szCs w:val="16"/>
          <w:b w:val="1"/>
          <w:bCs w:val="1"/>
          <w:color w:val="auto"/>
        </w:rPr>
        <w:t>Option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Option Period shall not exceed five (5) years from the Date of Grant in the case of an Incentive Stock Option granted to a Participant who on the Date of Grant owns stock representing more than ten percent (10%) of the voting power of all classes of stock of any member of the Company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w:t>
      </w:r>
    </w:p>
    <w:p>
      <w:pPr>
        <w:spacing w:after="0" w:line="163" w:lineRule="exact"/>
        <w:rPr>
          <w:rFonts w:ascii="Arial" w:cs="Arial" w:eastAsia="Arial" w:hAnsi="Arial"/>
          <w:sz w:val="16"/>
          <w:szCs w:val="16"/>
          <w:color w:val="auto"/>
        </w:rPr>
      </w:pPr>
    </w:p>
    <w:p>
      <w:pPr>
        <w:jc w:val="both"/>
        <w:ind w:left="4" w:hanging="4"/>
        <w:spacing w:after="0" w:line="362" w:lineRule="auto"/>
        <w:tabs>
          <w:tab w:leader="none" w:pos="463" w:val="left"/>
        </w:tabs>
        <w:numPr>
          <w:ilvl w:val="0"/>
          <w:numId w:val="88"/>
        </w:numPr>
        <w:rPr>
          <w:rFonts w:ascii="Arial" w:cs="Arial" w:eastAsia="Arial" w:hAnsi="Arial"/>
          <w:sz w:val="16"/>
          <w:szCs w:val="16"/>
          <w:color w:val="auto"/>
        </w:rPr>
      </w:pPr>
      <w:r>
        <w:rPr>
          <w:rFonts w:ascii="Arial" w:cs="Arial" w:eastAsia="Arial" w:hAnsi="Arial"/>
          <w:sz w:val="16"/>
          <w:szCs w:val="16"/>
          <w:i w:val="1"/>
          <w:iCs w:val="1"/>
          <w:u w:val="single" w:color="auto"/>
          <w:color w:val="auto"/>
        </w:rPr>
        <w:t>Method of Exercise and Form of Payment</w:t>
      </w:r>
      <w:r>
        <w:rPr>
          <w:rFonts w:ascii="Arial" w:cs="Arial" w:eastAsia="Arial" w:hAnsi="Arial"/>
          <w:sz w:val="16"/>
          <w:szCs w:val="16"/>
          <w:color w:val="auto"/>
        </w:rPr>
        <w:t>. No shares of Common Stock shall be delivered pursuant to any exercise of an Option until payment in full of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Option accompanied by payment of the Exercise Price.</w:t>
      </w:r>
    </w:p>
    <w:p>
      <w:pPr>
        <w:spacing w:after="0" w:line="200" w:lineRule="exact"/>
        <w:rPr>
          <w:sz w:val="20"/>
          <w:szCs w:val="20"/>
          <w:color w:val="auto"/>
        </w:rPr>
      </w:pPr>
    </w:p>
    <w:p>
      <w:pPr>
        <w:spacing w:after="0" w:line="203" w:lineRule="exact"/>
        <w:rPr>
          <w:sz w:val="20"/>
          <w:szCs w:val="20"/>
          <w:color w:val="auto"/>
        </w:rPr>
      </w:pPr>
    </w:p>
    <w:p>
      <w:pPr>
        <w:jc w:val="both"/>
        <w:ind w:left="4"/>
        <w:spacing w:after="0" w:line="287" w:lineRule="auto"/>
        <w:rPr>
          <w:sz w:val="20"/>
          <w:szCs w:val="20"/>
          <w:color w:val="auto"/>
        </w:rPr>
      </w:pPr>
      <w:r>
        <w:rPr>
          <w:rFonts w:ascii="Arial" w:cs="Arial" w:eastAsia="Arial" w:hAnsi="Arial"/>
          <w:sz w:val="15"/>
          <w:szCs w:val="15"/>
          <w:color w:val="auto"/>
        </w:rPr>
        <w:t xml:space="preserve">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such shares of Common Stock are not subject to any pledge or other security interest and are Mature Shares and; (ii) by such other method as the Committee may permit in its sole discretion, including without limitation: (A) in other property having a fair market value on the date of exercise equal to the Exercise Price or (B) if there is a public market for the shares of Common Stock at such time, by means of a broker- 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or (C) by a “net exercise” method whereby the Company withholds from the delivery of the shares of Common Stock for which the Option was exercised that number of shares of Common Stock having a Fair Market Value equal to the aggregate Exercise Price for the shares of Common Stock for which the Option was exercised. Any fractional shares of Common Stock shall be settled in cash.</w:t>
      </w:r>
    </w:p>
    <w:p>
      <w:pPr>
        <w:spacing w:after="0" w:line="210" w:lineRule="exact"/>
        <w:rPr>
          <w:sz w:val="20"/>
          <w:szCs w:val="20"/>
          <w:color w:val="auto"/>
        </w:rPr>
      </w:pPr>
    </w:p>
    <w:p>
      <w:pPr>
        <w:jc w:val="both"/>
        <w:ind w:left="4" w:hanging="4"/>
        <w:spacing w:after="0" w:line="358" w:lineRule="auto"/>
        <w:tabs>
          <w:tab w:leader="none" w:pos="454" w:val="left"/>
        </w:tabs>
        <w:numPr>
          <w:ilvl w:val="0"/>
          <w:numId w:val="89"/>
        </w:numPr>
        <w:rPr>
          <w:rFonts w:ascii="Arial" w:cs="Arial" w:eastAsia="Arial" w:hAnsi="Arial"/>
          <w:sz w:val="16"/>
          <w:szCs w:val="16"/>
          <w:color w:val="auto"/>
        </w:rPr>
      </w:pPr>
      <w:r>
        <w:rPr>
          <w:rFonts w:ascii="Arial" w:cs="Arial" w:eastAsia="Arial" w:hAnsi="Arial"/>
          <w:sz w:val="16"/>
          <w:szCs w:val="16"/>
          <w:i w:val="1"/>
          <w:iCs w:val="1"/>
          <w:u w:val="single" w:color="auto"/>
          <w:color w:val="auto"/>
        </w:rPr>
        <w:t>Notification upon Disqualifying Disposition of an Incentive Stock Option</w:t>
      </w:r>
      <w:r>
        <w:rPr>
          <w:rFonts w:ascii="Arial" w:cs="Arial" w:eastAsia="Arial" w:hAnsi="Arial"/>
          <w:sz w:val="16"/>
          <w:szCs w:val="16"/>
          <w:color w:val="auto"/>
        </w:rPr>
        <w:t>. Each Participant awarded an Incentive Stock Option under the Plan shall notify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writing immediately after the date he or she makes a disqualifying disposition of any Common Stock acquired pursuant to the exercise of such Incentive Stock Option. A disqualifying disposition is any disposition (including, without limitation, any sale) of such Common Stock before the later of (A) two (2) years after the Date of Grant of the Incentive Stock Option or (B) one (1) year after the date of exercise of the Incentive Stock Option. The Company may, if determined by the Committee and in accordance with procedures established by the Committee, retain possession of any Common Stock acquired pursuant to the exercise of an Incentive Stock Option as agent for the applicable Participant until the end of the period described in the preceding sentence.</w:t>
      </w:r>
    </w:p>
    <w:p>
      <w:pPr>
        <w:spacing w:after="0" w:line="163" w:lineRule="exact"/>
        <w:rPr>
          <w:rFonts w:ascii="Arial" w:cs="Arial" w:eastAsia="Arial" w:hAnsi="Arial"/>
          <w:sz w:val="16"/>
          <w:szCs w:val="16"/>
          <w:color w:val="auto"/>
        </w:rPr>
      </w:pPr>
    </w:p>
    <w:p>
      <w:pPr>
        <w:jc w:val="both"/>
        <w:ind w:left="4" w:hanging="4"/>
        <w:spacing w:after="0" w:line="399" w:lineRule="auto"/>
        <w:tabs>
          <w:tab w:leader="none" w:pos="436" w:val="left"/>
        </w:tabs>
        <w:numPr>
          <w:ilvl w:val="0"/>
          <w:numId w:val="89"/>
        </w:numPr>
        <w:rPr>
          <w:rFonts w:ascii="Arial" w:cs="Arial" w:eastAsia="Arial" w:hAnsi="Arial"/>
          <w:sz w:val="15"/>
          <w:szCs w:val="15"/>
          <w:color w:val="auto"/>
        </w:rPr>
      </w:pPr>
      <w:r>
        <w:rPr>
          <w:rFonts w:ascii="Arial" w:cs="Arial" w:eastAsia="Arial" w:hAnsi="Arial"/>
          <w:sz w:val="15"/>
          <w:szCs w:val="15"/>
          <w:i w:val="1"/>
          <w:iCs w:val="1"/>
          <w:u w:val="single" w:color="auto"/>
          <w:color w:val="auto"/>
        </w:rPr>
        <w:t>Compliance With Laws, etc</w:t>
      </w:r>
      <w:r>
        <w:rPr>
          <w:rFonts w:ascii="Arial" w:cs="Arial" w:eastAsia="Arial" w:hAnsi="Arial"/>
          <w:sz w:val="15"/>
          <w:szCs w:val="15"/>
          <w:color w:val="auto"/>
        </w:rPr>
        <w:t>. Notwithstanding the foregoing, in no event shall a Participant be permitted to exercise an Option in a manner that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determines would violate the Sarbanes-Oxley Act of 2002,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ectPr>
          <w:pgSz w:w="11900" w:h="16870" w:orient="portrait"/>
          <w:cols w:equalWidth="0" w:num="1">
            <w:col w:w="11304"/>
          </w:cols>
          <w:pgMar w:left="356" w:top="170" w:right="239" w:bottom="0" w:gutter="0" w:footer="0" w:header="0"/>
        </w:sectPr>
      </w:pPr>
    </w:p>
    <w:bookmarkStart w:id="65" w:name="page66"/>
    <w:bookmarkEnd w:id="65"/>
    <w:p>
      <w:pPr>
        <w:jc w:val="both"/>
        <w:ind w:left="4" w:firstLine="644"/>
        <w:spacing w:after="0" w:line="393" w:lineRule="auto"/>
        <w:tabs>
          <w:tab w:leader="none" w:pos="1017" w:val="left"/>
        </w:tabs>
        <w:numPr>
          <w:ilvl w:val="1"/>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Stock Appreciation Rights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Generally</w:t>
      </w:r>
      <w:r>
        <w:rPr>
          <w:rFonts w:ascii="Arial" w:cs="Arial" w:eastAsia="Arial" w:hAnsi="Arial"/>
          <w:sz w:val="15"/>
          <w:szCs w:val="15"/>
          <w:color w:val="auto"/>
        </w:rPr>
        <w:t>. Each SAR granted under the Plan shall be evidenced by an Award Agreement (whether in paper or electronic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43" w:lineRule="exact"/>
        <w:rPr>
          <w:rFonts w:ascii="Arial" w:cs="Arial" w:eastAsia="Arial" w:hAnsi="Arial"/>
          <w:sz w:val="15"/>
          <w:szCs w:val="15"/>
          <w:color w:val="auto"/>
        </w:rPr>
      </w:pPr>
    </w:p>
    <w:p>
      <w:pPr>
        <w:jc w:val="both"/>
        <w:ind w:left="4" w:hanging="4"/>
        <w:spacing w:after="0" w:line="387" w:lineRule="auto"/>
        <w:tabs>
          <w:tab w:leader="none" w:pos="477" w:val="left"/>
        </w:tabs>
        <w:numPr>
          <w:ilvl w:val="0"/>
          <w:numId w:val="91"/>
        </w:numPr>
        <w:rPr>
          <w:rFonts w:ascii="Arial" w:cs="Arial" w:eastAsia="Arial" w:hAnsi="Arial"/>
          <w:sz w:val="15"/>
          <w:szCs w:val="15"/>
          <w:color w:val="auto"/>
        </w:rPr>
      </w:pPr>
      <w:r>
        <w:rPr>
          <w:rFonts w:ascii="Arial" w:cs="Arial" w:eastAsia="Arial" w:hAnsi="Arial"/>
          <w:sz w:val="15"/>
          <w:szCs w:val="15"/>
          <w:i w:val="1"/>
          <w:iCs w:val="1"/>
          <w:u w:val="single" w:color="auto"/>
          <w:color w:val="auto"/>
        </w:rPr>
        <w:t>Vesting and Expiration</w:t>
      </w:r>
      <w:r>
        <w:rPr>
          <w:rFonts w:ascii="Arial" w:cs="Arial" w:eastAsia="Arial" w:hAnsi="Arial"/>
          <w:sz w:val="15"/>
          <w:szCs w:val="15"/>
          <w:color w:val="auto"/>
        </w:rPr>
        <w:t>. A SAR granted in connection with an Option shall become exercisable and shall expire according to the same vesting schedule and expiration</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as the corresponding Option. A SAR granted independent of an Option shall vest and become exercisable and shall expire in such manner and on such date or dates determined by the Committee and set forth in an Award Agreement and shall expire after such period, not to exceed ten (10) years, as may be determined by the Committee (the “</w:t>
      </w:r>
      <w:r>
        <w:rPr>
          <w:rFonts w:ascii="Arial" w:cs="Arial" w:eastAsia="Arial" w:hAnsi="Arial"/>
          <w:sz w:val="15"/>
          <w:szCs w:val="15"/>
          <w:b w:val="1"/>
          <w:bCs w:val="1"/>
          <w:color w:val="auto"/>
        </w:rPr>
        <w:t>SAR Period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any vesting dates set by the Committee, the Committee may, in its sole discretion, accelerate the exercisability of any SAR, which acceleration shall not affect the terms and conditions of such SAR other than with respect to exercisability.</w:t>
      </w:r>
    </w:p>
    <w:p>
      <w:pPr>
        <w:spacing w:after="0" w:line="148" w:lineRule="exact"/>
        <w:rPr>
          <w:rFonts w:ascii="Arial" w:cs="Arial" w:eastAsia="Arial" w:hAnsi="Arial"/>
          <w:sz w:val="15"/>
          <w:szCs w:val="15"/>
          <w:color w:val="auto"/>
        </w:rPr>
      </w:pPr>
    </w:p>
    <w:p>
      <w:pPr>
        <w:jc w:val="both"/>
        <w:ind w:left="4" w:hanging="4"/>
        <w:spacing w:after="0" w:line="387"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i w:val="1"/>
          <w:iCs w:val="1"/>
          <w:u w:val="single" w:color="auto"/>
          <w:color w:val="auto"/>
        </w:rPr>
        <w:t>Method of Exercise</w:t>
      </w:r>
      <w:r>
        <w:rPr>
          <w:rFonts w:ascii="Arial" w:cs="Arial" w:eastAsia="Arial" w:hAnsi="Arial"/>
          <w:sz w:val="15"/>
          <w:szCs w:val="15"/>
          <w:color w:val="auto"/>
        </w:rPr>
        <w:t>. SARs that have become exercisable may be exercised by delivery of written or electronic notice of exercise to the Company in accordance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108" w:lineRule="exact"/>
        <w:rPr>
          <w:rFonts w:ascii="Arial" w:cs="Arial" w:eastAsia="Arial" w:hAnsi="Arial"/>
          <w:sz w:val="15"/>
          <w:szCs w:val="15"/>
          <w:color w:val="auto"/>
        </w:rPr>
      </w:pPr>
    </w:p>
    <w:p>
      <w:pPr>
        <w:ind w:left="284" w:hanging="284"/>
        <w:spacing w:after="0"/>
        <w:tabs>
          <w:tab w:leader="none" w:pos="284" w:val="left"/>
        </w:tabs>
        <w:numPr>
          <w:ilvl w:val="0"/>
          <w:numId w:val="91"/>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w:t>
      </w:r>
      <w:r>
        <w:rPr>
          <w:rFonts w:ascii="Arial" w:cs="Arial" w:eastAsia="Arial" w:hAnsi="Arial"/>
          <w:sz w:val="16"/>
          <w:szCs w:val="16"/>
          <w:color w:val="auto"/>
        </w:rPr>
        <w:t>. Upon the exercise of a SAR, the Company shall pay to the Participant an amount equal to the number</w:t>
      </w:r>
    </w:p>
    <w:p>
      <w:pPr>
        <w:spacing w:after="0" w:line="200" w:lineRule="exact"/>
        <w:rPr>
          <w:sz w:val="20"/>
          <w:szCs w:val="20"/>
          <w:color w:val="auto"/>
        </w:rPr>
      </w:pPr>
    </w:p>
    <w:p>
      <w:pPr>
        <w:spacing w:after="0" w:line="264" w:lineRule="exact"/>
        <w:rPr>
          <w:sz w:val="20"/>
          <w:szCs w:val="20"/>
          <w:color w:val="auto"/>
        </w:rPr>
      </w:pPr>
    </w:p>
    <w:p>
      <w:pPr>
        <w:jc w:val="both"/>
        <w:ind w:left="4"/>
        <w:spacing w:after="0" w:line="273" w:lineRule="auto"/>
        <w:rPr>
          <w:sz w:val="20"/>
          <w:szCs w:val="20"/>
          <w:color w:val="auto"/>
        </w:rPr>
      </w:pPr>
      <w:r>
        <w:rPr>
          <w:rFonts w:ascii="Arial" w:cs="Arial" w:eastAsia="Arial" w:hAnsi="Arial"/>
          <w:sz w:val="16"/>
          <w:szCs w:val="16"/>
          <w:color w:val="auto"/>
        </w:rPr>
        <w:t>of shares subject to the SAR that are being exercised multiplied by the excess, if any, of the Fair Market Value of one share of Common Stock on the exercise date over the Strike Price, less an amount equal to any federal, state, local and non-U.S. income and employment taxes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199" w:lineRule="exact"/>
        <w:rPr>
          <w:sz w:val="20"/>
          <w:szCs w:val="20"/>
          <w:color w:val="auto"/>
        </w:rPr>
      </w:pPr>
    </w:p>
    <w:p>
      <w:pPr>
        <w:jc w:val="both"/>
        <w:ind w:left="4" w:firstLine="644"/>
        <w:spacing w:after="0" w:line="363" w:lineRule="auto"/>
        <w:tabs>
          <w:tab w:leader="none" w:pos="1017" w:val="left"/>
        </w:tabs>
        <w:numPr>
          <w:ilvl w:val="1"/>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and Restricted Stock Units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u w:val="single" w:color="auto"/>
          <w:color w:val="auto"/>
        </w:rPr>
        <w:t>Generally</w:t>
      </w:r>
      <w:r>
        <w:rPr>
          <w:rFonts w:ascii="Arial" w:cs="Arial" w:eastAsia="Arial" w:hAnsi="Arial"/>
          <w:sz w:val="16"/>
          <w:szCs w:val="16"/>
          <w:color w:val="auto"/>
        </w:rPr>
        <w:t>. Each grant of Restricted Stock and Restricted Stock Units shall be evidenced by an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w:t>
      </w:r>
    </w:p>
    <w:p>
      <w:pPr>
        <w:spacing w:after="0" w:line="160" w:lineRule="exact"/>
        <w:rPr>
          <w:rFonts w:ascii="Arial" w:cs="Arial" w:eastAsia="Arial" w:hAnsi="Arial"/>
          <w:sz w:val="16"/>
          <w:szCs w:val="16"/>
          <w:color w:val="auto"/>
        </w:rPr>
      </w:pPr>
    </w:p>
    <w:p>
      <w:pPr>
        <w:jc w:val="both"/>
        <w:ind w:left="4" w:hanging="4"/>
        <w:spacing w:after="0" w:line="402" w:lineRule="auto"/>
        <w:tabs>
          <w:tab w:leader="none" w:pos="463" w:val="left"/>
        </w:tabs>
        <w:numPr>
          <w:ilvl w:val="0"/>
          <w:numId w:val="93"/>
        </w:numPr>
        <w:rPr>
          <w:rFonts w:ascii="Arial" w:cs="Arial" w:eastAsia="Arial" w:hAnsi="Arial"/>
          <w:sz w:val="14"/>
          <w:szCs w:val="14"/>
          <w:color w:val="auto"/>
        </w:rPr>
      </w:pPr>
      <w:r>
        <w:rPr>
          <w:rFonts w:ascii="Arial" w:cs="Arial" w:eastAsia="Arial" w:hAnsi="Arial"/>
          <w:sz w:val="14"/>
          <w:szCs w:val="14"/>
          <w:i w:val="1"/>
          <w:iCs w:val="1"/>
          <w:u w:val="single" w:color="auto"/>
          <w:color w:val="auto"/>
        </w:rPr>
        <w:t>Stock Certificates; Escrow or Similar Arrangement</w:t>
      </w:r>
      <w:r>
        <w:rPr>
          <w:rFonts w:ascii="Arial" w:cs="Arial" w:eastAsia="Arial" w:hAnsi="Arial"/>
          <w:sz w:val="14"/>
          <w:szCs w:val="14"/>
          <w:color w:val="auto"/>
        </w:rPr>
        <w:t>. Upon the grant of Restricted Stock, the Committee shall cause a stock certificate or book-entry designation</w:t>
      </w:r>
      <w:r>
        <w:rPr>
          <w:rFonts w:ascii="Arial" w:cs="Arial" w:eastAsia="Arial" w:hAnsi="Arial"/>
          <w:sz w:val="14"/>
          <w:szCs w:val="14"/>
          <w:i w:val="1"/>
          <w:iCs w:val="1"/>
          <w:color w:val="auto"/>
        </w:rPr>
        <w:t xml:space="preserve"> </w:t>
      </w:r>
      <w:r>
        <w:rPr>
          <w:rFonts w:ascii="Arial" w:cs="Arial" w:eastAsia="Arial" w:hAnsi="Arial"/>
          <w:sz w:val="14"/>
          <w:szCs w:val="14"/>
          <w:color w:val="auto"/>
        </w:rPr>
        <w:t>registered in the name of the Participant to be issued and,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w:t>
      </w:r>
    </w:p>
    <w:p>
      <w:pPr>
        <w:spacing w:after="0" w:line="1" w:lineRule="exact"/>
        <w:rPr>
          <w:rFonts w:ascii="Arial" w:cs="Arial" w:eastAsia="Arial" w:hAnsi="Arial"/>
          <w:sz w:val="14"/>
          <w:szCs w:val="14"/>
          <w:color w:val="auto"/>
        </w:rPr>
      </w:pPr>
    </w:p>
    <w:p>
      <w:pPr>
        <w:jc w:val="both"/>
        <w:ind w:left="4" w:hanging="4"/>
        <w:spacing w:after="0" w:line="357" w:lineRule="auto"/>
        <w:tabs>
          <w:tab w:leader="none" w:pos="201"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 escrow agreement satisfactory to the Committee, if applicable, and (ii) the appropriate stock power (endorsed in blank) with respect to the Restricted Stock covered by such agreement. If a Participant shall fail to execute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To the extent shares of Restricted Stock are forfeited, any stock certificates or book-entry designations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164" w:lineRule="exact"/>
        <w:rPr>
          <w:rFonts w:ascii="Arial" w:cs="Arial" w:eastAsia="Arial" w:hAnsi="Arial"/>
          <w:sz w:val="16"/>
          <w:szCs w:val="16"/>
          <w:color w:val="auto"/>
        </w:rPr>
      </w:pPr>
    </w:p>
    <w:p>
      <w:pPr>
        <w:ind w:left="4" w:hanging="4"/>
        <w:spacing w:after="0" w:line="381" w:lineRule="auto"/>
        <w:tabs>
          <w:tab w:leader="none" w:pos="454" w:val="left"/>
        </w:tabs>
        <w:numPr>
          <w:ilvl w:val="0"/>
          <w:numId w:val="95"/>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Acceleration of Lapse of Restrictions</w:t>
      </w:r>
      <w:r>
        <w:rPr>
          <w:rFonts w:ascii="Arial" w:cs="Arial" w:eastAsia="Arial" w:hAnsi="Arial"/>
          <w:sz w:val="16"/>
          <w:szCs w:val="16"/>
          <w:color w:val="auto"/>
        </w:rPr>
        <w:t>. Except as provided below, the Restricted Period shall lapse as determined by the Committee and set forth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w:t>
      </w:r>
    </w:p>
    <w:p>
      <w:pPr>
        <w:spacing w:after="0" w:line="145" w:lineRule="exact"/>
        <w:rPr>
          <w:rFonts w:ascii="Arial" w:cs="Arial" w:eastAsia="Arial" w:hAnsi="Arial"/>
          <w:sz w:val="16"/>
          <w:szCs w:val="16"/>
          <w:color w:val="auto"/>
        </w:rPr>
      </w:pPr>
    </w:p>
    <w:p>
      <w:pPr>
        <w:jc w:val="both"/>
        <w:ind w:left="4" w:hanging="4"/>
        <w:spacing w:after="0" w:line="383" w:lineRule="auto"/>
        <w:tabs>
          <w:tab w:leader="none" w:pos="463" w:val="left"/>
        </w:tabs>
        <w:numPr>
          <w:ilvl w:val="0"/>
          <w:numId w:val="95"/>
        </w:numPr>
        <w:rPr>
          <w:rFonts w:ascii="Arial" w:cs="Arial" w:eastAsia="Arial" w:hAnsi="Arial"/>
          <w:sz w:val="15"/>
          <w:szCs w:val="15"/>
          <w:color w:val="auto"/>
        </w:rPr>
      </w:pPr>
      <w:r>
        <w:rPr>
          <w:rFonts w:ascii="Arial" w:cs="Arial" w:eastAsia="Arial" w:hAnsi="Arial"/>
          <w:sz w:val="15"/>
          <w:szCs w:val="15"/>
          <w:i w:val="1"/>
          <w:iCs w:val="1"/>
          <w:u w:val="single" w:color="auto"/>
          <w:color w:val="auto"/>
        </w:rPr>
        <w:t>Delivery of Restricted Stock and Settlement of Restricted Stock Units</w:t>
      </w:r>
      <w:r>
        <w:rPr>
          <w:rFonts w:ascii="Arial" w:cs="Arial" w:eastAsia="Arial" w:hAnsi="Arial"/>
          <w:sz w:val="15"/>
          <w:szCs w:val="15"/>
          <w:color w:val="auto"/>
        </w:rPr>
        <w:t>. (i) Upon the expiration of the Restricted Period with respect to any shares of Restricted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that have not then been forfeited and with respect to which the Restricted Period has expired. Dividends, if any, that may have been withheld by the Committee and attributable to any particular share of Restricted Stock shall be distributed to the Participant in cash or, at the sole discretion of the Committee, in shares of Common Stock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113" w:lineRule="exact"/>
        <w:rPr>
          <w:sz w:val="20"/>
          <w:szCs w:val="20"/>
          <w:color w:val="auto"/>
        </w:rPr>
      </w:pPr>
    </w:p>
    <w:p>
      <w:pPr>
        <w:jc w:val="both"/>
        <w:ind w:left="4" w:hanging="4"/>
        <w:spacing w:after="0" w:line="289" w:lineRule="auto"/>
        <w:tabs>
          <w:tab w:leader="none" w:pos="246"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Unless otherwise provided in an Award Agreement, an Employment Agreement or otherwise by the Committee, upon the expiration of the Restricted Period with respect to any outstanding Restricted Stock Units, the Company shall deliver to the Participant, or the Participant’s beneficiary, without charge, one share of Common Stock for each such outstanding Restricted Stock Unit;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Committee may, in its sole discretion, elect to (i) pay cash or part cash and part Common Stock in lieu of delivering only shares of Common Stock in respect of such Restricted Stock Units or (ii) defer the delivery of Common Stock (or cash or part Common Stock and part cash, as the case may be) beyond the expiration of the Restricted Period. If a cash payment is made in lieu of delivering shares of Common Stock, the amount of such payment shall be equal to the Fair Market Value of the Common Stock as of the date on which the Restricted Period lapsed with respect to such Restricted Stock Units, less an amount equal to any federal, state, local and non-U.S. income and employment taxes required to be withheld.</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i w:val="1"/>
          <w:iCs w:val="1"/>
          <w:u w:val="single" w:color="auto"/>
          <w:color w:val="auto"/>
        </w:rPr>
        <w:t>Legends on Restricted Stock</w:t>
      </w:r>
      <w:r>
        <w:rPr>
          <w:rFonts w:ascii="Arial" w:cs="Arial" w:eastAsia="Arial" w:hAnsi="Arial"/>
          <w:sz w:val="16"/>
          <w:szCs w:val="16"/>
          <w:color w:val="auto"/>
        </w:rPr>
        <w:t>. Each certificate or book-entry designation representing Restricted Stock awarded</w:t>
      </w:r>
    </w:p>
    <w:p>
      <w:pPr>
        <w:spacing w:after="0" w:line="200" w:lineRule="exact"/>
        <w:rPr>
          <w:sz w:val="20"/>
          <w:szCs w:val="20"/>
          <w:color w:val="auto"/>
        </w:rPr>
      </w:pPr>
    </w:p>
    <w:p>
      <w:pPr>
        <w:spacing w:after="0" w:line="264"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under the Plan shall bear a legend substantially in the form of the following in addition to any other information the Company deems appropriate until the lapse of all restrictions with respect to such Common Stock:</w:t>
      </w:r>
    </w:p>
    <w:p>
      <w:pPr>
        <w:spacing w:after="0" w:line="145" w:lineRule="exact"/>
        <w:rPr>
          <w:sz w:val="20"/>
          <w:szCs w:val="20"/>
          <w:color w:val="auto"/>
        </w:rPr>
      </w:pPr>
    </w:p>
    <w:p>
      <w:pPr>
        <w:ind w:left="4"/>
        <w:spacing w:after="0" w:line="329" w:lineRule="auto"/>
        <w:rPr>
          <w:sz w:val="20"/>
          <w:szCs w:val="20"/>
          <w:color w:val="auto"/>
        </w:rPr>
      </w:pPr>
      <w:r>
        <w:rPr>
          <w:rFonts w:ascii="Arial" w:cs="Arial" w:eastAsia="Arial" w:hAnsi="Arial"/>
          <w:sz w:val="15"/>
          <w:szCs w:val="15"/>
          <w:color w:val="auto"/>
        </w:rPr>
        <w:t>TRANSFER OF THIS CERTIFICATE AND THE SHARES REPRESENTED HEREBY IS RESTRICTED PURSUANT TO THE TERMS OF THE UNIVERSAL ELECTRONICS INC. 2018 EQUITY AND INCENTIVE COMPENSATION PLAN AND A RESTRICTED STOCK AWARD AGREEMENT, BETWEEN UNIVERSAL</w:t>
      </w:r>
    </w:p>
    <w:p>
      <w:pPr>
        <w:sectPr>
          <w:pgSz w:w="11900" w:h="16838" w:orient="portrait"/>
          <w:cols w:equalWidth="0" w:num="1">
            <w:col w:w="11304"/>
          </w:cols>
          <w:pgMar w:left="356" w:top="355" w:right="239" w:bottom="0" w:gutter="0" w:footer="0" w:header="0"/>
        </w:sectPr>
      </w:pPr>
    </w:p>
    <w:bookmarkStart w:id="66" w:name="page67"/>
    <w:bookmarkEnd w:id="66"/>
    <w:p>
      <w:pPr>
        <w:ind w:left="4"/>
        <w:spacing w:after="0" w:line="293" w:lineRule="auto"/>
        <w:rPr>
          <w:sz w:val="20"/>
          <w:szCs w:val="20"/>
          <w:color w:val="auto"/>
        </w:rPr>
      </w:pPr>
      <w:r>
        <w:rPr>
          <w:rFonts w:ascii="Arial" w:cs="Arial" w:eastAsia="Arial" w:hAnsi="Arial"/>
          <w:sz w:val="16"/>
          <w:szCs w:val="16"/>
          <w:color w:val="auto"/>
        </w:rPr>
        <w:t>ELECTRONICS INC. AND PARTICIPANT. A COPY OF SUCH PLAN AND AWARD AGREEMENT IS ON FILE AT THE PRINCIPAL EXECUTIVE OFFICES OF UNIVERSAL ELECTRONICS INC.</w:t>
      </w:r>
    </w:p>
    <w:p>
      <w:pPr>
        <w:spacing w:after="0" w:line="182" w:lineRule="exact"/>
        <w:rPr>
          <w:sz w:val="20"/>
          <w:szCs w:val="20"/>
          <w:color w:val="auto"/>
        </w:rPr>
      </w:pPr>
    </w:p>
    <w:p>
      <w:pPr>
        <w:jc w:val="both"/>
        <w:ind w:left="4" w:firstLine="644"/>
        <w:spacing w:after="0" w:line="357" w:lineRule="auto"/>
        <w:tabs>
          <w:tab w:leader="none" w:pos="1098"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 and Cash-Based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may issue Other Stock-Based Awards under the Plan to Eligible Persons, either alone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 tandem with other awards, in such amounts as the Committee shall from time to time in its sole discretion determine. Each Other Stock-Based Award granted under the Plan shall be evidenced by an Award Agreement (whether in paper or electronic medium (including email or the posting on a web site maintained by the Company or a third party under contract with the Company)). Each Other Stock-Based Award so granted shall be subject to such conditions not inconsistent with the Plan as may be reflected in the applicable Award Agreement. The Committee may grant Cash-Based Awards under the Plan to Eligible Persons, alone or in tandem with other Awards, in such amounts and dependent on such conditions as the Committee shall from time to time in its sole discretion determine. Each Cash-Based Award granted under the Plan shall be evidenced in such form as the Committee may determine from time to time and shall be subject to such conditions not inconsistent with the Plan as may be reflected in the form evidencing such Award.</w:t>
      </w:r>
    </w:p>
    <w:p>
      <w:pPr>
        <w:spacing w:after="0" w:line="160" w:lineRule="exact"/>
        <w:rPr>
          <w:rFonts w:ascii="Arial" w:cs="Arial" w:eastAsia="Arial" w:hAnsi="Arial"/>
          <w:sz w:val="16"/>
          <w:szCs w:val="16"/>
          <w:color w:val="auto"/>
        </w:rPr>
      </w:pPr>
    </w:p>
    <w:p>
      <w:pPr>
        <w:jc w:val="both"/>
        <w:ind w:left="4" w:firstLine="644"/>
        <w:spacing w:after="0" w:line="413" w:lineRule="auto"/>
        <w:tabs>
          <w:tab w:leader="none" w:pos="1092" w:val="left"/>
        </w:tabs>
        <w:numPr>
          <w:ilvl w:val="0"/>
          <w:numId w:val="97"/>
        </w:numPr>
        <w:rPr>
          <w:rFonts w:ascii="Arial" w:cs="Arial" w:eastAsia="Arial" w:hAnsi="Arial"/>
          <w:sz w:val="14"/>
          <w:szCs w:val="14"/>
          <w:color w:val="auto"/>
        </w:rPr>
      </w:pPr>
      <w:r>
        <w:rPr>
          <w:rFonts w:ascii="Arial" w:cs="Arial" w:eastAsia="Arial" w:hAnsi="Arial"/>
          <w:sz w:val="14"/>
          <w:szCs w:val="14"/>
          <w:b w:val="1"/>
          <w:bCs w:val="1"/>
          <w:i w:val="1"/>
          <w:iCs w:val="1"/>
          <w:color w:val="auto"/>
        </w:rPr>
        <w:t>Changes in Capital Structure and Similar Events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event of (a) any dividend (other than regular cash dividend) or other distribution (whether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form of cash, shares of Common Stock, other securities or other property), recapitalization, stock split, reverse stock split, reorganization, merger, consolidation, split-up, split-off,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any member of the Company Group, or the financial statements of any member of the Company Group,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w:t>
      </w:r>
    </w:p>
    <w:p>
      <w:pPr>
        <w:spacing w:after="0" w:line="138" w:lineRule="exact"/>
        <w:rPr>
          <w:sz w:val="20"/>
          <w:szCs w:val="20"/>
          <w:color w:val="auto"/>
        </w:rPr>
      </w:pPr>
    </w:p>
    <w:p>
      <w:pPr>
        <w:jc w:val="both"/>
        <w:ind w:left="644" w:firstLine="4"/>
        <w:spacing w:after="0" w:line="402" w:lineRule="auto"/>
        <w:tabs>
          <w:tab w:leader="none" w:pos="10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adjusting (A) any or all of the limits provided under the Plan (including under Section 5 of Plan) with respect to the number of Awards which may be granted hereunder, (B)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or any Sub-Plan and (C) the terms of any outstanding Award, including, without limitation, (1) the number of shares of Common Stock or other securities of the Company (or number and kind of other securities or other property) subject to outstanding Awards or to which outstanding Awards relate,</w:t>
      </w:r>
    </w:p>
    <w:p>
      <w:pPr>
        <w:spacing w:after="0" w:line="2" w:lineRule="exact"/>
        <w:rPr>
          <w:rFonts w:ascii="Arial" w:cs="Arial" w:eastAsia="Arial" w:hAnsi="Arial"/>
          <w:sz w:val="14"/>
          <w:szCs w:val="14"/>
          <w:color w:val="auto"/>
        </w:rPr>
      </w:pPr>
    </w:p>
    <w:p>
      <w:pPr>
        <w:ind w:left="644" w:right="20"/>
        <w:spacing w:after="0" w:line="423" w:lineRule="auto"/>
        <w:rPr>
          <w:rFonts w:ascii="Arial" w:cs="Arial" w:eastAsia="Arial" w:hAnsi="Arial"/>
          <w:sz w:val="14"/>
          <w:szCs w:val="14"/>
          <w:color w:val="auto"/>
        </w:rPr>
      </w:pPr>
      <w:r>
        <w:rPr>
          <w:rFonts w:ascii="Arial" w:cs="Arial" w:eastAsia="Arial" w:hAnsi="Arial"/>
          <w:sz w:val="15"/>
          <w:szCs w:val="15"/>
          <w:color w:val="auto"/>
        </w:rPr>
        <w:t xml:space="preserve">(2) the Exercise Price or Strike Price with respect to any Award or (3) any applicable performance;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any adjustment under this Section 11(i) shall be conclusive and binding for all purposes and may provide for the elimination of any fractional shares that might otherwise become subject to an Award;</w:t>
      </w:r>
    </w:p>
    <w:p>
      <w:pPr>
        <w:spacing w:after="0" w:line="121" w:lineRule="exact"/>
        <w:rPr>
          <w:rFonts w:ascii="Arial" w:cs="Arial" w:eastAsia="Arial" w:hAnsi="Arial"/>
          <w:sz w:val="14"/>
          <w:szCs w:val="14"/>
          <w:color w:val="auto"/>
        </w:rPr>
      </w:pPr>
    </w:p>
    <w:p>
      <w:pPr>
        <w:ind w:left="644" w:firstLine="4"/>
        <w:spacing w:after="0" w:line="381" w:lineRule="auto"/>
        <w:tabs>
          <w:tab w:leader="none" w:pos="1085"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providing for a substitution or assumption of Awards (or awards of an acquiring company), accelerating the exercisability of, lapse of restrictions on, or termination of, Awards or providing for a period of time for exercise prior to the occurrence of such event; and</w:t>
      </w:r>
    </w:p>
    <w:p>
      <w:pPr>
        <w:spacing w:after="0" w:line="145" w:lineRule="exact"/>
        <w:rPr>
          <w:rFonts w:ascii="Arial" w:cs="Arial" w:eastAsia="Arial" w:hAnsi="Arial"/>
          <w:sz w:val="16"/>
          <w:szCs w:val="16"/>
          <w:color w:val="auto"/>
        </w:rPr>
      </w:pPr>
    </w:p>
    <w:p>
      <w:pPr>
        <w:jc w:val="both"/>
        <w:ind w:left="644" w:firstLine="4"/>
        <w:spacing w:after="0" w:line="366" w:lineRule="auto"/>
        <w:tabs>
          <w:tab w:leader="none" w:pos="113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subject to any limitations or reductions as may be necessary to comply with Section 409A of the Code, cancelling any one or more outstanding Awards and causing to be paid to the holders thereof, in cash, shares of Common Stock, other securities or other property, or any combination thereof, the value of such Awards, if any, as determined by the Committee (which if applicable may be based upon the price per share of Common</w:t>
      </w:r>
    </w:p>
    <w:p>
      <w:pPr>
        <w:spacing w:after="0" w:line="200" w:lineRule="exact"/>
        <w:rPr>
          <w:sz w:val="20"/>
          <w:szCs w:val="20"/>
          <w:color w:val="auto"/>
        </w:rPr>
      </w:pPr>
    </w:p>
    <w:p>
      <w:pPr>
        <w:spacing w:after="0" w:line="201" w:lineRule="exact"/>
        <w:rPr>
          <w:sz w:val="20"/>
          <w:szCs w:val="20"/>
          <w:color w:val="auto"/>
        </w:rPr>
      </w:pPr>
    </w:p>
    <w:p>
      <w:pPr>
        <w:jc w:val="both"/>
        <w:ind w:left="644"/>
        <w:spacing w:after="0" w:line="289" w:lineRule="auto"/>
        <w:rPr>
          <w:sz w:val="20"/>
          <w:szCs w:val="20"/>
          <w:color w:val="auto"/>
        </w:rPr>
      </w:pPr>
      <w:r>
        <w:rPr>
          <w:rFonts w:ascii="Arial" w:cs="Arial" w:eastAsia="Arial" w:hAnsi="Arial"/>
          <w:sz w:val="15"/>
          <w:szCs w:val="15"/>
          <w:color w:val="auto"/>
        </w:rPr>
        <w:t>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canceled and terminated without any payment or consideration therefor) or, in the case of Restricted Stock, Restricted Stock Units or Other Stock-Based Awards that are not vested as of such cancellation, a cash payment or equity subject to deferred vesting and delivery consistent with the vesting restrictions applicable to such Restricted Stock, Restricted Stock Units or Other Stock-Based Awards prior to cancellation, or the underlying shares in respect thereof;</w:t>
      </w:r>
    </w:p>
    <w:p>
      <w:pPr>
        <w:spacing w:after="0" w:line="248" w:lineRule="exact"/>
        <w:rPr>
          <w:sz w:val="20"/>
          <w:szCs w:val="20"/>
          <w:color w:val="auto"/>
        </w:rPr>
      </w:pPr>
    </w:p>
    <w:p>
      <w:pPr>
        <w:jc w:val="both"/>
        <w:ind w:left="4"/>
        <w:spacing w:after="0" w:line="27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“equity restructuring” (within the meaning of the Financial Accounting Standards Board Statement of Financial Accounting Standards No. 123 (revised 2004)), the Committee shall make an equitable or proportionate adjustment to outstanding Awards to reflect such equity restructuring. Any adjustment in Incentive Stock Options under this Section 11 (other than any cancellation of Incentive Stock Options) shall be made only to the extent not constituting a “modification” within the meaning of Section 424(h)(3) of the Code, and any adjustments under this Section 11 shall be made in a manner that does not adversely affect the exemption provided pursuant to Rule 16b-3 under the Exchange Act, to the extent applicable. The Company shall give each Participant notice of an adjustment hereunder and, upon notice, such adjustment shall be conclusive and binding for all purposes.</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color w:val="auto"/>
        </w:rPr>
        <w:t>Prior to any payment or adjustment contemplated under this Section 11, the Committee may require a Participant to</w:t>
      </w:r>
    </w:p>
    <w:p>
      <w:pPr>
        <w:spacing w:after="0" w:line="22" w:lineRule="exact"/>
        <w:rPr>
          <w:sz w:val="20"/>
          <w:szCs w:val="20"/>
          <w:color w:val="auto"/>
        </w:rPr>
      </w:pPr>
    </w:p>
    <w:p>
      <w:pPr>
        <w:jc w:val="both"/>
        <w:ind w:left="4" w:hanging="4"/>
        <w:spacing w:after="0" w:line="272" w:lineRule="auto"/>
        <w:tabs>
          <w:tab w:leader="none" w:pos="27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represent and warrant as to the unencumbered title to the Participant’s Awards, (B)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(C) deliver customary transfer documentation as reasonably determined by the Committee.</w:t>
      </w:r>
    </w:p>
    <w:p>
      <w:pPr>
        <w:spacing w:after="0" w:line="198" w:lineRule="exact"/>
        <w:rPr>
          <w:rFonts w:ascii="Arial" w:cs="Arial" w:eastAsia="Arial" w:hAnsi="Arial"/>
          <w:sz w:val="16"/>
          <w:szCs w:val="16"/>
          <w:color w:val="auto"/>
        </w:rPr>
      </w:pPr>
    </w:p>
    <w:p>
      <w:pPr>
        <w:jc w:val="both"/>
        <w:ind w:left="4" w:firstLine="644"/>
        <w:spacing w:after="0" w:line="369" w:lineRule="auto"/>
        <w:tabs>
          <w:tab w:leader="none" w:pos="1098" w:val="left"/>
        </w:tabs>
        <w:numPr>
          <w:ilvl w:val="1"/>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to the extent otherwise provided in an Award Agreement, an Employment Agreement or otherwise by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of a Change in Control, notwithstanding any provision of the Plan to the contrary, the Committee may provide that, with respect to all or any portion of a particular outstanding Award or Awards:</w:t>
      </w:r>
    </w:p>
    <w:p>
      <w:pPr>
        <w:spacing w:after="0" w:line="74" w:lineRule="exact"/>
        <w:rPr>
          <w:sz w:val="20"/>
          <w:szCs w:val="20"/>
          <w:color w:val="auto"/>
        </w:rPr>
      </w:pPr>
    </w:p>
    <w:p>
      <w:pPr>
        <w:ind w:left="1064" w:hanging="416"/>
        <w:spacing w:after="0"/>
        <w:tabs>
          <w:tab w:leader="none" w:pos="106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then outstanding Options and SARs shall become immediately exercisable as of a time prior to the Change in Control;</w:t>
      </w:r>
    </w:p>
    <w:p>
      <w:pPr>
        <w:spacing w:after="0" w:line="153" w:lineRule="exact"/>
        <w:rPr>
          <w:rFonts w:ascii="Arial" w:cs="Arial" w:eastAsia="Arial" w:hAnsi="Arial"/>
          <w:sz w:val="16"/>
          <w:szCs w:val="16"/>
          <w:color w:val="auto"/>
        </w:rPr>
      </w:pPr>
    </w:p>
    <w:p>
      <w:pPr>
        <w:ind w:left="884" w:hanging="236"/>
        <w:spacing w:after="0"/>
        <w:tabs>
          <w:tab w:leader="none" w:pos="88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Restricted Period shall expire as of a time prior to the Change in Control; and</w:t>
      </w:r>
    </w:p>
    <w:p>
      <w:pPr>
        <w:spacing w:after="0" w:line="126" w:lineRule="exact"/>
        <w:rPr>
          <w:rFonts w:ascii="Arial" w:cs="Arial" w:eastAsia="Arial" w:hAnsi="Arial"/>
          <w:sz w:val="16"/>
          <w:szCs w:val="16"/>
          <w:color w:val="auto"/>
        </w:rPr>
      </w:pPr>
    </w:p>
    <w:p>
      <w:pPr>
        <w:ind w:left="884" w:hanging="236"/>
        <w:spacing w:after="0"/>
        <w:tabs>
          <w:tab w:leader="none" w:pos="88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cause Awards previously deferred to be settled in full as soon as practicable.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the extent practicable, any actions taken by the Committee under the immediately preceding clauses (a) through</w:t>
      </w:r>
    </w:p>
    <w:p>
      <w:pPr>
        <w:spacing w:after="0" w:line="22" w:lineRule="exact"/>
        <w:rPr>
          <w:sz w:val="20"/>
          <w:szCs w:val="20"/>
          <w:color w:val="auto"/>
        </w:rPr>
      </w:pPr>
    </w:p>
    <w:p>
      <w:pPr>
        <w:ind w:left="4" w:right="20" w:hanging="4"/>
        <w:spacing w:after="0" w:line="288" w:lineRule="auto"/>
        <w:tabs>
          <w:tab w:leader="none" w:pos="22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shall occur in a manner and at a time which allows affected Participants the ability to participate in the Change in Control transactions with respect to the Common Stock subject to their Awards.</w:t>
      </w:r>
    </w:p>
    <w:p>
      <w:pPr>
        <w:sectPr>
          <w:pgSz w:w="11900" w:h="16838" w:orient="portrait"/>
          <w:cols w:equalWidth="0" w:num="1">
            <w:col w:w="11304"/>
          </w:cols>
          <w:pgMar w:left="356" w:top="130" w:right="239" w:bottom="0" w:gutter="0" w:footer="0" w:header="0"/>
        </w:sectPr>
      </w:pPr>
    </w:p>
    <w:bookmarkStart w:id="67" w:name="page68"/>
    <w:bookmarkEnd w:id="67"/>
    <w:p>
      <w:pPr>
        <w:jc w:val="both"/>
        <w:ind w:left="4" w:firstLine="644"/>
        <w:spacing w:after="0" w:line="384" w:lineRule="auto"/>
        <w:tabs>
          <w:tab w:leader="none" w:pos="1098" w:val="left"/>
        </w:tabs>
        <w:numPr>
          <w:ilvl w:val="1"/>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Amendments and Termination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Amendment and Termination of the Plan</w:t>
      </w:r>
      <w:r>
        <w:rPr>
          <w:rFonts w:ascii="Arial" w:cs="Arial" w:eastAsia="Arial" w:hAnsi="Arial"/>
          <w:sz w:val="15"/>
          <w:szCs w:val="15"/>
          <w:color w:val="auto"/>
        </w:rPr>
        <w:t>. The Board may amend, alter, suspend, discontinue, or terminate the Plan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any portion thereof at any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(i) no amendment to Section 13(b) (to the extent required by the proviso in such Section 13(b)) shall be made without stockholder approval and (ii) no such amendment, alteration, suspension, discontinuation or termination shall be made without stockholder approval if such approval is necessary to comply with any tax or regulatory requirement applicable to the Plan (including, without limitation, as necessary to comply with any rules or requirements of any securities exchange or inter-dealer quotation system on which the shares of Common Stock may be listed or quoted);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395" w:lineRule="exact"/>
        <w:rPr>
          <w:rFonts w:ascii="Arial" w:cs="Arial" w:eastAsia="Arial" w:hAnsi="Arial"/>
          <w:sz w:val="15"/>
          <w:szCs w:val="15"/>
          <w:color w:val="auto"/>
        </w:rPr>
      </w:pPr>
    </w:p>
    <w:p>
      <w:pPr>
        <w:jc w:val="both"/>
        <w:ind w:left="4" w:hanging="4"/>
        <w:spacing w:after="0" w:line="270" w:lineRule="auto"/>
        <w:tabs>
          <w:tab w:leader="none" w:pos="233" w:val="left"/>
        </w:tabs>
        <w:numPr>
          <w:ilvl w:val="0"/>
          <w:numId w:val="103"/>
        </w:numPr>
        <w:rPr>
          <w:rFonts w:ascii="Arial" w:cs="Arial" w:eastAsia="Arial" w:hAnsi="Arial"/>
          <w:sz w:val="16"/>
          <w:szCs w:val="16"/>
          <w:color w:val="auto"/>
        </w:rPr>
      </w:pPr>
      <w:r>
        <w:rPr>
          <w:rFonts w:ascii="Arial" w:cs="Arial" w:eastAsia="Arial" w:hAnsi="Arial"/>
          <w:sz w:val="16"/>
          <w:szCs w:val="16"/>
          <w:i w:val="1"/>
          <w:iCs w:val="1"/>
          <w:u w:val="single" w:color="auto"/>
          <w:color w:val="auto"/>
        </w:rPr>
        <w:t>Amendment of Award Agreements</w:t>
      </w:r>
      <w:r>
        <w:rPr>
          <w:rFonts w:ascii="Arial" w:cs="Arial" w:eastAsia="Arial" w:hAnsi="Arial"/>
          <w:sz w:val="16"/>
          <w:szCs w:val="16"/>
          <w:color w:val="auto"/>
        </w:rPr>
        <w:t>. The Committee may, to the extent consistent with the terms of any applicable Award Agreement, waive any conditions or rights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 any terms of, or alter, suspend, discontinue, cancel or terminate, any Award theretofore granted or the associated Award Agreement, prospectively or retroactively;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without stockholder approval to the extent required by the rules of any applicable national securities exchange or inter-dealer quotation system on which the Common Stock is listed or quoted, except as otherwise permitted under Section 11 of the Plan,</w:t>
      </w:r>
    </w:p>
    <w:p>
      <w:pPr>
        <w:spacing w:after="0" w:line="14" w:lineRule="exact"/>
        <w:rPr>
          <w:sz w:val="20"/>
          <w:szCs w:val="20"/>
          <w:color w:val="auto"/>
        </w:rPr>
      </w:pPr>
    </w:p>
    <w:p>
      <w:pPr>
        <w:jc w:val="both"/>
        <w:ind w:left="4" w:hanging="4"/>
        <w:spacing w:after="0" w:line="366" w:lineRule="auto"/>
        <w:tabs>
          <w:tab w:leader="none" w:pos="4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 amendment or modification may reduce the Exercise Price of any Option or the Strike Price of any SAR, (ii) the Committee may not cancel any outstanding Option or SAR and replace it with a new Option or SAR, another Award or cash and (iii) the Committee may not take any other action that is considered a “repricing” for purposes of the stockholder approval rules of the applicable securities exchange or inter-dealer quotation system.</w:t>
      </w:r>
    </w:p>
    <w:p>
      <w:pPr>
        <w:spacing w:after="0" w:line="153" w:lineRule="exact"/>
        <w:rPr>
          <w:rFonts w:ascii="Arial" w:cs="Arial" w:eastAsia="Arial" w:hAnsi="Arial"/>
          <w:sz w:val="16"/>
          <w:szCs w:val="16"/>
          <w:color w:val="auto"/>
        </w:rPr>
      </w:pPr>
    </w:p>
    <w:p>
      <w:pPr>
        <w:jc w:val="both"/>
        <w:ind w:left="4" w:firstLine="644"/>
        <w:spacing w:after="0" w:line="356" w:lineRule="auto"/>
        <w:tabs>
          <w:tab w:leader="none" w:pos="1098" w:val="left"/>
        </w:tabs>
        <w:numPr>
          <w:ilvl w:val="1"/>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Notwithstanding anything herein to the contrary, this Plan and any Awards granted hereunder are intended to be interpreted and applied 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payments and benefits set forth thereunder either shall either be exempt from the requirements of Code Section 409A and the final Treasury Regulations promulgated thereunder (the “Final Treasury Regulations” and together with Section 409A of the Code, “Section 409A”), or shall comply with the requirements of Section 409A, and, accordingly, to the maximum extent permitted, this Agreement shall be interpreted to be exempt from or in compliance with Section 409A. To the extent that the Company determines that any provision of this Plan or any Award granted hereunder would cause a Participant to incur any additional tax or interest under Section 409A, the Company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w:t>
      </w:r>
    </w:p>
    <w:p>
      <w:pPr>
        <w:spacing w:after="0" w:line="165" w:lineRule="exact"/>
        <w:rPr>
          <w:sz w:val="20"/>
          <w:szCs w:val="20"/>
          <w:color w:val="auto"/>
        </w:rPr>
      </w:pPr>
    </w:p>
    <w:p>
      <w:pPr>
        <w:jc w:val="both"/>
        <w:ind w:left="4" w:hanging="4"/>
        <w:spacing w:after="0" w:line="366" w:lineRule="auto"/>
        <w:tabs>
          <w:tab w:leader="none" w:pos="47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Except as otherwise specifically provided, amounts payable under an Award, other than those expressly payable on a deferred or installment basis, will be paid as promptly as practicable following the date they are earned and vested and, in any event, on or prior to March 15 of the year following the first calendar year in which such amounts are no longer subject to a substantial risk of forfeiture, as such term is defined in Section 409A.</w:t>
      </w:r>
    </w:p>
    <w:p>
      <w:pPr>
        <w:spacing w:after="0" w:line="157" w:lineRule="exact"/>
        <w:rPr>
          <w:rFonts w:ascii="Arial" w:cs="Arial" w:eastAsia="Arial" w:hAnsi="Arial"/>
          <w:sz w:val="16"/>
          <w:szCs w:val="16"/>
          <w:color w:val="auto"/>
        </w:rPr>
      </w:pPr>
    </w:p>
    <w:p>
      <w:pPr>
        <w:jc w:val="both"/>
        <w:ind w:left="4" w:hanging="4"/>
        <w:spacing w:after="0" w:line="387" w:lineRule="auto"/>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Notwithstanding anything in this Plan or any Award Agreement to the contrary, a termination of employment shall not be deemed to have occurred for purposes of any provision any Award providing for the payment of any amounts or benefits that constitute “non-qualified deferred compensation” within the meaning of Section 409Aupon or following a termination of a Participant’s employment unless such termination is also a “separation from service” within the meaning of Section 409A and, for purposes of any such provision of this Plan or any Award Agreement, references to a “termination,” “termination of employment” or like terms shall mean “separation from service” and the date of such separation from service shall be the date of termination for purposes of any such payment or benefits.</w:t>
      </w:r>
    </w:p>
    <w:p>
      <w:pPr>
        <w:spacing w:after="0" w:line="148" w:lineRule="exact"/>
        <w:rPr>
          <w:rFonts w:ascii="Arial" w:cs="Arial" w:eastAsia="Arial" w:hAnsi="Arial"/>
          <w:sz w:val="15"/>
          <w:szCs w:val="15"/>
          <w:color w:val="auto"/>
        </w:rPr>
      </w:pPr>
    </w:p>
    <w:p>
      <w:pPr>
        <w:ind w:left="464" w:hanging="464"/>
        <w:spacing w:after="0"/>
        <w:tabs>
          <w:tab w:leader="none" w:pos="46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Each payment in a series of payments made under this Plan and any Awards granted hereunder shall be deemed to be a separate payment for purposes of Section</w:t>
      </w:r>
    </w:p>
    <w:p>
      <w:pPr>
        <w:spacing w:after="0" w:line="109"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409A.</w:t>
      </w:r>
    </w:p>
    <w:p>
      <w:pPr>
        <w:spacing w:after="0" w:line="275" w:lineRule="exact"/>
        <w:rPr>
          <w:rFonts w:ascii="Arial" w:cs="Arial" w:eastAsia="Arial" w:hAnsi="Arial"/>
          <w:sz w:val="14"/>
          <w:szCs w:val="14"/>
          <w:color w:val="auto"/>
        </w:rPr>
      </w:pPr>
    </w:p>
    <w:p>
      <w:pPr>
        <w:jc w:val="both"/>
        <w:ind w:left="4" w:hanging="4"/>
        <w:spacing w:after="0" w:line="383" w:lineRule="auto"/>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xml:space="preserve">Notwithstanding any provision in this Plan or any Award Agreement to the contrary, if upon a termination employment a Participant is deemed to be a “specified employee” within the meaning of Section 409A using the identification methodology selected by the Company from time to time, or if none, the default methodology under Section 409A, any payments or benefits due upon a termination of Executive’s employment under any arrangement that constitutes a “deferral of compensation” within the meaning of Section 409A shall be delayed and paid or provided (or commence, in the case of installments) on the first payroll date on or following the earlier of (i) the date which is six (6) months and one (1) day after Employee’s termination of employment for any reason other than death (the “Delayed Payment Date”), and (ii) the date of Executive’s death, and any remaining payments and benefits shall be paid or provided in accordance with the normal payment dates specified for such payment or benefit;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payments or benefits that qualify as short-term deferral (within the meaning of Section 409A and Final Treasury</w:t>
      </w:r>
    </w:p>
    <w:p>
      <w:pPr>
        <w:spacing w:after="0" w:line="396" w:lineRule="exact"/>
        <w:rPr>
          <w:sz w:val="20"/>
          <w:szCs w:val="20"/>
          <w:color w:val="auto"/>
        </w:rPr>
      </w:pPr>
    </w:p>
    <w:p>
      <w:pPr>
        <w:jc w:val="both"/>
        <w:ind w:left="4"/>
        <w:spacing w:after="0" w:line="271" w:lineRule="auto"/>
        <w:rPr>
          <w:sz w:val="20"/>
          <w:szCs w:val="20"/>
          <w:color w:val="auto"/>
        </w:rPr>
      </w:pPr>
      <w:r>
        <w:rPr>
          <w:rFonts w:ascii="Arial" w:cs="Arial" w:eastAsia="Arial" w:hAnsi="Arial"/>
          <w:sz w:val="16"/>
          <w:szCs w:val="16"/>
          <w:color w:val="auto"/>
        </w:rPr>
        <w:t>Regulations Section 1.409A-1(b)(4)) or involuntary separation pay (within the meaning of Section 409A and Final Treasury Regulations Section 1.409A-1(b)(9)(iii)(A)) and are otherwise permissible under Section 409A and the Final Treasury Regulations, shall not be subject to such six-month delay. On the Delayed Payment Date, the Company will pay to Employee a lump sum equal to all amounts that would have been paid during the period of the delay if the delay were not required plus interest on such amount at a rate equal to the short-term applicable federal rate then in effect, and will thereafter continue to pay Employee the Severance Payment in installments in accordance with this Section.</w:t>
      </w:r>
    </w:p>
    <w:p>
      <w:pPr>
        <w:spacing w:after="0" w:line="204" w:lineRule="exact"/>
        <w:rPr>
          <w:sz w:val="20"/>
          <w:szCs w:val="20"/>
          <w:color w:val="auto"/>
        </w:rPr>
      </w:pPr>
    </w:p>
    <w:p>
      <w:pPr>
        <w:jc w:val="both"/>
        <w:ind w:left="4" w:hanging="4"/>
        <w:spacing w:after="0" w:line="362" w:lineRule="auto"/>
        <w:tabs>
          <w:tab w:leader="none" w:pos="45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permitted under Section 409A, any deferred compensation payable to a Participant or for a Participant’s benefit under this Plan and grants hereunder may not be reduced by, or offset against, any amount owing by a Participant to the any member of Company Group.</w:t>
      </w:r>
    </w:p>
    <w:p>
      <w:pPr>
        <w:spacing w:after="0" w:line="159" w:lineRule="exact"/>
        <w:rPr>
          <w:rFonts w:ascii="Arial" w:cs="Arial" w:eastAsia="Arial" w:hAnsi="Arial"/>
          <w:sz w:val="16"/>
          <w:szCs w:val="16"/>
          <w:color w:val="auto"/>
        </w:rPr>
      </w:pPr>
    </w:p>
    <w:p>
      <w:pPr>
        <w:ind w:left="4" w:hanging="4"/>
        <w:spacing w:after="0" w:line="381" w:lineRule="auto"/>
        <w:tabs>
          <w:tab w:leader="none" w:pos="47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 member of the Company Group, nor any employee, director or officer thereof guarantees that this Plan or any Award granted hereunder complies with, or is exempt from, Section 409A and none of the foregoing shall have any liability with respect to any failure to so comply or to be so exempt.</w:t>
      </w:r>
    </w:p>
    <w:p>
      <w:pPr>
        <w:sectPr>
          <w:pgSz w:w="11900" w:h="16838" w:orient="portrait"/>
          <w:cols w:equalWidth="0" w:num="1">
            <w:col w:w="11304"/>
          </w:cols>
          <w:pgMar w:left="356" w:top="166" w:right="239" w:bottom="0" w:gutter="0" w:footer="0" w:header="0"/>
        </w:sectPr>
      </w:pPr>
    </w:p>
    <w:bookmarkStart w:id="68" w:name="page69"/>
    <w:bookmarkEnd w:id="68"/>
    <w:p>
      <w:pPr>
        <w:jc w:val="both"/>
        <w:ind w:left="4" w:firstLine="644"/>
        <w:spacing w:after="0" w:line="393" w:lineRule="auto"/>
        <w:tabs>
          <w:tab w:leader="none" w:pos="1098" w:val="left"/>
        </w:tabs>
        <w:numPr>
          <w:ilvl w:val="1"/>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General</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Award Agreements</w:t>
      </w:r>
      <w:r>
        <w:rPr>
          <w:rFonts w:ascii="Arial" w:cs="Arial" w:eastAsia="Arial" w:hAnsi="Arial"/>
          <w:sz w:val="15"/>
          <w:szCs w:val="15"/>
          <w:color w:val="auto"/>
        </w:rPr>
        <w:t>. Other than Cash-Based Awards, each Award under the Plan shall be evidenced by an Award Agreement, which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delivered to the Participant (whether in paper or electronic medium (including email or the posting on a web site maintained by the Company or a third party under contract with the Company)) and shall specify the terms and conditions of the Award any rules applicable thereto, including without limitation, the effect on such Award of the death, disability or termination of employment or service of a Participant, or of such other events as may be determined by the Committee.</w:t>
      </w:r>
    </w:p>
    <w:p>
      <w:pPr>
        <w:spacing w:after="0" w:line="143" w:lineRule="exact"/>
        <w:rPr>
          <w:rFonts w:ascii="Arial" w:cs="Arial" w:eastAsia="Arial" w:hAnsi="Arial"/>
          <w:sz w:val="15"/>
          <w:szCs w:val="15"/>
          <w:color w:val="auto"/>
        </w:rPr>
      </w:pPr>
    </w:p>
    <w:p>
      <w:pPr>
        <w:jc w:val="both"/>
        <w:ind w:left="4" w:hanging="4"/>
        <w:spacing w:after="0" w:line="359" w:lineRule="auto"/>
        <w:tabs>
          <w:tab w:leader="none" w:pos="477" w:val="left"/>
        </w:tabs>
        <w:numPr>
          <w:ilvl w:val="0"/>
          <w:numId w:val="108"/>
        </w:numPr>
        <w:rPr>
          <w:rFonts w:ascii="Arial" w:cs="Arial" w:eastAsia="Arial" w:hAnsi="Arial"/>
          <w:sz w:val="16"/>
          <w:szCs w:val="16"/>
          <w:color w:val="auto"/>
        </w:rPr>
      </w:pPr>
      <w:r>
        <w:rPr>
          <w:rFonts w:ascii="Arial" w:cs="Arial" w:eastAsia="Arial" w:hAnsi="Arial"/>
          <w:sz w:val="16"/>
          <w:szCs w:val="16"/>
          <w:i w:val="1"/>
          <w:iCs w:val="1"/>
          <w:u w:val="single" w:color="auto"/>
          <w:color w:val="auto"/>
        </w:rPr>
        <w:t>Nontransferability</w:t>
      </w:r>
      <w:r>
        <w:rPr>
          <w:rFonts w:ascii="Arial" w:cs="Arial" w:eastAsia="Arial" w:hAnsi="Arial"/>
          <w:sz w:val="16"/>
          <w:szCs w:val="16"/>
          <w:color w:val="auto"/>
        </w:rPr>
        <w:t>. (i) Each Award shall be exercisable only by a Participant during the Participant’s lifetime, or, if permissible under applicable law,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any member of the Company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designation of a beneficiary shall not constitute an assignment, alienation, pledge, attachment, sale, transfer or encumbrance.</w:t>
      </w:r>
    </w:p>
    <w:p>
      <w:pPr>
        <w:spacing w:after="0" w:line="164" w:lineRule="exact"/>
        <w:rPr>
          <w:sz w:val="20"/>
          <w:szCs w:val="20"/>
          <w:color w:val="auto"/>
        </w:rPr>
      </w:pPr>
    </w:p>
    <w:p>
      <w:pPr>
        <w:jc w:val="both"/>
        <w:ind w:left="4" w:hanging="4"/>
        <w:spacing w:after="0" w:line="366" w:lineRule="auto"/>
        <w:tabs>
          <w:tab w:leader="none" w:pos="44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Arial" w:cs="Arial" w:eastAsia="Arial" w:hAnsi="Arial"/>
          <w:sz w:val="15"/>
          <w:szCs w:val="15"/>
          <w:b w:val="1"/>
          <w:bCs w:val="1"/>
          <w:color w:val="auto"/>
        </w:rPr>
        <w:t>Immediate Family</w:t>
      </w:r>
      <w:r>
        <w:rPr>
          <w:rFonts w:ascii="Arial" w:cs="Arial" w:eastAsia="Arial" w:hAnsi="Arial"/>
          <w:sz w:val="15"/>
          <w:szCs w:val="15"/>
          <w:color w:val="auto"/>
        </w:rPr>
        <w:t xml:space="preserve"> </w:t>
      </w:r>
      <w:r>
        <w:rPr>
          <w:rFonts w:ascii="Arial" w:cs="Arial" w:eastAsia="Arial" w:hAnsi="Arial"/>
          <w:sz w:val="15"/>
          <w:szCs w:val="15"/>
          <w:b w:val="1"/>
          <w:bCs w:val="1"/>
          <w:color w:val="auto"/>
        </w:rPr>
        <w:t>Members</w:t>
      </w:r>
      <w:r>
        <w:rPr>
          <w:rFonts w:ascii="Arial" w:cs="Arial" w:eastAsia="Arial" w:hAnsi="Arial"/>
          <w:sz w:val="15"/>
          <w:szCs w:val="15"/>
          <w:color w:val="auto"/>
        </w:rPr>
        <w:t>”); (B) a trust solely for the benefit of the Participant and his or her Immediate Family Members; or (C) a partnership or limited liability company whose only</w:t>
      </w:r>
      <w:r>
        <w:rPr>
          <w:rFonts w:ascii="Arial" w:cs="Arial" w:eastAsia="Arial" w:hAnsi="Arial"/>
          <w:sz w:val="15"/>
          <w:szCs w:val="15"/>
          <w:b w:val="1"/>
          <w:bCs w:val="1"/>
          <w:color w:val="auto"/>
        </w:rPr>
        <w:t xml:space="preserve"> </w:t>
      </w:r>
      <w:r>
        <w:rPr>
          <w:rFonts w:ascii="Arial" w:cs="Arial" w:eastAsia="Arial" w:hAnsi="Arial"/>
          <w:sz w:val="15"/>
          <w:szCs w:val="15"/>
          <w:color w:val="auto"/>
        </w:rPr>
        <w:t>partners or stockholders are the Participant and his or her Immediate Family Members; or (D) any other transferee as may be approved either</w:t>
      </w:r>
    </w:p>
    <w:p>
      <w:pPr>
        <w:spacing w:after="0" w:line="35" w:lineRule="exact"/>
        <w:rPr>
          <w:sz w:val="20"/>
          <w:szCs w:val="20"/>
          <w:color w:val="auto"/>
        </w:rPr>
      </w:pPr>
    </w:p>
    <w:p>
      <w:pPr>
        <w:jc w:val="both"/>
        <w:ind w:left="4" w:hanging="4"/>
        <w:spacing w:after="0" w:line="319" w:lineRule="auto"/>
        <w:tabs>
          <w:tab w:leader="none" w:pos="395" w:val="left"/>
        </w:tabs>
        <w:numPr>
          <w:ilvl w:val="0"/>
          <w:numId w:val="110"/>
        </w:numPr>
        <w:rPr>
          <w:rFonts w:ascii="Arial" w:cs="Arial" w:eastAsia="Arial" w:hAnsi="Arial"/>
          <w:sz w:val="19"/>
          <w:szCs w:val="19"/>
          <w:color w:val="auto"/>
        </w:rPr>
      </w:pPr>
      <w:r>
        <w:rPr>
          <w:rFonts w:ascii="Arial" w:cs="Arial" w:eastAsia="Arial" w:hAnsi="Arial"/>
          <w:sz w:val="15"/>
          <w:szCs w:val="15"/>
          <w:color w:val="auto"/>
        </w:rPr>
        <w:t>by the Board or the Committee in its sole discretion, or (II) as provided in the applicable Award Agreement (each transferee described in clauses (A), (B) (C) and (D) above is hereinafter referred to as a “</w:t>
      </w:r>
      <w:r>
        <w:rPr>
          <w:rFonts w:ascii="Arial" w:cs="Arial" w:eastAsia="Arial" w:hAnsi="Arial"/>
          <w:sz w:val="15"/>
          <w:szCs w:val="15"/>
          <w:b w:val="1"/>
          <w:bCs w:val="1"/>
          <w:color w:val="auto"/>
        </w:rPr>
        <w:t>Permitted Transferee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83" w:lineRule="exact"/>
        <w:rPr>
          <w:sz w:val="20"/>
          <w:szCs w:val="20"/>
          <w:color w:val="auto"/>
        </w:rPr>
      </w:pPr>
    </w:p>
    <w:p>
      <w:pPr>
        <w:jc w:val="both"/>
        <w:ind w:left="4" w:hanging="4"/>
        <w:spacing w:after="0" w:line="358" w:lineRule="auto"/>
        <w:tabs>
          <w:tab w:leader="none" w:pos="49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such notice is or would otherwise have been required to be given to the Participant under the Plan or otherwise; and</w:t>
      </w:r>
    </w:p>
    <w:p>
      <w:pPr>
        <w:spacing w:after="0" w:line="22" w:lineRule="exact"/>
        <w:rPr>
          <w:sz w:val="20"/>
          <w:szCs w:val="20"/>
          <w:color w:val="auto"/>
        </w:rPr>
      </w:pPr>
    </w:p>
    <w:p>
      <w:pPr>
        <w:jc w:val="both"/>
        <w:ind w:left="4" w:hanging="4"/>
        <w:spacing w:after="0" w:line="276" w:lineRule="auto"/>
        <w:tabs>
          <w:tab w:leader="none" w:pos="27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consequences of the termination of the Participant’s employment by, or services to, any member of the Company Group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99" w:lineRule="exact"/>
        <w:rPr>
          <w:sz w:val="20"/>
          <w:szCs w:val="20"/>
          <w:color w:val="auto"/>
        </w:rPr>
      </w:pPr>
    </w:p>
    <w:p>
      <w:pPr>
        <w:jc w:val="both"/>
        <w:ind w:left="4" w:hanging="4"/>
        <w:spacing w:after="0" w:line="359" w:lineRule="auto"/>
        <w:tabs>
          <w:tab w:leader="none" w:pos="467" w:val="left"/>
        </w:tabs>
        <w:numPr>
          <w:ilvl w:val="0"/>
          <w:numId w:val="113"/>
        </w:numPr>
        <w:rPr>
          <w:rFonts w:ascii="Arial" w:cs="Arial" w:eastAsia="Arial" w:hAnsi="Arial"/>
          <w:sz w:val="16"/>
          <w:szCs w:val="16"/>
          <w:color w:val="auto"/>
        </w:rPr>
      </w:pPr>
      <w:r>
        <w:rPr>
          <w:rFonts w:ascii="Arial" w:cs="Arial" w:eastAsia="Arial" w:hAnsi="Arial"/>
          <w:sz w:val="16"/>
          <w:szCs w:val="16"/>
          <w:i w:val="1"/>
          <w:iCs w:val="1"/>
          <w:u w:val="single" w:color="auto"/>
          <w:color w:val="auto"/>
        </w:rPr>
        <w:t>Tax Withholding</w:t>
      </w:r>
      <w:r>
        <w:rPr>
          <w:rFonts w:ascii="Arial" w:cs="Arial" w:eastAsia="Arial" w:hAnsi="Arial"/>
          <w:sz w:val="16"/>
          <w:szCs w:val="16"/>
          <w:color w:val="auto"/>
        </w:rPr>
        <w:t>. (i) A Participant shall be required to pay to any member of the Company Group, and any member of the Company Group shall have the right and is</w:t>
      </w:r>
      <w:r>
        <w:rPr>
          <w:rFonts w:ascii="Arial" w:cs="Arial" w:eastAsia="Arial" w:hAnsi="Arial"/>
          <w:sz w:val="16"/>
          <w:szCs w:val="16"/>
          <w:i w:val="1"/>
          <w:iCs w:val="1"/>
          <w:color w:val="auto"/>
        </w:rPr>
        <w:t xml:space="preserve"> </w:t>
      </w:r>
      <w:r>
        <w:rPr>
          <w:rFonts w:ascii="Arial" w:cs="Arial" w:eastAsia="Arial" w:hAnsi="Arial"/>
          <w:sz w:val="16"/>
          <w:szCs w:val="16"/>
          <w:color w:val="auto"/>
        </w:rPr>
        <w:t>hereby authorized to withhold, from any cash, shares of Common Stock, other securities or other property deliverable under any Award or from any compensation or other amounts owing to a Participant, the amount (in cash, Common Stock,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and taxes.</w:t>
      </w:r>
    </w:p>
    <w:p>
      <w:pPr>
        <w:spacing w:after="0" w:line="123" w:lineRule="exact"/>
        <w:rPr>
          <w:sz w:val="20"/>
          <w:szCs w:val="20"/>
          <w:color w:val="auto"/>
        </w:rPr>
      </w:pPr>
    </w:p>
    <w:p>
      <w:pPr>
        <w:jc w:val="both"/>
        <w:ind w:left="4" w:hanging="4"/>
        <w:spacing w:after="0" w:line="270" w:lineRule="auto"/>
        <w:tabs>
          <w:tab w:leader="none" w:pos="24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clause (i) above, the Committee may, in its sole discretion, permit a Participant to satisfy, in whole or in part, the foregoing withholding liability by (A) the delivery of shares of Common Stock (which are not subject to any pledge or other security interest and are Mature Shares) owned by the Participant having a Fair Market Value equal to such withholding liability or (B) having the Company withhold from the number of shares of Common Stock otherwise issuable or deliverable pursuant to the exercise or settlement of the Award a number of shares with a Fair Market Value equal to such withholding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with respect to shares withheld pursuant to clause (B), the number of such shares may not have a Fair Market Value greater than the minimum required statutory withholding liability unless determined by the Committee not to result in adverse accounting consequences.</w:t>
      </w:r>
    </w:p>
    <w:p>
      <w:pPr>
        <w:spacing w:after="0" w:line="203" w:lineRule="exact"/>
        <w:rPr>
          <w:sz w:val="20"/>
          <w:szCs w:val="20"/>
          <w:color w:val="auto"/>
        </w:rPr>
      </w:pPr>
    </w:p>
    <w:p>
      <w:pPr>
        <w:jc w:val="both"/>
        <w:ind w:left="4" w:hanging="4"/>
        <w:spacing w:after="0" w:line="356" w:lineRule="auto"/>
        <w:tabs>
          <w:tab w:leader="none" w:pos="477" w:val="left"/>
        </w:tabs>
        <w:numPr>
          <w:ilvl w:val="0"/>
          <w:numId w:val="115"/>
        </w:numPr>
        <w:rPr>
          <w:rFonts w:ascii="Arial" w:cs="Arial" w:eastAsia="Arial" w:hAnsi="Arial"/>
          <w:sz w:val="16"/>
          <w:szCs w:val="16"/>
          <w:color w:val="auto"/>
        </w:rPr>
      </w:pPr>
      <w:r>
        <w:rPr>
          <w:rFonts w:ascii="Arial" w:cs="Arial" w:eastAsia="Arial" w:hAnsi="Arial"/>
          <w:sz w:val="16"/>
          <w:szCs w:val="16"/>
          <w:i w:val="1"/>
          <w:iCs w:val="1"/>
          <w:u w:val="single" w:color="auto"/>
          <w:color w:val="auto"/>
        </w:rPr>
        <w:t>No Claim to Awards; No Rights to Continued Employment; Waiver</w:t>
      </w:r>
      <w:r>
        <w:rPr>
          <w:rFonts w:ascii="Arial" w:cs="Arial" w:eastAsia="Arial" w:hAnsi="Arial"/>
          <w:sz w:val="16"/>
          <w:szCs w:val="16"/>
          <w:color w:val="auto"/>
        </w:rPr>
        <w:t>. No employee of any member of the Company Group, or other person, shall have any claim or</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any member of the Company Group, nor shall it be construed as giving any Participant any rights to continued service on the Board. Any member of the Company Group may at any time dismiss a Participant from employment or discontinue any consulting relationship, free from any liability or any claim under the Plan, unless otherwise expressly provided in the Plan or any Award Agreement.</w:t>
      </w:r>
    </w:p>
    <w:p>
      <w:pPr>
        <w:spacing w:after="0" w:line="166" w:lineRule="exact"/>
        <w:rPr>
          <w:rFonts w:ascii="Arial" w:cs="Arial" w:eastAsia="Arial" w:hAnsi="Arial"/>
          <w:sz w:val="16"/>
          <w:szCs w:val="16"/>
          <w:color w:val="auto"/>
        </w:rPr>
      </w:pPr>
    </w:p>
    <w:p>
      <w:pPr>
        <w:jc w:val="both"/>
        <w:ind w:left="4" w:hanging="4"/>
        <w:spacing w:after="0" w:line="436" w:lineRule="auto"/>
        <w:tabs>
          <w:tab w:leader="none" w:pos="467" w:val="left"/>
        </w:tabs>
        <w:numPr>
          <w:ilvl w:val="0"/>
          <w:numId w:val="115"/>
        </w:numPr>
        <w:rPr>
          <w:rFonts w:ascii="Arial" w:cs="Arial" w:eastAsia="Arial" w:hAnsi="Arial"/>
          <w:sz w:val="14"/>
          <w:szCs w:val="14"/>
          <w:color w:val="auto"/>
        </w:rPr>
      </w:pPr>
      <w:r>
        <w:rPr>
          <w:rFonts w:ascii="Arial" w:cs="Arial" w:eastAsia="Arial" w:hAnsi="Arial"/>
          <w:sz w:val="14"/>
          <w:szCs w:val="14"/>
          <w:i w:val="1"/>
          <w:iCs w:val="1"/>
          <w:u w:val="single" w:color="auto"/>
          <w:color w:val="auto"/>
        </w:rPr>
        <w:t>Participants</w:t>
      </w:r>
      <w:r>
        <w:rPr>
          <w:rFonts w:ascii="Arial" w:cs="Arial" w:eastAsia="Arial" w:hAnsi="Arial"/>
          <w:sz w:val="14"/>
          <w:szCs w:val="14"/>
          <w:color w:val="auto"/>
        </w:rPr>
        <w:t>. Subject to the shareholder approval requirements under Section 13, with respect to Participants who reside or work outside of the United States of</w:t>
      </w:r>
      <w:r>
        <w:rPr>
          <w:rFonts w:ascii="Arial" w:cs="Arial" w:eastAsia="Arial" w:hAnsi="Arial"/>
          <w:sz w:val="14"/>
          <w:szCs w:val="14"/>
          <w:i w:val="1"/>
          <w:iCs w:val="1"/>
          <w:color w:val="auto"/>
        </w:rPr>
        <w:t xml:space="preserve"> </w:t>
      </w:r>
      <w:r>
        <w:rPr>
          <w:rFonts w:ascii="Arial" w:cs="Arial" w:eastAsia="Arial" w:hAnsi="Arial"/>
          <w:sz w:val="14"/>
          <w:szCs w:val="14"/>
          <w:color w:val="auto"/>
        </w:rPr>
        <w:t>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pacing w:after="0" w:line="121" w:lineRule="exact"/>
        <w:rPr>
          <w:rFonts w:ascii="Arial" w:cs="Arial" w:eastAsia="Arial" w:hAnsi="Arial"/>
          <w:sz w:val="14"/>
          <w:szCs w:val="14"/>
          <w:color w:val="auto"/>
        </w:rPr>
      </w:pPr>
    </w:p>
    <w:p>
      <w:pPr>
        <w:jc w:val="both"/>
        <w:ind w:left="4" w:hanging="4"/>
        <w:spacing w:after="0" w:line="385" w:lineRule="auto"/>
        <w:tabs>
          <w:tab w:leader="none" w:pos="450" w:val="left"/>
        </w:tabs>
        <w:numPr>
          <w:ilvl w:val="0"/>
          <w:numId w:val="115"/>
        </w:numPr>
        <w:rPr>
          <w:rFonts w:ascii="Arial" w:cs="Arial" w:eastAsia="Arial" w:hAnsi="Arial"/>
          <w:sz w:val="15"/>
          <w:szCs w:val="15"/>
          <w:color w:val="auto"/>
        </w:rPr>
      </w:pPr>
      <w:r>
        <w:rPr>
          <w:rFonts w:ascii="Arial" w:cs="Arial" w:eastAsia="Arial" w:hAnsi="Arial"/>
          <w:sz w:val="15"/>
          <w:szCs w:val="15"/>
          <w:i w:val="1"/>
          <w:iCs w:val="1"/>
          <w:u w:val="single" w:color="auto"/>
          <w:color w:val="auto"/>
        </w:rPr>
        <w:t>Designation and Change of Beneficiary</w:t>
      </w:r>
      <w:r>
        <w:rPr>
          <w:rFonts w:ascii="Arial" w:cs="Arial" w:eastAsia="Arial" w:hAnsi="Arial"/>
          <w:sz w:val="15"/>
          <w:szCs w:val="15"/>
          <w:color w:val="auto"/>
        </w:rPr>
        <w:t>. Each Participant may file with the Committee a written designation of one or more persons as the beneficiary(ies) who shall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 entitled to receive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ectPr>
          <w:pgSz w:w="11900" w:h="16838" w:orient="portrait"/>
          <w:cols w:equalWidth="0" w:num="1">
            <w:col w:w="11304"/>
          </w:cols>
          <w:pgMar w:left="356" w:top="166" w:right="239" w:bottom="0" w:gutter="0" w:footer="0" w:header="0"/>
        </w:sectPr>
      </w:pPr>
    </w:p>
    <w:bookmarkStart w:id="69" w:name="page70"/>
    <w:bookmarkEnd w:id="69"/>
    <w:p>
      <w:pPr>
        <w:jc w:val="both"/>
        <w:ind w:left="4" w:hanging="4"/>
        <w:spacing w:after="0" w:line="366" w:lineRule="auto"/>
        <w:tabs>
          <w:tab w:leader="none" w:pos="477" w:val="left"/>
        </w:tabs>
        <w:numPr>
          <w:ilvl w:val="0"/>
          <w:numId w:val="116"/>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of Employment/Service</w:t>
      </w:r>
      <w:r>
        <w:rPr>
          <w:rFonts w:ascii="Arial" w:cs="Arial" w:eastAsia="Arial" w:hAnsi="Arial"/>
          <w:sz w:val="16"/>
          <w:szCs w:val="16"/>
          <w:color w:val="auto"/>
        </w:rPr>
        <w:t>. Unless determined otherwise by the Committee at any point following such event: (i) neither a temporary absence from</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service due to illness, vacation or leave of absence nor a transfer from employment or service with the Company to employment or service with a Subsidiary or an affiliate of</w:t>
      </w:r>
    </w:p>
    <w:p>
      <w:pPr>
        <w:spacing w:after="0" w:line="200" w:lineRule="exact"/>
        <w:rPr>
          <w:sz w:val="20"/>
          <w:szCs w:val="20"/>
          <w:color w:val="auto"/>
        </w:rPr>
      </w:pPr>
    </w:p>
    <w:p>
      <w:pPr>
        <w:spacing w:after="0" w:line="201" w:lineRule="exact"/>
        <w:rPr>
          <w:sz w:val="20"/>
          <w:szCs w:val="20"/>
          <w:color w:val="auto"/>
        </w:rPr>
      </w:pPr>
    </w:p>
    <w:p>
      <w:pPr>
        <w:jc w:val="both"/>
        <w:ind w:left="4"/>
        <w:spacing w:after="0" w:line="278" w:lineRule="auto"/>
        <w:rPr>
          <w:sz w:val="20"/>
          <w:szCs w:val="20"/>
          <w:color w:val="auto"/>
        </w:rPr>
      </w:pPr>
      <w:r>
        <w:rPr>
          <w:rFonts w:ascii="Arial" w:cs="Arial" w:eastAsia="Arial" w:hAnsi="Arial"/>
          <w:sz w:val="16"/>
          <w:szCs w:val="16"/>
          <w:color w:val="auto"/>
        </w:rPr>
        <w:t>the Company shall be considered a termination of employment or service with any member of the Company Group; and (ii) if a Participant’s employment with the Company Group terminates, but such Participant continues to provide services to the Company Group in a non-employee capacity, such change in status shall not be considered a termination of employment with any member of the Company Group.</w:t>
      </w:r>
    </w:p>
    <w:p>
      <w:pPr>
        <w:spacing w:after="0" w:line="198" w:lineRule="exact"/>
        <w:rPr>
          <w:sz w:val="20"/>
          <w:szCs w:val="20"/>
          <w:color w:val="auto"/>
        </w:rPr>
      </w:pPr>
    </w:p>
    <w:p>
      <w:pPr>
        <w:ind w:left="4" w:hanging="4"/>
        <w:spacing w:after="0" w:line="381" w:lineRule="auto"/>
        <w:tabs>
          <w:tab w:leader="none" w:pos="477" w:val="left"/>
        </w:tabs>
        <w:numPr>
          <w:ilvl w:val="0"/>
          <w:numId w:val="117"/>
        </w:numPr>
        <w:rPr>
          <w:rFonts w:ascii="Arial" w:cs="Arial" w:eastAsia="Arial" w:hAnsi="Arial"/>
          <w:sz w:val="16"/>
          <w:szCs w:val="16"/>
          <w:color w:val="auto"/>
        </w:rPr>
      </w:pPr>
      <w:r>
        <w:rPr>
          <w:rFonts w:ascii="Arial" w:cs="Arial" w:eastAsia="Arial" w:hAnsi="Arial"/>
          <w:sz w:val="16"/>
          <w:szCs w:val="16"/>
          <w:i w:val="1"/>
          <w:iCs w:val="1"/>
          <w:u w:val="single" w:color="auto"/>
          <w:color w:val="auto"/>
        </w:rPr>
        <w:t>No Rights as a Stockholder</w:t>
      </w:r>
      <w:r>
        <w:rPr>
          <w:rFonts w:ascii="Arial" w:cs="Arial" w:eastAsia="Arial" w:hAnsi="Arial"/>
          <w:sz w:val="16"/>
          <w:szCs w:val="16"/>
          <w:color w:val="auto"/>
        </w:rPr>
        <w:t>. Except as otherwise specifically provided in the Plan or any Award Agreement, no person shall be entitled to the privileges of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 respect of shares of Common Stock that are subject to Awards hereunder until such shares have been issued or delivered to that person.</w:t>
      </w:r>
    </w:p>
    <w:p>
      <w:pPr>
        <w:spacing w:after="0" w:line="145" w:lineRule="exact"/>
        <w:rPr>
          <w:rFonts w:ascii="Arial" w:cs="Arial" w:eastAsia="Arial" w:hAnsi="Arial"/>
          <w:sz w:val="16"/>
          <w:szCs w:val="16"/>
          <w:color w:val="auto"/>
        </w:rPr>
      </w:pPr>
    </w:p>
    <w:p>
      <w:pPr>
        <w:jc w:val="both"/>
        <w:ind w:left="4" w:hanging="4"/>
        <w:spacing w:after="0" w:line="379" w:lineRule="auto"/>
        <w:tabs>
          <w:tab w:leader="none" w:pos="440" w:val="left"/>
        </w:tabs>
        <w:numPr>
          <w:ilvl w:val="0"/>
          <w:numId w:val="117"/>
        </w:numPr>
        <w:rPr>
          <w:rFonts w:ascii="Arial" w:cs="Arial" w:eastAsia="Arial" w:hAnsi="Arial"/>
          <w:sz w:val="15"/>
          <w:szCs w:val="15"/>
          <w:color w:val="auto"/>
        </w:rPr>
      </w:pPr>
      <w:r>
        <w:rPr>
          <w:rFonts w:ascii="Arial" w:cs="Arial" w:eastAsia="Arial" w:hAnsi="Arial"/>
          <w:sz w:val="15"/>
          <w:szCs w:val="15"/>
          <w:i w:val="1"/>
          <w:iCs w:val="1"/>
          <w:u w:val="single" w:color="auto"/>
          <w:color w:val="auto"/>
        </w:rPr>
        <w:t>Government and Other Regulations</w:t>
      </w:r>
      <w:r>
        <w:rPr>
          <w:rFonts w:ascii="Arial" w:cs="Arial" w:eastAsia="Arial" w:hAnsi="Arial"/>
          <w:sz w:val="15"/>
          <w:szCs w:val="15"/>
          <w:color w:val="auto"/>
        </w:rPr>
        <w:t>. (i) The obligation of the Company to settle Awards in Common Stock or other consideration shall be subject to all applicable</w:t>
      </w:r>
      <w:r>
        <w:rPr>
          <w:rFonts w:ascii="Arial" w:cs="Arial" w:eastAsia="Arial" w:hAnsi="Arial"/>
          <w:sz w:val="15"/>
          <w:szCs w:val="15"/>
          <w:i w:val="1"/>
          <w:iCs w:val="1"/>
          <w:color w:val="auto"/>
        </w:rPr>
        <w:t xml:space="preserve"> </w:t>
      </w:r>
      <w:r>
        <w:rPr>
          <w:rFonts w:ascii="Arial" w:cs="Arial" w:eastAsia="Arial" w:hAnsi="Arial"/>
          <w:sz w:val="15"/>
          <w:szCs w:val="15"/>
          <w:color w:val="auto"/>
        </w:rPr>
        <w:t>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certificates for shares of Common Stock or other securities of any member of the Company Group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r>
        <w:rPr>
          <w:rFonts w:ascii="Arial" w:cs="Arial" w:eastAsia="Arial" w:hAnsi="Arial"/>
          <w:sz w:val="15"/>
          <w:szCs w:val="15"/>
          <w:color w:val="FF0000"/>
        </w:rPr>
        <w:t>.</w:t>
      </w:r>
    </w:p>
    <w:p>
      <w:pPr>
        <w:spacing w:after="0" w:line="117" w:lineRule="exact"/>
        <w:rPr>
          <w:sz w:val="20"/>
          <w:szCs w:val="20"/>
          <w:color w:val="auto"/>
        </w:rPr>
      </w:pPr>
    </w:p>
    <w:p>
      <w:pPr>
        <w:jc w:val="both"/>
        <w:ind w:left="4" w:hanging="4"/>
        <w:spacing w:after="0" w:line="288" w:lineRule="auto"/>
        <w:tabs>
          <w:tab w:leader="none" w:pos="26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208" w:lineRule="exact"/>
        <w:rPr>
          <w:sz w:val="20"/>
          <w:szCs w:val="20"/>
          <w:color w:val="auto"/>
        </w:rPr>
      </w:pPr>
    </w:p>
    <w:p>
      <w:pPr>
        <w:jc w:val="both"/>
        <w:ind w:left="4" w:hanging="4"/>
        <w:spacing w:after="0" w:line="359" w:lineRule="auto"/>
        <w:tabs>
          <w:tab w:leader="none" w:pos="440" w:val="left"/>
        </w:tabs>
        <w:numPr>
          <w:ilvl w:val="0"/>
          <w:numId w:val="119"/>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Payments to Persons Other Than Participants</w:t>
      </w:r>
      <w:r>
        <w:rPr>
          <w:rFonts w:ascii="Arial" w:cs="Arial" w:eastAsia="Arial" w:hAnsi="Arial"/>
          <w:sz w:val="16"/>
          <w:szCs w:val="16"/>
          <w:color w:val="auto"/>
        </w:rPr>
        <w:t>. If the Committee shall find that any person to whom any amount is payable under the Plan is unable to care for his or</w:t>
      </w:r>
      <w:r>
        <w:rPr>
          <w:rFonts w:ascii="Arial" w:cs="Arial" w:eastAsia="Arial" w:hAnsi="Arial"/>
          <w:sz w:val="16"/>
          <w:szCs w:val="16"/>
          <w:i w:val="1"/>
          <w:iCs w:val="1"/>
          <w:color w:val="auto"/>
        </w:rPr>
        <w:t xml:space="preserve"> </w:t>
      </w:r>
      <w:r>
        <w:rPr>
          <w:rFonts w:ascii="Arial" w:cs="Arial" w:eastAsia="Arial" w:hAnsi="Arial"/>
          <w:sz w:val="16"/>
          <w:szCs w:val="16"/>
          <w:color w:val="auto"/>
        </w:rPr>
        <w:t>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63" w:lineRule="exact"/>
        <w:rPr>
          <w:rFonts w:ascii="Arial" w:cs="Arial" w:eastAsia="Arial" w:hAnsi="Arial"/>
          <w:sz w:val="16"/>
          <w:szCs w:val="16"/>
          <w:color w:val="auto"/>
        </w:rPr>
      </w:pPr>
    </w:p>
    <w:p>
      <w:pPr>
        <w:jc w:val="both"/>
        <w:ind w:left="4" w:hanging="4"/>
        <w:spacing w:after="0" w:line="366" w:lineRule="auto"/>
        <w:tabs>
          <w:tab w:leader="none" w:pos="477" w:val="left"/>
        </w:tabs>
        <w:numPr>
          <w:ilvl w:val="0"/>
          <w:numId w:val="119"/>
        </w:numPr>
        <w:rPr>
          <w:rFonts w:ascii="Arial" w:cs="Arial" w:eastAsia="Arial" w:hAnsi="Arial"/>
          <w:sz w:val="16"/>
          <w:szCs w:val="16"/>
          <w:color w:val="auto"/>
        </w:rPr>
      </w:pPr>
      <w:r>
        <w:rPr>
          <w:rFonts w:ascii="Arial" w:cs="Arial" w:eastAsia="Arial" w:hAnsi="Arial"/>
          <w:sz w:val="16"/>
          <w:szCs w:val="16"/>
          <w:i w:val="1"/>
          <w:iCs w:val="1"/>
          <w:u w:val="single" w:color="auto"/>
          <w:color w:val="auto"/>
        </w:rPr>
        <w:t>Nonexclusivity of the Plan</w:t>
      </w:r>
      <w:r>
        <w:rPr>
          <w:rFonts w:ascii="Arial" w:cs="Arial" w:eastAsia="Arial" w:hAnsi="Arial"/>
          <w:sz w:val="16"/>
          <w:szCs w:val="16"/>
          <w:color w:val="auto"/>
        </w:rPr>
        <w:t>. Neither the adoption of this Plan by the Board nor the submission of this Plan to the stockholders of the Company for approval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as creating any limitations on the power of the Board to adopt such other incentive arrangements as it may deem desirable, including, without limitation, the granting of stock</w:t>
      </w: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color w:val="auto"/>
        </w:rPr>
        <w:t>options otherwise than under this Plan, and such arrangements may be either applicable generally or only in specific cases.</w:t>
      </w:r>
    </w:p>
    <w:p>
      <w:pPr>
        <w:spacing w:after="0" w:line="248" w:lineRule="exact"/>
        <w:rPr>
          <w:sz w:val="20"/>
          <w:szCs w:val="20"/>
          <w:color w:val="auto"/>
        </w:rPr>
      </w:pPr>
    </w:p>
    <w:p>
      <w:pPr>
        <w:jc w:val="both"/>
        <w:ind w:left="4" w:hanging="4"/>
        <w:spacing w:after="0" w:line="357" w:lineRule="auto"/>
        <w:tabs>
          <w:tab w:leader="none" w:pos="440" w:val="left"/>
        </w:tabs>
        <w:numPr>
          <w:ilvl w:val="0"/>
          <w:numId w:val="120"/>
        </w:numPr>
        <w:rPr>
          <w:rFonts w:ascii="Arial" w:cs="Arial" w:eastAsia="Arial" w:hAnsi="Arial"/>
          <w:sz w:val="16"/>
          <w:szCs w:val="16"/>
          <w:color w:val="auto"/>
        </w:rPr>
      </w:pPr>
      <w:r>
        <w:rPr>
          <w:rFonts w:ascii="Arial" w:cs="Arial" w:eastAsia="Arial" w:hAnsi="Arial"/>
          <w:sz w:val="16"/>
          <w:szCs w:val="16"/>
          <w:i w:val="1"/>
          <w:iCs w:val="1"/>
          <w:u w:val="single" w:color="auto"/>
          <w:color w:val="auto"/>
        </w:rPr>
        <w:t>No Trust or Fund Created</w:t>
      </w:r>
      <w:r>
        <w:rPr>
          <w:rFonts w:ascii="Arial" w:cs="Arial" w:eastAsia="Arial" w:hAnsi="Arial"/>
          <w:sz w:val="16"/>
          <w:szCs w:val="16"/>
          <w:color w:val="auto"/>
        </w:rPr>
        <w:t>. Neither the Plan nor any Award shall create or be construed to create a trust or separate fund of any kind or a fiduciary relationship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any member of the Company Group,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64" w:lineRule="exact"/>
        <w:rPr>
          <w:rFonts w:ascii="Arial" w:cs="Arial" w:eastAsia="Arial" w:hAnsi="Arial"/>
          <w:sz w:val="16"/>
          <w:szCs w:val="16"/>
          <w:color w:val="auto"/>
        </w:rPr>
      </w:pPr>
    </w:p>
    <w:p>
      <w:pPr>
        <w:jc w:val="both"/>
        <w:ind w:left="4" w:right="20" w:hanging="4"/>
        <w:spacing w:after="0" w:line="399" w:lineRule="auto"/>
        <w:tabs>
          <w:tab w:leader="none" w:pos="522" w:val="left"/>
        </w:tabs>
        <w:numPr>
          <w:ilvl w:val="0"/>
          <w:numId w:val="120"/>
        </w:numPr>
        <w:rPr>
          <w:rFonts w:ascii="Arial" w:cs="Arial" w:eastAsia="Arial" w:hAnsi="Arial"/>
          <w:sz w:val="15"/>
          <w:szCs w:val="15"/>
          <w:color w:val="auto"/>
        </w:rPr>
      </w:pPr>
      <w:r>
        <w:rPr>
          <w:rFonts w:ascii="Arial" w:cs="Arial" w:eastAsia="Arial" w:hAnsi="Arial"/>
          <w:sz w:val="15"/>
          <w:szCs w:val="15"/>
          <w:i w:val="1"/>
          <w:iCs w:val="1"/>
          <w:u w:val="single" w:color="auto"/>
          <w:color w:val="auto"/>
        </w:rPr>
        <w:t>Reliance on Reports</w:t>
      </w:r>
      <w:r>
        <w:rPr>
          <w:rFonts w:ascii="Arial" w:cs="Arial" w:eastAsia="Arial" w:hAnsi="Arial"/>
          <w:sz w:val="15"/>
          <w:szCs w:val="15"/>
          <w:color w:val="auto"/>
        </w:rPr>
        <w:t>. Each member of the Committee and each member of the Board shall be fully justified in acting or failing to act, as the case may be, and shall</w:t>
      </w:r>
      <w:r>
        <w:rPr>
          <w:rFonts w:ascii="Arial" w:cs="Arial" w:eastAsia="Arial" w:hAnsi="Arial"/>
          <w:sz w:val="15"/>
          <w:szCs w:val="15"/>
          <w:i w:val="1"/>
          <w:iCs w:val="1"/>
          <w:color w:val="auto"/>
        </w:rPr>
        <w:t xml:space="preserve"> </w:t>
      </w:r>
      <w:r>
        <w:rPr>
          <w:rFonts w:ascii="Arial" w:cs="Arial" w:eastAsia="Arial" w:hAnsi="Arial"/>
          <w:sz w:val="15"/>
          <w:szCs w:val="15"/>
          <w:color w:val="auto"/>
        </w:rPr>
        <w:t>not be liable for having so acted or failed to act in good faith, in reliance upon any report made by the independent public accountant of the Company Group and/or any other information furnished in connection with the Plan by any agent of the Company or the Committee or the Board, other than himself or herself.</w:t>
      </w:r>
    </w:p>
    <w:p>
      <w:pPr>
        <w:spacing w:after="0" w:line="139" w:lineRule="exact"/>
        <w:rPr>
          <w:rFonts w:ascii="Arial" w:cs="Arial" w:eastAsia="Arial" w:hAnsi="Arial"/>
          <w:sz w:val="15"/>
          <w:szCs w:val="15"/>
          <w:color w:val="auto"/>
        </w:rPr>
      </w:pPr>
    </w:p>
    <w:p>
      <w:pPr>
        <w:ind w:left="4" w:hanging="4"/>
        <w:spacing w:after="0" w:line="381" w:lineRule="auto"/>
        <w:tabs>
          <w:tab w:leader="none" w:pos="477" w:val="left"/>
        </w:tabs>
        <w:numPr>
          <w:ilvl w:val="0"/>
          <w:numId w:val="120"/>
        </w:numPr>
        <w:rPr>
          <w:rFonts w:ascii="Arial" w:cs="Arial" w:eastAsia="Arial" w:hAnsi="Arial"/>
          <w:sz w:val="16"/>
          <w:szCs w:val="16"/>
          <w:color w:val="auto"/>
        </w:rPr>
      </w:pPr>
      <w:r>
        <w:rPr>
          <w:rFonts w:ascii="Arial" w:cs="Arial" w:eastAsia="Arial" w:hAnsi="Arial"/>
          <w:sz w:val="16"/>
          <w:szCs w:val="16"/>
          <w:i w:val="1"/>
          <w:iCs w:val="1"/>
          <w:u w:val="single" w:color="auto"/>
          <w:color w:val="auto"/>
        </w:rPr>
        <w:t>Relationship to Other Benefits</w:t>
      </w:r>
      <w:r>
        <w:rPr>
          <w:rFonts w:ascii="Arial" w:cs="Arial" w:eastAsia="Arial" w:hAnsi="Arial"/>
          <w:sz w:val="16"/>
          <w:szCs w:val="16"/>
          <w:color w:val="auto"/>
        </w:rPr>
        <w:t>. No payment under the Plan shall be taken into account in determining any benefits under any pension, retirement, profit sharing, group</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or other benefit plan of the Company except as otherwise specifically provided in such other plan.</w:t>
      </w:r>
    </w:p>
    <w:p>
      <w:pPr>
        <w:spacing w:after="0" w:line="145" w:lineRule="exact"/>
        <w:rPr>
          <w:rFonts w:ascii="Arial" w:cs="Arial" w:eastAsia="Arial" w:hAnsi="Arial"/>
          <w:sz w:val="16"/>
          <w:szCs w:val="16"/>
          <w:color w:val="auto"/>
        </w:rPr>
      </w:pPr>
    </w:p>
    <w:p>
      <w:pPr>
        <w:ind w:left="4" w:hanging="4"/>
        <w:spacing w:after="0" w:line="381" w:lineRule="auto"/>
        <w:tabs>
          <w:tab w:leader="none" w:pos="477" w:val="left"/>
        </w:tabs>
        <w:numPr>
          <w:ilvl w:val="0"/>
          <w:numId w:val="120"/>
        </w:numPr>
        <w:rPr>
          <w:rFonts w:ascii="Arial" w:cs="Arial" w:eastAsia="Arial" w:hAnsi="Arial"/>
          <w:sz w:val="16"/>
          <w:szCs w:val="16"/>
          <w:color w:val="auto"/>
        </w:rPr>
      </w:pPr>
      <w:r>
        <w:rPr>
          <w:rFonts w:ascii="Arial" w:cs="Arial" w:eastAsia="Arial" w:hAnsi="Arial"/>
          <w:sz w:val="16"/>
          <w:szCs w:val="16"/>
          <w:i w:val="1"/>
          <w:iCs w:val="1"/>
          <w:u w:val="single" w:color="auto"/>
          <w:color w:val="auto"/>
        </w:rPr>
        <w:t>Governing Law</w:t>
      </w:r>
      <w:r>
        <w:rPr>
          <w:rFonts w:ascii="Arial" w:cs="Arial" w:eastAsia="Arial" w:hAnsi="Arial"/>
          <w:sz w:val="16"/>
          <w:szCs w:val="16"/>
          <w:color w:val="auto"/>
        </w:rPr>
        <w:t>. The Plan shall be governed by and construed in accordance with the internal laws of the State of Delaware applicable to contracts made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wholly within the State of Delaware, without giving effect to the conflict of laws provisions thereof.</w:t>
      </w:r>
    </w:p>
    <w:p>
      <w:pPr>
        <w:sectPr>
          <w:pgSz w:w="11900" w:h="16838" w:orient="portrait"/>
          <w:cols w:equalWidth="0" w:num="1">
            <w:col w:w="11304"/>
          </w:cols>
          <w:pgMar w:left="356" w:top="170" w:right="239" w:bottom="0" w:gutter="0" w:footer="0" w:header="0"/>
        </w:sectPr>
      </w:pPr>
    </w:p>
    <w:bookmarkStart w:id="70" w:name="page71"/>
    <w:bookmarkEnd w:id="70"/>
    <w:p>
      <w:pPr>
        <w:jc w:val="both"/>
        <w:ind w:left="4" w:hanging="4"/>
        <w:spacing w:after="0" w:line="359" w:lineRule="auto"/>
        <w:tabs>
          <w:tab w:leader="none" w:pos="477"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Severability</w:t>
      </w:r>
      <w:r>
        <w:rPr>
          <w:rFonts w:ascii="Arial" w:cs="Arial" w:eastAsia="Arial" w:hAnsi="Arial"/>
          <w:sz w:val="16"/>
          <w:szCs w:val="16"/>
          <w:color w:val="auto"/>
        </w:rPr>
        <w:t>. If any provision of the Plan or any Award or Award Agreement is or becomes or is deemed to be invalid, illegal, or unenforceable in any jurisdiction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63" w:lineRule="exact"/>
        <w:rPr>
          <w:rFonts w:ascii="Arial" w:cs="Arial" w:eastAsia="Arial" w:hAnsi="Arial"/>
          <w:sz w:val="16"/>
          <w:szCs w:val="16"/>
          <w:color w:val="auto"/>
        </w:rPr>
      </w:pPr>
    </w:p>
    <w:p>
      <w:pPr>
        <w:jc w:val="both"/>
        <w:ind w:left="4" w:hanging="4"/>
        <w:spacing w:after="0" w:line="366" w:lineRule="auto"/>
        <w:tabs>
          <w:tab w:leader="none" w:pos="477"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Obligations Binding on Successors</w:t>
      </w:r>
      <w:r>
        <w:rPr>
          <w:rFonts w:ascii="Arial" w:cs="Arial" w:eastAsia="Arial" w:hAnsi="Arial"/>
          <w:sz w:val="16"/>
          <w:szCs w:val="16"/>
          <w:color w:val="auto"/>
        </w:rPr>
        <w:t>. The obligations of the Company under the Plan shall be binding upon any successor corporation or organization resulting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consolidation or other reorganization of the Company, or upon any successor corporation or organization succeeding to substantially all of the assets and business of the Company.</w:t>
      </w:r>
    </w:p>
    <w:p>
      <w:pPr>
        <w:spacing w:after="0" w:line="157" w:lineRule="exact"/>
        <w:rPr>
          <w:rFonts w:ascii="Arial" w:cs="Arial" w:eastAsia="Arial" w:hAnsi="Arial"/>
          <w:sz w:val="16"/>
          <w:szCs w:val="16"/>
          <w:color w:val="auto"/>
        </w:rPr>
      </w:pPr>
    </w:p>
    <w:p>
      <w:pPr>
        <w:jc w:val="both"/>
        <w:ind w:left="4" w:hanging="4"/>
        <w:spacing w:after="0" w:line="366" w:lineRule="auto"/>
        <w:tabs>
          <w:tab w:leader="none" w:pos="450"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Expenses; Gender; Titles and Headings</w:t>
      </w:r>
      <w:r>
        <w:rPr>
          <w:rFonts w:ascii="Arial" w:cs="Arial" w:eastAsia="Arial" w:hAnsi="Arial"/>
          <w:sz w:val="16"/>
          <w:szCs w:val="16"/>
          <w:color w:val="auto"/>
        </w:rPr>
        <w:t>. The expenses of administering the Plan shall be borne by the Company Group. Masculine pronouns and other words of</w:t>
      </w:r>
      <w:r>
        <w:rPr>
          <w:rFonts w:ascii="Arial" w:cs="Arial" w:eastAsia="Arial" w:hAnsi="Arial"/>
          <w:sz w:val="16"/>
          <w:szCs w:val="16"/>
          <w:i w:val="1"/>
          <w:iCs w:val="1"/>
          <w:color w:val="auto"/>
        </w:rPr>
        <w:t xml:space="preserve"> </w:t>
      </w:r>
      <w:r>
        <w:rPr>
          <w:rFonts w:ascii="Arial" w:cs="Arial" w:eastAsia="Arial" w:hAnsi="Arial"/>
          <w:sz w:val="16"/>
          <w:szCs w:val="16"/>
          <w:color w:val="auto"/>
        </w:rPr>
        <w:t>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57" w:lineRule="exact"/>
        <w:rPr>
          <w:rFonts w:ascii="Arial" w:cs="Arial" w:eastAsia="Arial" w:hAnsi="Arial"/>
          <w:sz w:val="16"/>
          <w:szCs w:val="16"/>
          <w:color w:val="auto"/>
        </w:rPr>
      </w:pPr>
    </w:p>
    <w:p>
      <w:pPr>
        <w:ind w:left="4" w:hanging="4"/>
        <w:spacing w:after="0" w:line="381" w:lineRule="auto"/>
        <w:tabs>
          <w:tab w:leader="none" w:pos="459"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Other Agreements</w:t>
      </w:r>
      <w:r>
        <w:rPr>
          <w:rFonts w:ascii="Arial" w:cs="Arial" w:eastAsia="Arial" w:hAnsi="Arial"/>
          <w:sz w:val="16"/>
          <w:szCs w:val="16"/>
          <w:color w:val="auto"/>
        </w:rPr>
        <w:t>. Notwithstanding the above, the Committee may require, as a condition to the grant of and/or the receipt of shares of Common Stock under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that the Participant execute lock-up, stockholder or other agreements, as it may determine in its sole and absolute discretion.</w:t>
      </w:r>
    </w:p>
    <w:p>
      <w:pPr>
        <w:spacing w:after="0" w:line="145" w:lineRule="exact"/>
        <w:rPr>
          <w:rFonts w:ascii="Arial" w:cs="Arial" w:eastAsia="Arial" w:hAnsi="Arial"/>
          <w:sz w:val="16"/>
          <w:szCs w:val="16"/>
          <w:color w:val="auto"/>
        </w:rPr>
      </w:pPr>
    </w:p>
    <w:p>
      <w:pPr>
        <w:ind w:left="4" w:hanging="4"/>
        <w:spacing w:after="0" w:line="381" w:lineRule="auto"/>
        <w:tabs>
          <w:tab w:leader="none" w:pos="440"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shall be required to pay, to the extent required by applicable law, any amounts required to receive shares of Common Stock under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made under the Plan.</w:t>
      </w:r>
    </w:p>
    <w:p>
      <w:pPr>
        <w:spacing w:after="0" w:line="145" w:lineRule="exact"/>
        <w:rPr>
          <w:rFonts w:ascii="Arial" w:cs="Arial" w:eastAsia="Arial" w:hAnsi="Arial"/>
          <w:sz w:val="16"/>
          <w:szCs w:val="16"/>
          <w:color w:val="auto"/>
        </w:rPr>
      </w:pPr>
    </w:p>
    <w:p>
      <w:pPr>
        <w:ind w:left="4" w:hanging="4"/>
        <w:spacing w:after="0" w:line="381" w:lineRule="auto"/>
        <w:tabs>
          <w:tab w:leader="none" w:pos="477"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Fractional Shares</w:t>
      </w:r>
      <w:r>
        <w:rPr>
          <w:rFonts w:ascii="Arial" w:cs="Arial" w:eastAsia="Arial" w:hAnsi="Arial"/>
          <w:sz w:val="16"/>
          <w:szCs w:val="16"/>
          <w:color w:val="auto"/>
        </w:rPr>
        <w:t>. Unless otherwise provided in an Award Agreement, an Employment Agreement or otherwise by the Committee, any fractional shares due 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or payment in respect of an Award shall be settled in cash.</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4" w:hanging="4"/>
        <w:spacing w:after="0" w:line="381" w:lineRule="auto"/>
        <w:tabs>
          <w:tab w:leader="none" w:pos="477"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Detrimental Activity</w:t>
      </w:r>
      <w:r>
        <w:rPr>
          <w:rFonts w:ascii="Arial" w:cs="Arial" w:eastAsia="Arial" w:hAnsi="Arial"/>
          <w:sz w:val="16"/>
          <w:szCs w:val="16"/>
          <w:color w:val="auto"/>
        </w:rPr>
        <w:t>. Notwithstanding anything to the contrary contained herein or in any Award Agreement, if a Participant has engaged in any Detrimental Activity,</w:t>
      </w:r>
      <w:r>
        <w:rPr>
          <w:rFonts w:ascii="Arial" w:cs="Arial" w:eastAsia="Arial" w:hAnsi="Arial"/>
          <w:sz w:val="16"/>
          <w:szCs w:val="16"/>
          <w:i w:val="1"/>
          <w:iCs w:val="1"/>
          <w:color w:val="auto"/>
        </w:rPr>
        <w:t xml:space="preserve"> </w:t>
      </w:r>
      <w:r>
        <w:rPr>
          <w:rFonts w:ascii="Arial" w:cs="Arial" w:eastAsia="Arial" w:hAnsi="Arial"/>
          <w:sz w:val="16"/>
          <w:szCs w:val="16"/>
          <w:color w:val="auto"/>
        </w:rPr>
        <w:t>as determined by the Committee, the Committee may, in its sole discretion, provide for one or more of the following:</w:t>
      </w:r>
    </w:p>
    <w:p>
      <w:pPr>
        <w:spacing w:after="0" w:line="108" w:lineRule="exact"/>
        <w:rPr>
          <w:rFonts w:ascii="Arial" w:cs="Arial" w:eastAsia="Arial" w:hAnsi="Arial"/>
          <w:sz w:val="16"/>
          <w:szCs w:val="16"/>
          <w:color w:val="auto"/>
        </w:rPr>
      </w:pPr>
    </w:p>
    <w:p>
      <w:pPr>
        <w:ind w:left="1064" w:hanging="416"/>
        <w:spacing w:after="0"/>
        <w:tabs>
          <w:tab w:leader="none" w:pos="1064" w:val="left"/>
        </w:tabs>
        <w:numPr>
          <w:ilvl w:val="1"/>
          <w:numId w:val="121"/>
        </w:numPr>
        <w:rPr>
          <w:rFonts w:ascii="Arial" w:cs="Arial" w:eastAsia="Arial" w:hAnsi="Arial"/>
          <w:sz w:val="20"/>
          <w:szCs w:val="20"/>
          <w:color w:val="auto"/>
        </w:rPr>
      </w:pPr>
      <w:r>
        <w:rPr>
          <w:rFonts w:ascii="Arial" w:cs="Arial" w:eastAsia="Arial" w:hAnsi="Arial"/>
          <w:sz w:val="16"/>
          <w:szCs w:val="16"/>
          <w:color w:val="auto"/>
        </w:rPr>
        <w:t>cancellation of any or all of such Participant’s outstanding Awards; or</w:t>
      </w:r>
    </w:p>
    <w:p>
      <w:pPr>
        <w:spacing w:after="0" w:line="229" w:lineRule="exact"/>
        <w:rPr>
          <w:rFonts w:ascii="Arial" w:cs="Arial" w:eastAsia="Arial" w:hAnsi="Arial"/>
          <w:sz w:val="20"/>
          <w:szCs w:val="20"/>
          <w:color w:val="auto"/>
        </w:rPr>
      </w:pPr>
    </w:p>
    <w:p>
      <w:pPr>
        <w:ind w:left="1064" w:hanging="416"/>
        <w:spacing w:after="0"/>
        <w:tabs>
          <w:tab w:leader="none" w:pos="1064" w:val="left"/>
        </w:tabs>
        <w:numPr>
          <w:ilvl w:val="1"/>
          <w:numId w:val="121"/>
        </w:numPr>
        <w:rPr>
          <w:rFonts w:ascii="Arial" w:cs="Arial" w:eastAsia="Arial" w:hAnsi="Arial"/>
          <w:sz w:val="20"/>
          <w:szCs w:val="20"/>
          <w:color w:val="auto"/>
        </w:rPr>
      </w:pPr>
      <w:r>
        <w:rPr>
          <w:rFonts w:ascii="Arial" w:cs="Arial" w:eastAsia="Arial" w:hAnsi="Arial"/>
          <w:sz w:val="16"/>
          <w:szCs w:val="16"/>
          <w:color w:val="auto"/>
        </w:rPr>
        <w:t>forfeiture by the Participant of any gain realized on the vesting or exercise of Awards, and to repay any such gain to promptly to the Company.</w:t>
      </w:r>
    </w:p>
    <w:p>
      <w:pPr>
        <w:spacing w:after="0" w:line="239" w:lineRule="exact"/>
        <w:rPr>
          <w:rFonts w:ascii="Arial" w:cs="Arial" w:eastAsia="Arial" w:hAnsi="Arial"/>
          <w:sz w:val="20"/>
          <w:szCs w:val="20"/>
          <w:color w:val="auto"/>
        </w:rPr>
      </w:pPr>
    </w:p>
    <w:p>
      <w:pPr>
        <w:jc w:val="both"/>
        <w:ind w:left="4" w:hanging="4"/>
        <w:spacing w:after="0" w:line="355" w:lineRule="auto"/>
        <w:tabs>
          <w:tab w:leader="none" w:pos="513" w:val="left"/>
        </w:tabs>
        <w:numPr>
          <w:ilvl w:val="0"/>
          <w:numId w:val="121"/>
        </w:numPr>
        <w:rPr>
          <w:rFonts w:ascii="Arial" w:cs="Arial" w:eastAsia="Arial" w:hAnsi="Arial"/>
          <w:sz w:val="16"/>
          <w:szCs w:val="16"/>
          <w:color w:val="auto"/>
        </w:rPr>
      </w:pPr>
      <w:r>
        <w:rPr>
          <w:rFonts w:ascii="Arial" w:cs="Arial" w:eastAsia="Arial" w:hAnsi="Arial"/>
          <w:sz w:val="16"/>
          <w:szCs w:val="16"/>
          <w:i w:val="1"/>
          <w:iCs w:val="1"/>
          <w:u w:val="single" w:color="auto"/>
          <w:color w:val="auto"/>
        </w:rPr>
        <w:t>Clawback/Repayment</w:t>
      </w:r>
      <w:r>
        <w:rPr>
          <w:rFonts w:ascii="Arial" w:cs="Arial" w:eastAsia="Arial" w:hAnsi="Arial"/>
          <w:sz w:val="16"/>
          <w:szCs w:val="16"/>
          <w:color w:val="auto"/>
        </w:rPr>
        <w:t>. All Awards shall be subject to reduction, cancellation, forfeiture or recoupment to the extent necessary to comply with (1) any clawback,</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or other similar policy adopted by the Board or the Committee and as in effect from time to time, and (2) applicable law, whether such policy or law becomes effective prior to or following the Effective Date or the Date of Grant of an Award. Furthermore,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130" w:lineRule="exact"/>
        <w:rPr>
          <w:sz w:val="20"/>
          <w:szCs w:val="20"/>
          <w:color w:val="auto"/>
        </w:rPr>
      </w:pPr>
    </w:p>
    <w:p>
      <w:pPr>
        <w:jc w:val="center"/>
        <w:ind w:right="2176"/>
        <w:spacing w:after="0"/>
        <w:rPr>
          <w:sz w:val="20"/>
          <w:szCs w:val="20"/>
          <w:color w:val="auto"/>
        </w:rPr>
      </w:pPr>
      <w:r>
        <w:rPr>
          <w:rFonts w:ascii="Arial" w:cs="Arial" w:eastAsia="Arial" w:hAnsi="Arial"/>
          <w:sz w:val="16"/>
          <w:szCs w:val="16"/>
          <w:color w:val="auto"/>
        </w:rPr>
        <w:t>* * *</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adopted by the Board of Directors on April 24, 2018, and approved by the shareholders, of Universal Electronics Inc. on June 4, 2018.</w:t>
      </w:r>
    </w:p>
    <w:p>
      <w:pPr>
        <w:sectPr>
          <w:pgSz w:w="11900" w:h="16838" w:orient="portrait"/>
          <w:cols w:equalWidth="0" w:num="1">
            <w:col w:w="11304"/>
          </w:cols>
          <w:pgMar w:left="356" w:top="17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t>Exhibit 10.5</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CERTIFICATE NUMBER: [[GRANTNUMBER]]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AWARD AGREEMENT</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THIS RESTRICTED STOCK UNIT AWARD AGREEMENT </w:t>
      </w:r>
      <w:r>
        <w:rPr>
          <w:rFonts w:ascii="Arial" w:cs="Arial" w:eastAsia="Arial" w:hAnsi="Arial"/>
          <w:sz w:val="16"/>
          <w:szCs w:val="16"/>
          <w:color w:val="auto"/>
        </w:rPr>
        <w:t>(the “Agreement”) is made as of XXXX, 20XX (the “Grant Date”) by and between Universal</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Electronics Inc., a Delaware corporation (the “Corporation”), and the undersigned employee (the “Employee”). As used in this Agreement, the term “Corporation” shall include, where applicable, any and all of its subsidiaries or related entities. Any capitalized term used in this Agreement that is not defined herein shall have the meaning thereof set forth in the Universal Electronics Inc. 2018 Equity and Incentive Compensation Plan (the “Plan”), a copy of which can be obtained by written request to the Corporation’s Chief Financial Officer.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Corporation (the “Board”) have approved the Plan;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designated and empowered the Compensation Committee of the Board (the “Committee”) to administer the Plan; and</w:t>
      </w:r>
    </w:p>
    <w:p>
      <w:pPr>
        <w:spacing w:after="0" w:line="194" w:lineRule="exact"/>
        <w:rPr>
          <w:sz w:val="20"/>
          <w:szCs w:val="20"/>
          <w:color w:val="auto"/>
        </w:rPr>
      </w:pPr>
    </w:p>
    <w:p>
      <w:pPr>
        <w:jc w:val="both"/>
        <w:ind w:right="20" w:firstLine="810"/>
        <w:spacing w:after="0" w:line="28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Committee has authorized grants of Restricted Stock Units (the “RSUs”) to Eligible Employees, payable in shares of the Corporation’s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par value $0.01 per share (each, a “Share”) pursuant to the terms and conditions set forth in the Plan and in this Agreement;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the parties, intending to be legally bound, hereto agree as follows:</w:t>
      </w:r>
    </w:p>
    <w:p>
      <w:pPr>
        <w:spacing w:after="0" w:line="194" w:lineRule="exact"/>
        <w:rPr>
          <w:sz w:val="20"/>
          <w:szCs w:val="20"/>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16"/>
          <w:szCs w:val="16"/>
          <w:b w:val="1"/>
          <w:bCs w:val="1"/>
          <w:color w:val="auto"/>
        </w:rPr>
        <w:t>1.GRANT</w:t>
        <w:tab/>
        <w:t xml:space="preserve">OF THE RSUS. </w:t>
      </w:r>
      <w:r>
        <w:rPr>
          <w:rFonts w:ascii="Arial" w:cs="Arial" w:eastAsia="Arial" w:hAnsi="Arial"/>
          <w:sz w:val="16"/>
          <w:szCs w:val="16"/>
          <w:color w:val="auto"/>
        </w:rPr>
        <w:t>Subject to the terms and conditions set forth herein, the Employee is hereby granted</w:t>
      </w:r>
      <w:r>
        <w:rPr>
          <w:rFonts w:ascii="Arial" w:cs="Arial" w:eastAsia="Arial" w:hAnsi="Arial"/>
          <w:sz w:val="16"/>
          <w:szCs w:val="16"/>
          <w:b w:val="1"/>
          <w:bCs w:val="1"/>
          <w:color w:val="auto"/>
        </w:rPr>
        <w:t xml:space="preserve"> [[SHARESGRANTEDWORDS]] ([[SHARESGRANTED]]) RSUs </w:t>
      </w:r>
      <w:r>
        <w:rPr>
          <w:rFonts w:ascii="Arial" w:cs="Arial" w:eastAsia="Arial" w:hAnsi="Arial"/>
          <w:sz w:val="16"/>
          <w:szCs w:val="16"/>
          <w:color w:val="auto"/>
        </w:rPr>
        <w:t>on the Grant Date.</w:t>
      </w:r>
    </w:p>
    <w:p>
      <w:pPr>
        <w:spacing w:after="0" w:line="136" w:lineRule="exact"/>
        <w:rPr>
          <w:sz w:val="20"/>
          <w:szCs w:val="20"/>
          <w:color w:val="auto"/>
        </w:rPr>
      </w:pPr>
    </w:p>
    <w:p>
      <w:pPr>
        <w:jc w:val="both"/>
        <w:ind w:left="660" w:hanging="652"/>
        <w:spacing w:after="0" w:line="258" w:lineRule="auto"/>
        <w:tabs>
          <w:tab w:leader="none" w:pos="6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VESTING OF THE RSUS AND ISSUANCE AND DELIVERY OF SHARES</w:t>
      </w:r>
      <w:r>
        <w:rPr>
          <w:rFonts w:ascii="Arial" w:cs="Arial" w:eastAsia="Arial" w:hAnsi="Arial"/>
          <w:sz w:val="16"/>
          <w:szCs w:val="16"/>
          <w:color w:val="auto"/>
        </w:rPr>
        <w:t>. Subject to earlier termination, acceleration or cancellation of the RSUs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herein, the RSUs shall vest in three (3) increments (rounded to the nearest whole unit) as indicated in the following vesting table (each a “Vesting Date”), commencing and continuing in accordance with the vesting table; provided that the Employee continues to be employed by the Corporation on each such Vesting Date. The following table indicates the number of RSUs that shall vest on each vesting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[[ALLVESTSEGS]]</w:t>
      </w:r>
    </w:p>
    <w:p>
      <w:pPr>
        <w:spacing w:after="0" w:line="194"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Subject to Sections 6 and 7 of this Agreement, upon the vesting of the RSUs and as soon as administratively practicable after each Vesting Date, the Corporation shall issue and deliver to the Employee (or the Employee’s estate or legal representative, in the event of Employee’s death or “Total Disability” (as such term is defined in Section 4(c)) one (1) Share free and clear of any restrictions for each vested RSU. Such issued and delivered Shares shall be in book-entry form maintained by the Corporation’s Transfer Agent and shall otherwise be transferable utilizing the Corporation’s Direct Registration System and Profile Modification System.</w:t>
      </w:r>
    </w:p>
    <w:p>
      <w:pPr>
        <w:spacing w:after="0" w:line="161" w:lineRule="exact"/>
        <w:rPr>
          <w:sz w:val="20"/>
          <w:szCs w:val="20"/>
          <w:color w:val="auto"/>
        </w:rPr>
      </w:pPr>
    </w:p>
    <w:p>
      <w:pPr>
        <w:jc w:val="both"/>
        <w:ind w:left="780" w:hanging="769"/>
        <w:spacing w:after="0" w:line="318" w:lineRule="auto"/>
        <w:rPr>
          <w:sz w:val="20"/>
          <w:szCs w:val="20"/>
          <w:color w:val="auto"/>
        </w:rPr>
      </w:pPr>
      <w:r>
        <w:rPr>
          <w:rFonts w:ascii="Arial" w:cs="Arial" w:eastAsia="Arial" w:hAnsi="Arial"/>
          <w:sz w:val="14"/>
          <w:szCs w:val="14"/>
          <w:b w:val="1"/>
          <w:bCs w:val="1"/>
          <w:color w:val="auto"/>
        </w:rPr>
        <w:t>3.EFFECT OF TERMINATION OF EMPLOYMENT</w:t>
      </w:r>
      <w:r>
        <w:rPr>
          <w:rFonts w:ascii="Arial" w:cs="Arial" w:eastAsia="Arial" w:hAnsi="Arial"/>
          <w:sz w:val="14"/>
          <w:szCs w:val="14"/>
          <w:color w:val="auto"/>
        </w:rPr>
        <w:t>. Except as set forth in Section 4, in the event that the Employee’s employment with the Corporation is terminated for</w:t>
      </w:r>
      <w:r>
        <w:rPr>
          <w:rFonts w:ascii="Arial" w:cs="Arial" w:eastAsia="Arial" w:hAnsi="Arial"/>
          <w:sz w:val="14"/>
          <w:szCs w:val="14"/>
          <w:b w:val="1"/>
          <w:bCs w:val="1"/>
          <w:color w:val="auto"/>
        </w:rPr>
        <w:t xml:space="preserve"> </w:t>
      </w:r>
      <w:r>
        <w:rPr>
          <w:rFonts w:ascii="Arial" w:cs="Arial" w:eastAsia="Arial" w:hAnsi="Arial"/>
          <w:sz w:val="14"/>
          <w:szCs w:val="14"/>
          <w:color w:val="auto"/>
        </w:rPr>
        <w:t>any reason, any RSUs that are unvested as of such date shall be immediately forfeited and cancelled without further action by the parties hereto, and the Employee shall no longer have any rights with respect to the forfeited and cancelled RSUs (or any Dividend Equivalents (as defined in Section 5 hereof) with respect thereto).</w:t>
      </w:r>
    </w:p>
    <w:p>
      <w:pPr>
        <w:spacing w:after="0" w:line="305" w:lineRule="exact"/>
        <w:rPr>
          <w:sz w:val="20"/>
          <w:szCs w:val="20"/>
          <w:color w:val="auto"/>
        </w:rPr>
      </w:pPr>
    </w:p>
    <w:p>
      <w:pPr>
        <w:jc w:val="both"/>
        <w:ind w:left="780" w:hanging="769"/>
        <w:spacing w:after="0" w:line="281" w:lineRule="auto"/>
        <w:rPr>
          <w:sz w:val="20"/>
          <w:szCs w:val="20"/>
          <w:color w:val="auto"/>
        </w:rPr>
      </w:pPr>
      <w:r>
        <w:rPr>
          <w:rFonts w:ascii="Arial" w:cs="Arial" w:eastAsia="Arial" w:hAnsi="Arial"/>
          <w:sz w:val="16"/>
          <w:szCs w:val="16"/>
          <w:b w:val="1"/>
          <w:bCs w:val="1"/>
          <w:color w:val="auto"/>
        </w:rPr>
        <w:t>4.EFFECT OF TERMINATION OF EMPLOYMENT WITHOUT CAUSE OR DUE TO CONSTRUCTIVE TERMINATION AND EFFECT OF CHANGE IN CONTROL</w:t>
      </w:r>
      <w:r>
        <w:rPr>
          <w:rFonts w:ascii="Arial" w:cs="Arial" w:eastAsia="Arial" w:hAnsi="Arial"/>
          <w:sz w:val="16"/>
          <w:szCs w:val="16"/>
          <w:color w:val="auto"/>
        </w:rPr>
        <w:t>.</w:t>
      </w:r>
    </w:p>
    <w:p>
      <w:pPr>
        <w:spacing w:after="0" w:line="140" w:lineRule="exact"/>
        <w:rPr>
          <w:sz w:val="20"/>
          <w:szCs w:val="20"/>
          <w:color w:val="auto"/>
        </w:rPr>
      </w:pPr>
    </w:p>
    <w:p>
      <w:pPr>
        <w:jc w:val="both"/>
        <w:ind w:left="2140" w:hanging="1485"/>
        <w:spacing w:after="0" w:line="256" w:lineRule="auto"/>
        <w:rPr>
          <w:sz w:val="20"/>
          <w:szCs w:val="20"/>
          <w:color w:val="auto"/>
        </w:rPr>
      </w:pPr>
      <w:r>
        <w:rPr>
          <w:rFonts w:ascii="Arial" w:cs="Arial" w:eastAsia="Arial" w:hAnsi="Arial"/>
          <w:sz w:val="16"/>
          <w:szCs w:val="16"/>
          <w:color w:val="auto"/>
        </w:rPr>
        <w:t>(a)In the event that (i) the Employee’s employment with the Corporation is terminated (A) by the Corporation without “Cause” or (B) by the Employee as the result of a “Constructive Termination” (as such term is defined in Section 4(b) below), or (ii) a “Change in Control” occurs, the Employee shall be fully vested in the RSUs as of such date of termination or the effective date of the Change in Control, whichever may apply, without further action by the parties hereto.</w:t>
      </w:r>
    </w:p>
    <w:p>
      <w:pPr>
        <w:sectPr>
          <w:pgSz w:w="11900" w:h="16838" w:orient="portrait"/>
          <w:cols w:equalWidth="0" w:num="1">
            <w:col w:w="11420"/>
          </w:cols>
          <w:pgMar w:left="240" w:top="126" w:right="239" w:bottom="1440" w:gutter="0" w:footer="0" w:header="0"/>
        </w:sectPr>
      </w:pP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(b)(i)</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this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hanging="71"/>
        <w:spacing w:after="0" w:line="251" w:lineRule="auto"/>
        <w:rPr>
          <w:sz w:val="20"/>
          <w:szCs w:val="20"/>
          <w:color w:val="auto"/>
        </w:rPr>
      </w:pPr>
      <w:r>
        <w:rPr>
          <w:rFonts w:ascii="Arial" w:cs="Arial" w:eastAsia="Arial" w:hAnsi="Arial"/>
          <w:sz w:val="16"/>
          <w:szCs w:val="16"/>
          <w:color w:val="auto"/>
        </w:rPr>
        <w:t>Agreement, “Constructive Termination” shall mean the termination of the Employee’s employment with the Corporation by the Employee within eighteen (18) months after the occurrence of a material diminution in the Employee’s authority, duties, or responsibilities; provided that a termination by the Employee will only constitute a Constructive Termination if (A) the Employee gives the Corporation a “Notice of Constructive Termination” (as defined in Section 4(b)(ii) below) within ninety (90) calendar days following the occurrence of the event that constitutes a Constructive Termination and (B) the Corporation fails to remedy the event constituting a Constructive Termination within thirty (30) calendar days after receipt of the Notice of Constructive Termination from the</w:t>
      </w:r>
    </w:p>
    <w:p>
      <w:pPr>
        <w:sectPr>
          <w:pgSz w:w="11900" w:h="16838" w:orient="portrait"/>
          <w:cols w:equalWidth="0" w:num="3">
            <w:col w:w="1000" w:space="280"/>
            <w:col w:w="1360" w:space="160"/>
            <w:col w:w="8620"/>
          </w:cols>
          <w:pgMar w:left="240" w:top="126" w:right="239" w:bottom="1440" w:gutter="0" w:footer="0" w:header="0"/>
          <w:type w:val="continuous"/>
        </w:sectPr>
      </w:pPr>
    </w:p>
    <w:bookmarkStart w:id="72" w:name="page73"/>
    <w:bookmarkEnd w:id="72"/>
    <w:p>
      <w:pPr>
        <w:jc w:val="both"/>
        <w:ind w:left="1304"/>
        <w:spacing w:after="0" w:line="344" w:lineRule="auto"/>
        <w:rPr>
          <w:sz w:val="20"/>
          <w:szCs w:val="20"/>
          <w:color w:val="auto"/>
        </w:rPr>
      </w:pPr>
      <w:r>
        <w:rPr>
          <w:rFonts w:ascii="Arial" w:cs="Arial" w:eastAsia="Arial" w:hAnsi="Arial"/>
          <w:sz w:val="16"/>
          <w:szCs w:val="16"/>
          <w:color w:val="auto"/>
        </w:rPr>
        <w:t>Employee. If the Employee determines that a Constructive Termination exists and timely files a Notice of Constructive Termination, such determination shall be presumed to be true and the Corporation will have the burden of proving that a Constructive Termination does not exist. Failure of the Employee to provide a Notice of Constructive Termination within the 90-day period described above shall be conclusive proof that the Employee shall not have a Constructive Termination.</w:t>
      </w:r>
    </w:p>
    <w:p>
      <w:pPr>
        <w:spacing w:after="0" w:line="134" w:lineRule="exact"/>
        <w:rPr>
          <w:sz w:val="20"/>
          <w:szCs w:val="20"/>
          <w:color w:val="auto"/>
        </w:rPr>
      </w:pPr>
    </w:p>
    <w:p>
      <w:pPr>
        <w:jc w:val="both"/>
        <w:ind w:left="1304" w:hanging="7"/>
        <w:spacing w:after="0" w:line="256" w:lineRule="auto"/>
        <w:tabs>
          <w:tab w:leader="none" w:pos="171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For purposes of this Section 4(b), “Notice of Constructive Termination” shall mean a written notice by the Employee to the Corporation which sets forth in reasonable detail the specific reason for a termination of employment for Constructive Termination and the facts and circumstances claimed to provide a basis for such termination and is provided to the Corporation in accordance with the terms set forth in Section 4(b)(i) above.</w:t>
      </w:r>
    </w:p>
    <w:p>
      <w:pPr>
        <w:spacing w:after="0" w:line="349" w:lineRule="exact"/>
        <w:rPr>
          <w:rFonts w:ascii="Arial" w:cs="Arial" w:eastAsia="Arial" w:hAnsi="Arial"/>
          <w:sz w:val="16"/>
          <w:szCs w:val="16"/>
          <w:color w:val="auto"/>
        </w:rPr>
      </w:pPr>
    </w:p>
    <w:p>
      <w:pPr>
        <w:jc w:val="both"/>
        <w:ind w:left="644" w:hanging="644"/>
        <w:spacing w:after="0" w:line="274" w:lineRule="auto"/>
        <w:tabs>
          <w:tab w:leader="none" w:pos="64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For purposes of this Agreement, “Total Disability” shall mean that (i) the Employee is unable to engage in any substantial gainful activity by reason of any medically determinable physical or mental impairment that can be expected to result in death or can be expected to last for a continuous period of not less than twelve (12) months or (ii) the Employee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Corporation.</w:t>
      </w:r>
    </w:p>
    <w:p>
      <w:pPr>
        <w:spacing w:after="0" w:line="173" w:lineRule="exact"/>
        <w:rPr>
          <w:sz w:val="20"/>
          <w:szCs w:val="20"/>
          <w:color w:val="auto"/>
        </w:rPr>
      </w:pPr>
    </w:p>
    <w:p>
      <w:pPr>
        <w:jc w:val="both"/>
        <w:ind w:left="124" w:hanging="769"/>
        <w:spacing w:after="0" w:line="255" w:lineRule="auto"/>
        <w:rPr>
          <w:sz w:val="20"/>
          <w:szCs w:val="20"/>
          <w:color w:val="auto"/>
        </w:rPr>
      </w:pPr>
      <w:r>
        <w:rPr>
          <w:rFonts w:ascii="Arial" w:cs="Arial" w:eastAsia="Arial" w:hAnsi="Arial"/>
          <w:sz w:val="16"/>
          <w:szCs w:val="16"/>
          <w:b w:val="1"/>
          <w:bCs w:val="1"/>
          <w:color w:val="auto"/>
        </w:rPr>
        <w:t>5.EMPLOYEE’S RIGHTS AS STOCKHOLDER</w:t>
      </w:r>
      <w:r>
        <w:rPr>
          <w:rFonts w:ascii="Arial" w:cs="Arial" w:eastAsia="Arial" w:hAnsi="Arial"/>
          <w:sz w:val="16"/>
          <w:szCs w:val="16"/>
          <w:color w:val="auto"/>
        </w:rPr>
        <w:t>. Prior to the vesting of the RSUs and delivery of Shares pursuant thereto, the Employee shall have no rights as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with respect to the Shares to be issued upon the vesting of the RSUs. However, the Employee shall be credited with an amount equal to all cash dividends (“Dividend Equivalents”) that would have been paid to the Employee if one Share had been issued to the Employee on the Grant Date for each RSU granted to the Employee as set forth in this Agreement. Upon the vesting of the RSUs, in addition to the issuance and delivery of Shares in accordance with Section 2, the Employee shall be entitled to payment of the Dividend Equivalents in cash.</w:t>
      </w:r>
    </w:p>
    <w:p>
      <w:pPr>
        <w:spacing w:after="0" w:line="200" w:lineRule="exact"/>
        <w:rPr>
          <w:sz w:val="20"/>
          <w:szCs w:val="20"/>
          <w:color w:val="auto"/>
        </w:rPr>
      </w:pPr>
    </w:p>
    <w:p>
      <w:pPr>
        <w:spacing w:after="0" w:line="335" w:lineRule="exact"/>
        <w:rPr>
          <w:sz w:val="20"/>
          <w:szCs w:val="20"/>
          <w:color w:val="auto"/>
        </w:rPr>
      </w:pPr>
    </w:p>
    <w:p>
      <w:pPr>
        <w:jc w:val="both"/>
        <w:ind w:left="124" w:right="20" w:hanging="769"/>
        <w:spacing w:after="0" w:line="289" w:lineRule="auto"/>
        <w:rPr>
          <w:sz w:val="20"/>
          <w:szCs w:val="20"/>
          <w:color w:val="auto"/>
        </w:rPr>
      </w:pPr>
      <w:r>
        <w:rPr>
          <w:rFonts w:ascii="Arial" w:cs="Arial" w:eastAsia="Arial" w:hAnsi="Arial"/>
          <w:sz w:val="15"/>
          <w:szCs w:val="15"/>
          <w:b w:val="1"/>
          <w:bCs w:val="1"/>
          <w:color w:val="auto"/>
        </w:rPr>
        <w:t xml:space="preserve">6.TAXES. </w:t>
      </w:r>
      <w:r>
        <w:rPr>
          <w:rFonts w:ascii="Arial" w:cs="Arial" w:eastAsia="Arial" w:hAnsi="Arial"/>
          <w:sz w:val="15"/>
          <w:szCs w:val="15"/>
          <w:color w:val="auto"/>
        </w:rPr>
        <w:t>The Employee shall be liable for any and all applicable federal, state and local tax withholding requirements arising out of this grant or the vesting of the RSUs</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Employee shall satisfy his or her withholding tax obligation in accordance with Employee’s selection of one of the withholding options defined below which Employee shall make immediately prior to each Vesting Date via the participant portal and Employee agrees that each such selection is irrevocable.</w:t>
      </w:r>
    </w:p>
    <w:p>
      <w:pPr>
        <w:spacing w:after="0" w:line="133" w:lineRule="exact"/>
        <w:rPr>
          <w:sz w:val="20"/>
          <w:szCs w:val="20"/>
          <w:color w:val="auto"/>
        </w:rPr>
      </w:pPr>
    </w:p>
    <w:p>
      <w:pPr>
        <w:ind w:left="1304" w:hanging="980"/>
        <w:spacing w:after="0" w:line="281" w:lineRule="auto"/>
        <w:tabs>
          <w:tab w:leader="none" w:pos="656"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SHARE WITHHOLDING. </w:t>
      </w:r>
      <w:r>
        <w:rPr>
          <w:rFonts w:ascii="Arial" w:cs="Arial" w:eastAsia="Arial" w:hAnsi="Arial"/>
          <w:sz w:val="16"/>
          <w:szCs w:val="16"/>
          <w:color w:val="auto"/>
        </w:rPr>
        <w:t>The Employee hereby authorizes the Corporation to withhold the number of Shares required to satisfy the 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due on the Vesting Date from the Shares to be issued upon the vesting of RSUs.</w:t>
      </w:r>
    </w:p>
    <w:p>
      <w:pPr>
        <w:spacing w:after="0" w:line="136" w:lineRule="exact"/>
        <w:rPr>
          <w:rFonts w:ascii="Arial" w:cs="Arial" w:eastAsia="Arial" w:hAnsi="Arial"/>
          <w:sz w:val="16"/>
          <w:szCs w:val="16"/>
          <w:color w:val="auto"/>
        </w:rPr>
      </w:pPr>
    </w:p>
    <w:p>
      <w:pPr>
        <w:ind w:left="1304" w:hanging="980"/>
        <w:spacing w:after="0" w:line="281" w:lineRule="auto"/>
        <w:tabs>
          <w:tab w:leader="none" w:pos="656"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CASH PAYMENT. </w:t>
      </w:r>
      <w:r>
        <w:rPr>
          <w:rFonts w:ascii="Arial" w:cs="Arial" w:eastAsia="Arial" w:hAnsi="Arial"/>
          <w:sz w:val="16"/>
          <w:szCs w:val="16"/>
          <w:color w:val="auto"/>
        </w:rPr>
        <w:t>The Employee hereby agrees to deliver payment to the Corporation on the Vesting Date in an amount equal to the amount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the tax withholding obligations due on the Vesting Date as determined by the Corporation.</w:t>
      </w:r>
    </w:p>
    <w:p>
      <w:pPr>
        <w:spacing w:after="0" w:line="140" w:lineRule="exact"/>
        <w:rPr>
          <w:sz w:val="20"/>
          <w:szCs w:val="20"/>
          <w:color w:val="auto"/>
        </w:rPr>
      </w:pPr>
    </w:p>
    <w:p>
      <w:pPr>
        <w:jc w:val="both"/>
        <w:ind w:left="4"/>
        <w:spacing w:after="0" w:line="261" w:lineRule="auto"/>
        <w:rPr>
          <w:sz w:val="20"/>
          <w:szCs w:val="20"/>
          <w:color w:val="auto"/>
        </w:rPr>
      </w:pPr>
      <w:r>
        <w:rPr>
          <w:rFonts w:ascii="Arial" w:cs="Arial" w:eastAsia="Arial" w:hAnsi="Arial"/>
          <w:sz w:val="16"/>
          <w:szCs w:val="16"/>
          <w:color w:val="auto"/>
        </w:rPr>
        <w:t>The Employee further agrees that the issuance and delivery of the Shares in accordance with Section 2 is conditioned on the payment by Employee to the Corporation of an amount equal to the taxes required to be withheld by the Corporation as a result of the vesting of the RSUs and that no such Shares shall be issued and delivered to Employee until Employee’s tax withholding obligations have been satisfied.</w:t>
      </w:r>
    </w:p>
    <w:p>
      <w:pPr>
        <w:spacing w:after="0" w:line="152" w:lineRule="exact"/>
        <w:rPr>
          <w:sz w:val="20"/>
          <w:szCs w:val="20"/>
          <w:color w:val="auto"/>
        </w:rPr>
      </w:pPr>
    </w:p>
    <w:p>
      <w:pPr>
        <w:jc w:val="both"/>
        <w:ind w:left="124" w:right="20" w:hanging="769"/>
        <w:spacing w:after="0" w:line="281" w:lineRule="auto"/>
        <w:rPr>
          <w:sz w:val="20"/>
          <w:szCs w:val="20"/>
          <w:color w:val="auto"/>
        </w:rPr>
      </w:pPr>
      <w:r>
        <w:rPr>
          <w:rFonts w:ascii="Arial" w:cs="Arial" w:eastAsia="Arial" w:hAnsi="Arial"/>
          <w:sz w:val="16"/>
          <w:szCs w:val="16"/>
          <w:b w:val="1"/>
          <w:bCs w:val="1"/>
          <w:color w:val="auto"/>
        </w:rPr>
        <w:t>7.TRANSFERABILITY OF RSUS</w:t>
      </w:r>
      <w:r>
        <w:rPr>
          <w:rFonts w:ascii="Arial" w:cs="Arial" w:eastAsia="Arial" w:hAnsi="Arial"/>
          <w:sz w:val="16"/>
          <w:szCs w:val="16"/>
          <w:color w:val="auto"/>
        </w:rPr>
        <w:t>. The RSUs or any of the rights granted hereunder may not be sold, pledged or otherwise transferred otherwise than by will or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descent and distribution.</w:t>
      </w:r>
    </w:p>
    <w:p>
      <w:pPr>
        <w:spacing w:after="0" w:line="136" w:lineRule="exact"/>
        <w:rPr>
          <w:sz w:val="20"/>
          <w:szCs w:val="20"/>
          <w:color w:val="auto"/>
        </w:rPr>
      </w:pPr>
    </w:p>
    <w:p>
      <w:pPr>
        <w:jc w:val="both"/>
        <w:ind w:left="124" w:hanging="769"/>
        <w:spacing w:after="0" w:line="237" w:lineRule="auto"/>
        <w:rPr>
          <w:sz w:val="20"/>
          <w:szCs w:val="20"/>
          <w:color w:val="auto"/>
        </w:rPr>
      </w:pPr>
      <w:r>
        <w:rPr>
          <w:rFonts w:ascii="Arial" w:cs="Arial" w:eastAsia="Arial" w:hAnsi="Arial"/>
          <w:sz w:val="16"/>
          <w:szCs w:val="16"/>
          <w:b w:val="1"/>
          <w:bCs w:val="1"/>
          <w:color w:val="auto"/>
        </w:rPr>
        <w:t>8.NOTICES</w:t>
      </w:r>
      <w:r>
        <w:rPr>
          <w:rFonts w:ascii="Arial" w:cs="Arial" w:eastAsia="Arial" w:hAnsi="Arial"/>
          <w:sz w:val="16"/>
          <w:szCs w:val="16"/>
          <w:color w:val="auto"/>
        </w:rPr>
        <w:t>. Any notice or demand provided for in this Agreement must be in writing and must be either personally delivered, delivered by overnight courier, or mailed by</w:t>
      </w:r>
      <w:r>
        <w:rPr>
          <w:rFonts w:ascii="Arial" w:cs="Arial" w:eastAsia="Arial" w:hAnsi="Arial"/>
          <w:sz w:val="16"/>
          <w:szCs w:val="16"/>
          <w:b w:val="1"/>
          <w:bCs w:val="1"/>
          <w:color w:val="auto"/>
        </w:rPr>
        <w:t xml:space="preserve"> </w:t>
      </w:r>
      <w:r>
        <w:rPr>
          <w:rFonts w:ascii="Arial" w:cs="Arial" w:eastAsia="Arial" w:hAnsi="Arial"/>
          <w:sz w:val="16"/>
          <w:szCs w:val="16"/>
          <w:color w:val="auto"/>
        </w:rPr>
        <w:t>first class mail, to the Employee at the Employee’s most recent address on file in the records of the Corporation, and to the Corporation at 201 E. Sandpointe Ave., 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Santa Ana California 92707, Attention: Chief Financial Officer (with a copy to the Corporation’s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spacing w:after="0" w:line="169" w:lineRule="exact"/>
        <w:rPr>
          <w:sz w:val="20"/>
          <w:szCs w:val="20"/>
          <w:color w:val="auto"/>
        </w:rPr>
      </w:pPr>
    </w:p>
    <w:p>
      <w:pPr>
        <w:jc w:val="both"/>
        <w:ind w:left="124" w:hanging="769"/>
        <w:spacing w:after="0" w:line="263" w:lineRule="auto"/>
        <w:rPr>
          <w:sz w:val="20"/>
          <w:szCs w:val="20"/>
          <w:color w:val="auto"/>
        </w:rPr>
      </w:pPr>
      <w:r>
        <w:rPr>
          <w:rFonts w:ascii="Arial" w:cs="Arial" w:eastAsia="Arial" w:hAnsi="Arial"/>
          <w:sz w:val="16"/>
          <w:szCs w:val="16"/>
          <w:b w:val="1"/>
          <w:bCs w:val="1"/>
          <w:color w:val="auto"/>
        </w:rPr>
        <w:t>9.SEVERABILITY</w:t>
      </w:r>
      <w:r>
        <w:rPr>
          <w:rFonts w:ascii="Arial" w:cs="Arial" w:eastAsia="Arial" w:hAnsi="Arial"/>
          <w:sz w:val="16"/>
          <w:szCs w:val="16"/>
          <w:color w:val="auto"/>
        </w:rPr>
        <w:t>. This Agreement and each provision hereof shall be valid and enforced to the fullest extent permitted by law. The invalidity or unenforceability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Agreement shall not affect the validity or enforceability of any other provision. Without limiting the generality of the foregoing, if the scope of any provision contained in this</w:t>
      </w:r>
    </w:p>
    <w:p>
      <w:pPr>
        <w:sectPr>
          <w:pgSz w:w="11900" w:h="16838" w:orient="portrait"/>
          <w:cols w:equalWidth="0" w:num="1">
            <w:col w:w="10764"/>
          </w:cols>
          <w:pgMar w:left="896" w:top="656" w:right="239" w:bottom="1440" w:gutter="0" w:footer="0" w:header="0"/>
        </w:sectPr>
      </w:pPr>
    </w:p>
    <w:bookmarkStart w:id="73" w:name="page74"/>
    <w:bookmarkEnd w:id="73"/>
    <w:p>
      <w:pPr>
        <w:ind w:left="660"/>
        <w:spacing w:after="0" w:line="363" w:lineRule="auto"/>
        <w:rPr>
          <w:sz w:val="20"/>
          <w:szCs w:val="20"/>
          <w:color w:val="auto"/>
        </w:rPr>
      </w:pPr>
      <w:r>
        <w:rPr>
          <w:rFonts w:ascii="Arial" w:cs="Arial" w:eastAsia="Arial" w:hAnsi="Arial"/>
          <w:sz w:val="16"/>
          <w:szCs w:val="16"/>
          <w:color w:val="auto"/>
        </w:rPr>
        <w:t>Agreement is too broad to permit enforcement to its fullest extent, such provision shall be enforced to the maximum extent permitted by law, and the parties hereby agree that such scope may be judicially modified accordingly.</w:t>
      </w:r>
    </w:p>
    <w:p>
      <w:pPr>
        <w:spacing w:after="0" w:line="115" w:lineRule="exact"/>
        <w:rPr>
          <w:sz w:val="20"/>
          <w:szCs w:val="20"/>
          <w:color w:val="auto"/>
        </w:rPr>
      </w:pPr>
    </w:p>
    <w:p>
      <w:pPr>
        <w:jc w:val="both"/>
        <w:ind w:left="860" w:right="20" w:hanging="850"/>
        <w:spacing w:after="0" w:line="263" w:lineRule="auto"/>
        <w:rPr>
          <w:sz w:val="20"/>
          <w:szCs w:val="20"/>
          <w:color w:val="auto"/>
        </w:rPr>
      </w:pPr>
      <w:r>
        <w:rPr>
          <w:rFonts w:ascii="Arial" w:cs="Arial" w:eastAsia="Arial" w:hAnsi="Arial"/>
          <w:sz w:val="16"/>
          <w:szCs w:val="16"/>
          <w:b w:val="1"/>
          <w:bCs w:val="1"/>
          <w:color w:val="auto"/>
        </w:rPr>
        <w:t>10.COMPLETE AGREEMENT</w:t>
      </w:r>
      <w:r>
        <w:rPr>
          <w:rFonts w:ascii="Arial" w:cs="Arial" w:eastAsia="Arial" w:hAnsi="Arial"/>
          <w:sz w:val="16"/>
          <w:szCs w:val="16"/>
          <w:color w:val="auto"/>
        </w:rPr>
        <w:t>. This Agreement and those documents expressly referred to herein embody the complete agreement and understanding among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supersede and preempt any prior understandings, agreements or representations by or among the parties, written or oral, which may have related to the subject matter hereof in any way.</w:t>
      </w:r>
    </w:p>
    <w:p>
      <w:pPr>
        <w:spacing w:after="0" w:line="151" w:lineRule="exact"/>
        <w:rPr>
          <w:sz w:val="20"/>
          <w:szCs w:val="20"/>
          <w:color w:val="auto"/>
        </w:rPr>
      </w:pPr>
    </w:p>
    <w:p>
      <w:pPr>
        <w:ind w:left="660" w:hanging="652"/>
        <w:spacing w:after="0" w:line="281" w:lineRule="auto"/>
        <w:tabs>
          <w:tab w:leader="none" w:pos="6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PROMISE OF EMPLOYMENT. </w:t>
      </w:r>
      <w:r>
        <w:rPr>
          <w:rFonts w:ascii="Arial" w:cs="Arial" w:eastAsia="Arial" w:hAnsi="Arial"/>
          <w:sz w:val="16"/>
          <w:szCs w:val="16"/>
          <w:color w:val="auto"/>
        </w:rPr>
        <w:t>Neither the Plan nor this Agreement nor any provisions under either shall be construed so as to grant the Employee any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remain in the employ of the Corporation.</w:t>
      </w:r>
    </w:p>
    <w:p>
      <w:pPr>
        <w:spacing w:after="0" w:line="136" w:lineRule="exact"/>
        <w:rPr>
          <w:sz w:val="20"/>
          <w:szCs w:val="20"/>
          <w:color w:val="auto"/>
        </w:rPr>
      </w:pPr>
    </w:p>
    <w:p>
      <w:pPr>
        <w:jc w:val="both"/>
        <w:ind w:left="860" w:right="20" w:hanging="850"/>
        <w:spacing w:after="0" w:line="281" w:lineRule="auto"/>
        <w:rPr>
          <w:sz w:val="20"/>
          <w:szCs w:val="20"/>
          <w:color w:val="auto"/>
        </w:rPr>
      </w:pPr>
      <w:r>
        <w:rPr>
          <w:rFonts w:ascii="Arial" w:cs="Arial" w:eastAsia="Arial" w:hAnsi="Arial"/>
          <w:sz w:val="16"/>
          <w:szCs w:val="16"/>
          <w:b w:val="1"/>
          <w:bCs w:val="1"/>
          <w:color w:val="auto"/>
        </w:rPr>
        <w:t>12.COUNTERPARTS</w:t>
      </w:r>
      <w:r>
        <w:rPr>
          <w:rFonts w:ascii="Arial" w:cs="Arial" w:eastAsia="Arial" w:hAnsi="Arial"/>
          <w:sz w:val="16"/>
          <w:szCs w:val="16"/>
          <w:color w:val="auto"/>
        </w:rPr>
        <w:t>. This Agreement may be executed by way of facsimile or electronic signature in separate counterparts, each of which shall be deemed an original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which taken together shall constitute one and the same agreement.</w:t>
      </w:r>
    </w:p>
    <w:p>
      <w:pPr>
        <w:spacing w:after="0" w:line="136" w:lineRule="exact"/>
        <w:rPr>
          <w:sz w:val="20"/>
          <w:szCs w:val="20"/>
          <w:color w:val="auto"/>
        </w:rPr>
      </w:pPr>
    </w:p>
    <w:p>
      <w:pPr>
        <w:jc w:val="both"/>
        <w:ind w:left="860" w:hanging="850"/>
        <w:spacing w:after="0" w:line="258" w:lineRule="auto"/>
        <w:rPr>
          <w:sz w:val="20"/>
          <w:szCs w:val="20"/>
          <w:color w:val="auto"/>
        </w:rPr>
      </w:pPr>
      <w:r>
        <w:rPr>
          <w:rFonts w:ascii="Arial" w:cs="Arial" w:eastAsia="Arial" w:hAnsi="Arial"/>
          <w:sz w:val="16"/>
          <w:szCs w:val="16"/>
          <w:b w:val="1"/>
          <w:bCs w:val="1"/>
          <w:color w:val="auto"/>
        </w:rPr>
        <w:t>13.SUCCESSORS AND ASSIGNS</w:t>
      </w:r>
      <w:r>
        <w:rPr>
          <w:rFonts w:ascii="Arial" w:cs="Arial" w:eastAsia="Arial" w:hAnsi="Arial"/>
          <w:sz w:val="16"/>
          <w:szCs w:val="16"/>
          <w:color w:val="auto"/>
        </w:rPr>
        <w:t>. This Agreement is intended to bind and inure to the benefit of and be enforceable by the Employee, the Corporation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spacing w:after="0" w:line="154" w:lineRule="exact"/>
        <w:rPr>
          <w:sz w:val="20"/>
          <w:szCs w:val="20"/>
          <w:color w:val="auto"/>
        </w:rPr>
      </w:pPr>
    </w:p>
    <w:p>
      <w:pPr>
        <w:jc w:val="both"/>
        <w:ind w:left="860" w:hanging="850"/>
        <w:spacing w:after="0" w:line="255" w:lineRule="auto"/>
        <w:rPr>
          <w:sz w:val="20"/>
          <w:szCs w:val="20"/>
          <w:color w:val="auto"/>
        </w:rPr>
      </w:pPr>
      <w:r>
        <w:rPr>
          <w:rFonts w:ascii="Arial" w:cs="Arial" w:eastAsia="Arial" w:hAnsi="Arial"/>
          <w:sz w:val="16"/>
          <w:szCs w:val="16"/>
          <w:b w:val="1"/>
          <w:bCs w:val="1"/>
          <w:color w:val="auto"/>
        </w:rPr>
        <w:t>14.REMEDIES</w:t>
      </w:r>
      <w:r>
        <w:rPr>
          <w:rFonts w:ascii="Arial" w:cs="Arial" w:eastAsia="Arial" w:hAnsi="Arial"/>
          <w:sz w:val="16"/>
          <w:szCs w:val="16"/>
          <w:color w:val="auto"/>
        </w:rPr>
        <w:t>. Each of the parties to this Agreement will be entitled to enforce its rights under this Agreement specifically, to recover damages by reason of any breach of</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spacing w:after="0" w:line="157" w:lineRule="exact"/>
        <w:rPr>
          <w:sz w:val="20"/>
          <w:szCs w:val="20"/>
          <w:color w:val="auto"/>
        </w:rPr>
      </w:pPr>
    </w:p>
    <w:p>
      <w:pPr>
        <w:jc w:val="both"/>
        <w:ind w:left="860" w:hanging="850"/>
        <w:spacing w:after="0" w:line="281" w:lineRule="auto"/>
        <w:rPr>
          <w:sz w:val="20"/>
          <w:szCs w:val="20"/>
          <w:color w:val="auto"/>
        </w:rPr>
      </w:pPr>
      <w:r>
        <w:rPr>
          <w:rFonts w:ascii="Arial" w:cs="Arial" w:eastAsia="Arial" w:hAnsi="Arial"/>
          <w:sz w:val="16"/>
          <w:szCs w:val="16"/>
          <w:b w:val="1"/>
          <w:bCs w:val="1"/>
          <w:color w:val="auto"/>
        </w:rPr>
        <w:t>15.WAIVER OR MODIFICATION</w:t>
      </w:r>
      <w:r>
        <w:rPr>
          <w:rFonts w:ascii="Arial" w:cs="Arial" w:eastAsia="Arial" w:hAnsi="Arial"/>
          <w:sz w:val="16"/>
          <w:szCs w:val="16"/>
          <w:color w:val="auto"/>
        </w:rPr>
        <w:t>. Any waiver or modification of any of the provisions of this Agreement shall not be valid unless made in writing and signed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A waiver by either party of any breach of this Agreement shall not operate as a waiver of any subsequent breach.</w:t>
      </w:r>
    </w:p>
    <w:p>
      <w:pPr>
        <w:spacing w:after="0" w:line="136" w:lineRule="exact"/>
        <w:rPr>
          <w:sz w:val="20"/>
          <w:szCs w:val="20"/>
          <w:color w:val="auto"/>
        </w:rPr>
      </w:pPr>
    </w:p>
    <w:p>
      <w:pPr>
        <w:jc w:val="both"/>
        <w:ind w:left="860" w:right="20" w:hanging="850"/>
        <w:spacing w:after="0" w:line="281" w:lineRule="auto"/>
        <w:rPr>
          <w:sz w:val="20"/>
          <w:szCs w:val="20"/>
          <w:color w:val="auto"/>
        </w:rPr>
      </w:pPr>
      <w:r>
        <w:rPr>
          <w:rFonts w:ascii="Arial" w:cs="Arial" w:eastAsia="Arial" w:hAnsi="Arial"/>
          <w:sz w:val="16"/>
          <w:szCs w:val="16"/>
          <w:b w:val="1"/>
          <w:bCs w:val="1"/>
          <w:color w:val="auto"/>
        </w:rPr>
        <w:t>16.GOVERNING LAW</w:t>
      </w:r>
      <w:r>
        <w:rPr>
          <w:rFonts w:ascii="Arial" w:cs="Arial" w:eastAsia="Arial" w:hAnsi="Arial"/>
          <w:sz w:val="16"/>
          <w:szCs w:val="16"/>
          <w:color w:val="auto"/>
        </w:rPr>
        <w:t>. This Agreement shall be governed and construed and the legal relationships of the parties determined in accordance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without reference to principles of conflict of laws.</w:t>
      </w:r>
    </w:p>
    <w:p>
      <w:pPr>
        <w:spacing w:after="0" w:line="136" w:lineRule="exact"/>
        <w:rPr>
          <w:sz w:val="20"/>
          <w:szCs w:val="20"/>
          <w:color w:val="auto"/>
        </w:rPr>
      </w:pPr>
    </w:p>
    <w:p>
      <w:pPr>
        <w:jc w:val="both"/>
        <w:ind w:left="660" w:hanging="652"/>
        <w:spacing w:after="0" w:line="270" w:lineRule="auto"/>
        <w:tabs>
          <w:tab w:leader="none" w:pos="660"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CODE SECTION 409A</w:t>
      </w:r>
      <w:r>
        <w:rPr>
          <w:rFonts w:ascii="Arial" w:cs="Arial" w:eastAsia="Arial" w:hAnsi="Arial"/>
          <w:sz w:val="15"/>
          <w:szCs w:val="15"/>
          <w:color w:val="auto"/>
        </w:rPr>
        <w:t>. This Agreement is intended to be interpreted and applied so that the Award set forth herein shall be exempt from the requirements of</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409A of the Code and the final Treasury Regulations promulgated thereunder (collectively, “Section 409A”), and, accordingly, to the maximum extent permitted, this Agreement shall be interpreted to be exempt from Section 409A. To the extent that the Corporation determines that any provision of this Agreement would cause the Optionee to incur any additional tax or interest under Section 409A, the Corporation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Optionee and the Corporation without violating the provisions of Section 409A. Neither the Corporation nor any employee, director or officer thereof guarantees that this Agreement complies with Section 409A and no such party shall have any liability with respect to any failure of this Agreement to so comply.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Agreement electronically via the participant portal as of the date first above written.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20"/>
                <w:szCs w:val="20"/>
                <w:color w:val="auto"/>
              </w:rPr>
            </w:pPr>
            <w:r>
              <w:rPr>
                <w:rFonts w:ascii="Arial" w:cs="Arial" w:eastAsia="Arial" w:hAnsi="Arial"/>
                <w:sz w:val="16"/>
                <w:szCs w:val="16"/>
                <w:b w:val="1"/>
                <w:bCs w:val="1"/>
                <w:color w:val="auto"/>
              </w:rPr>
              <w:t>EMPLOYEE</w:t>
            </w:r>
          </w:p>
        </w:tc>
        <w:tc>
          <w:tcPr>
            <w:tcW w:w="8320" w:type="dxa"/>
            <w:vAlign w:val="bottom"/>
            <w:gridSpan w:val="3"/>
          </w:tcPr>
          <w:p>
            <w:pPr>
              <w:ind w:left="320"/>
              <w:spacing w:after="0"/>
              <w:rPr>
                <w:sz w:val="20"/>
                <w:szCs w:val="20"/>
                <w:color w:val="auto"/>
              </w:rPr>
            </w:pPr>
            <w:r>
              <w:rPr>
                <w:rFonts w:ascii="Arial" w:cs="Arial" w:eastAsia="Arial" w:hAnsi="Arial"/>
                <w:sz w:val="16"/>
                <w:szCs w:val="16"/>
                <w:b w:val="1"/>
                <w:bCs w:val="1"/>
                <w:color w:val="auto"/>
              </w:rPr>
              <w:t>UNIVERSAL ELECTRONICS INC.</w:t>
            </w:r>
          </w:p>
        </w:tc>
      </w:tr>
      <w:tr>
        <w:trPr>
          <w:trHeight w:val="554"/>
        </w:trPr>
        <w:tc>
          <w:tcPr>
            <w:tcW w:w="3100" w:type="dxa"/>
            <w:vAlign w:val="bottom"/>
          </w:tcPr>
          <w:p>
            <w:pPr>
              <w:ind w:left="40"/>
              <w:spacing w:after="0"/>
              <w:rPr>
                <w:sz w:val="20"/>
                <w:szCs w:val="20"/>
                <w:color w:val="auto"/>
              </w:rPr>
            </w:pPr>
            <w:r>
              <w:rPr>
                <w:rFonts w:ascii="Arial" w:cs="Arial" w:eastAsia="Arial" w:hAnsi="Arial"/>
                <w:sz w:val="16"/>
                <w:szCs w:val="16"/>
                <w:color w:val="auto"/>
              </w:rPr>
              <w:t>[[SIGNATURE]]</w:t>
            </w:r>
          </w:p>
        </w:tc>
        <w:tc>
          <w:tcPr>
            <w:tcW w:w="1940" w:type="dxa"/>
            <w:vAlign w:val="bottom"/>
          </w:tcPr>
          <w:p>
            <w:pPr>
              <w:spacing w:after="0"/>
              <w:rPr>
                <w:sz w:val="24"/>
                <w:szCs w:val="24"/>
                <w:color w:val="auto"/>
              </w:rPr>
            </w:pPr>
          </w:p>
        </w:tc>
        <w:tc>
          <w:tcPr>
            <w:tcW w:w="6380" w:type="dxa"/>
            <w:vAlign w:val="bottom"/>
            <w:gridSpan w:val="2"/>
          </w:tcPr>
          <w:p>
            <w:pPr>
              <w:ind w:left="380"/>
              <w:spacing w:after="0"/>
              <w:rPr>
                <w:sz w:val="20"/>
                <w:szCs w:val="20"/>
                <w:color w:val="auto"/>
              </w:rPr>
            </w:pPr>
            <w:r>
              <w:rPr>
                <w:rFonts w:ascii="Arial" w:cs="Arial" w:eastAsia="Arial" w:hAnsi="Arial"/>
                <w:sz w:val="16"/>
                <w:szCs w:val="16"/>
                <w:color w:val="auto"/>
              </w:rPr>
              <w:t>By:</w:t>
            </w:r>
          </w:p>
        </w:tc>
      </w:tr>
      <w:tr>
        <w:trPr>
          <w:trHeight w:val="33"/>
        </w:trPr>
        <w:tc>
          <w:tcPr>
            <w:tcW w:w="3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Name: [[FIRSTNAME]] [[LASTNAME]]</w:t>
            </w:r>
          </w:p>
        </w:tc>
        <w:tc>
          <w:tcPr>
            <w:tcW w:w="1940" w:type="dxa"/>
            <w:vAlign w:val="bottom"/>
          </w:tcPr>
          <w:p>
            <w:pPr>
              <w:spacing w:after="0"/>
              <w:rPr>
                <w:sz w:val="18"/>
                <w:szCs w:val="18"/>
                <w:color w:val="auto"/>
              </w:rPr>
            </w:pPr>
          </w:p>
        </w:tc>
        <w:tc>
          <w:tcPr>
            <w:tcW w:w="6380" w:type="dxa"/>
            <w:vAlign w:val="bottom"/>
            <w:gridSpan w:val="2"/>
          </w:tcPr>
          <w:p>
            <w:pPr>
              <w:ind w:left="780"/>
              <w:spacing w:after="0"/>
              <w:rPr>
                <w:sz w:val="20"/>
                <w:szCs w:val="20"/>
                <w:color w:val="auto"/>
              </w:rPr>
            </w:pPr>
            <w:r>
              <w:rPr>
                <w:rFonts w:ascii="Arial" w:cs="Arial" w:eastAsia="Arial" w:hAnsi="Arial"/>
                <w:sz w:val="16"/>
                <w:szCs w:val="16"/>
                <w:color w:val="auto"/>
              </w:rPr>
              <w:t>Its: Chief Executive Officer</w:t>
            </w:r>
          </w:p>
        </w:tc>
      </w:tr>
      <w:tr>
        <w:trPr>
          <w:trHeight w:val="33"/>
        </w:trPr>
        <w:tc>
          <w:tcPr>
            <w:tcW w:w="3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360" w:type="dxa"/>
            <w:vAlign w:val="bottom"/>
          </w:tcPr>
          <w:p>
            <w:pPr>
              <w:spacing w:after="0"/>
              <w:rPr>
                <w:sz w:val="2"/>
                <w:szCs w:val="2"/>
                <w:color w:val="auto"/>
              </w:rPr>
            </w:pPr>
          </w:p>
        </w:tc>
      </w:tr>
    </w:tbl>
    <w:p>
      <w:pPr>
        <w:sectPr>
          <w:pgSz w:w="11900" w:h="16838" w:orient="portrait"/>
          <w:cols w:equalWidth="0" w:num="1">
            <w:col w:w="11420"/>
          </w:cols>
          <w:pgMar w:left="240" w:top="656"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6"/>
          <w:szCs w:val="16"/>
          <w:b w:val="1"/>
          <w:bCs w:val="1"/>
          <w:color w:val="auto"/>
        </w:rPr>
        <w:t>STOCK OPTION AGREEMENT</w:t>
      </w:r>
    </w:p>
    <w:p>
      <w:pPr>
        <w:spacing w:after="0" w:line="19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This Stock Option Agreement (this “Agreement”) is entered into by and between XXX (“Optionee”) and Universal Electronics Inc., a Delaware corporation (the “Corporation”), effective as of the Grant Date specified in the Stock Option Grant Statement attached hereto (the “Grant Statement”), which shall constitute an integral part of this Agreement.</w:t>
      </w:r>
    </w:p>
    <w:p>
      <w:pPr>
        <w:spacing w:after="0" w:line="206" w:lineRule="exact"/>
        <w:rPr>
          <w:sz w:val="20"/>
          <w:szCs w:val="20"/>
          <w:color w:val="auto"/>
        </w:rPr>
      </w:pPr>
    </w:p>
    <w:p>
      <w:pPr>
        <w:jc w:val="both"/>
        <w:ind w:firstLine="656"/>
        <w:spacing w:after="0" w:line="343" w:lineRule="auto"/>
        <w:tabs>
          <w:tab w:leader="none" w:pos="1418"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 xml:space="preserve">Option Grant. </w:t>
      </w:r>
      <w:r>
        <w:rPr>
          <w:rFonts w:ascii="Arial" w:cs="Arial" w:eastAsia="Arial" w:hAnsi="Arial"/>
          <w:sz w:val="16"/>
          <w:szCs w:val="16"/>
          <w:color w:val="auto"/>
        </w:rPr>
        <w:t>Upon the execution and delivery of this Agreement and the Grant Statement, the Corporation hereby grants to the Optionee a</w:t>
      </w:r>
      <w:r>
        <w:rPr>
          <w:rFonts w:ascii="Arial" w:cs="Arial" w:eastAsia="Arial" w:hAnsi="Arial"/>
          <w:sz w:val="16"/>
          <w:szCs w:val="16"/>
          <w:b w:val="1"/>
          <w:bCs w:val="1"/>
          <w:color w:val="auto"/>
        </w:rPr>
        <w:t xml:space="preserve"> </w:t>
      </w:r>
      <w:r>
        <w:rPr>
          <w:rFonts w:ascii="Arial" w:cs="Arial" w:eastAsia="Arial" w:hAnsi="Arial"/>
          <w:sz w:val="16"/>
          <w:szCs w:val="16"/>
          <w:color w:val="auto"/>
        </w:rPr>
        <w:t>nonqualified stock option (“Option”) to purchase shares of the Corporation’s Common Stock (each, a “Share”), upon the terms and conditions set out in this Agreement and the Grant Statement. This Option is issued pursuant to the Universal Electronics, Inc. 2018 Equity and Incentive Compensation Plan (the “Plan”), and the terms and conditions specified in the Plan shall apply in addition to the terms set out in this Agreement and the Grant Statement. In case on any conflict between the terms of the Plan and this Agreement or the Grant Statement, the terms of the Plan shall apply.</w:t>
      </w:r>
    </w:p>
    <w:p>
      <w:pPr>
        <w:spacing w:after="0" w:line="211" w:lineRule="exact"/>
        <w:rPr>
          <w:rFonts w:ascii="Arial" w:cs="Arial" w:eastAsia="Arial" w:hAnsi="Arial"/>
          <w:sz w:val="16"/>
          <w:szCs w:val="16"/>
          <w:color w:val="auto"/>
        </w:rPr>
      </w:pPr>
    </w:p>
    <w:p>
      <w:pPr>
        <w:ind w:firstLine="656"/>
        <w:spacing w:after="0" w:line="279" w:lineRule="auto"/>
        <w:tabs>
          <w:tab w:leader="none" w:pos="1031" w:val="left"/>
        </w:tabs>
        <w:numPr>
          <w:ilvl w:val="0"/>
          <w:numId w:val="128"/>
        </w:numPr>
        <w:rPr>
          <w:rFonts w:ascii="Arial" w:cs="Arial" w:eastAsia="Arial" w:hAnsi="Arial"/>
          <w:sz w:val="22"/>
          <w:szCs w:val="22"/>
          <w:color w:val="auto"/>
        </w:rPr>
      </w:pPr>
      <w:r>
        <w:rPr>
          <w:rFonts w:ascii="Arial" w:cs="Arial" w:eastAsia="Arial" w:hAnsi="Arial"/>
          <w:sz w:val="16"/>
          <w:szCs w:val="16"/>
          <w:b w:val="1"/>
          <w:bCs w:val="1"/>
          <w:color w:val="auto"/>
        </w:rPr>
        <w:t xml:space="preserve">Defined Terms and Rules of Construction. </w:t>
      </w:r>
      <w:r>
        <w:rPr>
          <w:rFonts w:ascii="Arial" w:cs="Arial" w:eastAsia="Arial" w:hAnsi="Arial"/>
          <w:sz w:val="16"/>
          <w:szCs w:val="16"/>
          <w:color w:val="auto"/>
        </w:rPr>
        <w:t>Except as otherwise defined herein, capitalized terms in this Agreement and the Grant Statement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meanings specified by the Plan. In addition, the following terms, when capitalized herein, shall have the meanings set out below:</w:t>
      </w:r>
    </w:p>
    <w:p>
      <w:pPr>
        <w:spacing w:after="0" w:line="252" w:lineRule="exact"/>
        <w:rPr>
          <w:sz w:val="20"/>
          <w:szCs w:val="20"/>
          <w:color w:val="auto"/>
        </w:rPr>
      </w:pPr>
    </w:p>
    <w:p>
      <w:pPr>
        <w:jc w:val="both"/>
        <w:ind w:firstLine="656"/>
        <w:spacing w:after="0" w:line="335" w:lineRule="auto"/>
        <w:tabs>
          <w:tab w:leader="none" w:pos="1122" w:val="left"/>
        </w:tabs>
        <w:numPr>
          <w:ilvl w:val="0"/>
          <w:numId w:val="129"/>
        </w:numPr>
        <w:rPr>
          <w:rFonts w:ascii="Arial" w:cs="Arial" w:eastAsia="Arial" w:hAnsi="Arial"/>
          <w:sz w:val="21"/>
          <w:szCs w:val="21"/>
          <w:color w:val="auto"/>
        </w:rPr>
      </w:pPr>
      <w:r>
        <w:rPr>
          <w:rFonts w:ascii="Arial" w:cs="Arial" w:eastAsia="Arial" w:hAnsi="Arial"/>
          <w:sz w:val="15"/>
          <w:szCs w:val="15"/>
          <w:color w:val="auto"/>
        </w:rPr>
        <w:t>“Constructive Termination” means the Optionee’s voluntary termination of employment, if such Termination occurs within eighteen (18) months after the occurrence of (i) the Employer’s failure to elect, re-elected, appoint, or re-appoint the Optionee to an office of the Employer that the Optionee holds (other than as a result of a termination for “Cause”), if such office is one to which the Optionee is elected or appointed according to the Employer’s By-laws; provided, however, such failure shall not be deemed a Constructive Termination, if the Optionee is elected or appointed to a higher office in connection with such failure; (ii) a change in the Optionee’s functions, duties, or responsibilities such that Optionee’s position with the Employer becomes substantially less in responsibility, importance, or scope; or (iii) a Change in Control.</w:t>
      </w:r>
    </w:p>
    <w:p>
      <w:pPr>
        <w:spacing w:after="0" w:line="179" w:lineRule="exact"/>
        <w:rPr>
          <w:rFonts w:ascii="Arial" w:cs="Arial" w:eastAsia="Arial" w:hAnsi="Arial"/>
          <w:sz w:val="21"/>
          <w:szCs w:val="21"/>
          <w:color w:val="auto"/>
        </w:rPr>
      </w:pPr>
    </w:p>
    <w:p>
      <w:pPr>
        <w:ind w:left="1080" w:hanging="424"/>
        <w:spacing w:after="0"/>
        <w:tabs>
          <w:tab w:leader="none" w:pos="1080" w:val="left"/>
        </w:tabs>
        <w:numPr>
          <w:ilvl w:val="0"/>
          <w:numId w:val="129"/>
        </w:numPr>
        <w:rPr>
          <w:rFonts w:ascii="Arial" w:cs="Arial" w:eastAsia="Arial" w:hAnsi="Arial"/>
          <w:sz w:val="22"/>
          <w:szCs w:val="22"/>
          <w:color w:val="auto"/>
        </w:rPr>
      </w:pPr>
      <w:r>
        <w:rPr>
          <w:rFonts w:ascii="Arial" w:cs="Arial" w:eastAsia="Arial" w:hAnsi="Arial"/>
          <w:sz w:val="16"/>
          <w:szCs w:val="16"/>
          <w:color w:val="auto"/>
        </w:rPr>
        <w:t>“Exercise Notice” means a written notice described in Section 4 of this Agreement.</w:t>
      </w:r>
    </w:p>
    <w:p>
      <w:pPr>
        <w:spacing w:after="0" w:line="246" w:lineRule="exact"/>
        <w:rPr>
          <w:rFonts w:ascii="Arial" w:cs="Arial" w:eastAsia="Arial" w:hAnsi="Arial"/>
          <w:sz w:val="22"/>
          <w:szCs w:val="22"/>
          <w:color w:val="auto"/>
        </w:rPr>
      </w:pPr>
    </w:p>
    <w:p>
      <w:pPr>
        <w:ind w:left="1080" w:hanging="424"/>
        <w:spacing w:after="0"/>
        <w:tabs>
          <w:tab w:leader="none" w:pos="1080" w:val="left"/>
        </w:tabs>
        <w:numPr>
          <w:ilvl w:val="0"/>
          <w:numId w:val="129"/>
        </w:numPr>
        <w:rPr>
          <w:rFonts w:ascii="Arial" w:cs="Arial" w:eastAsia="Arial" w:hAnsi="Arial"/>
          <w:sz w:val="22"/>
          <w:szCs w:val="22"/>
          <w:color w:val="auto"/>
        </w:rPr>
      </w:pPr>
      <w:r>
        <w:rPr>
          <w:rFonts w:ascii="Arial" w:cs="Arial" w:eastAsia="Arial" w:hAnsi="Arial"/>
          <w:sz w:val="16"/>
          <w:szCs w:val="16"/>
          <w:color w:val="auto"/>
        </w:rPr>
        <w:t>“Exercise Price” means the price set out in the Grant Statement.</w:t>
      </w:r>
    </w:p>
    <w:p>
      <w:pPr>
        <w:spacing w:after="0" w:line="246" w:lineRule="exact"/>
        <w:rPr>
          <w:rFonts w:ascii="Arial" w:cs="Arial" w:eastAsia="Arial" w:hAnsi="Arial"/>
          <w:sz w:val="22"/>
          <w:szCs w:val="22"/>
          <w:color w:val="auto"/>
        </w:rPr>
      </w:pPr>
    </w:p>
    <w:p>
      <w:pPr>
        <w:ind w:left="1080" w:hanging="424"/>
        <w:spacing w:after="0"/>
        <w:tabs>
          <w:tab w:leader="none" w:pos="1080" w:val="left"/>
        </w:tabs>
        <w:numPr>
          <w:ilvl w:val="0"/>
          <w:numId w:val="129"/>
        </w:numPr>
        <w:rPr>
          <w:rFonts w:ascii="Arial" w:cs="Arial" w:eastAsia="Arial" w:hAnsi="Arial"/>
          <w:sz w:val="22"/>
          <w:szCs w:val="22"/>
          <w:color w:val="auto"/>
        </w:rPr>
      </w:pPr>
      <w:r>
        <w:rPr>
          <w:rFonts w:ascii="Arial" w:cs="Arial" w:eastAsia="Arial" w:hAnsi="Arial"/>
          <w:sz w:val="16"/>
          <w:szCs w:val="16"/>
          <w:color w:val="auto"/>
        </w:rPr>
        <w:t>“Expiration Date” means the expiration date specified in the Grant Statement.</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29"/>
        </w:numPr>
        <w:rPr>
          <w:rFonts w:ascii="Arial" w:cs="Arial" w:eastAsia="Arial" w:hAnsi="Arial"/>
          <w:sz w:val="22"/>
          <w:szCs w:val="22"/>
          <w:color w:val="auto"/>
        </w:rPr>
      </w:pPr>
      <w:r>
        <w:rPr>
          <w:rFonts w:ascii="Arial" w:cs="Arial" w:eastAsia="Arial" w:hAnsi="Arial"/>
          <w:sz w:val="16"/>
          <w:szCs w:val="16"/>
          <w:color w:val="auto"/>
        </w:rPr>
        <w:t>“Option Period” means the period during which an Option is exercisable, as provided in the Grant Statement.</w:t>
      </w:r>
    </w:p>
    <w:p>
      <w:pPr>
        <w:spacing w:after="0" w:line="246" w:lineRule="exact"/>
        <w:rPr>
          <w:rFonts w:ascii="Arial" w:cs="Arial" w:eastAsia="Arial" w:hAnsi="Arial"/>
          <w:sz w:val="22"/>
          <w:szCs w:val="22"/>
          <w:color w:val="auto"/>
        </w:rPr>
      </w:pPr>
    </w:p>
    <w:p>
      <w:pPr>
        <w:ind w:left="1060" w:hanging="404"/>
        <w:spacing w:after="0"/>
        <w:tabs>
          <w:tab w:leader="none" w:pos="1060" w:val="left"/>
        </w:tabs>
        <w:numPr>
          <w:ilvl w:val="0"/>
          <w:numId w:val="129"/>
        </w:numPr>
        <w:rPr>
          <w:rFonts w:ascii="Arial" w:cs="Arial" w:eastAsia="Arial" w:hAnsi="Arial"/>
          <w:sz w:val="22"/>
          <w:szCs w:val="22"/>
          <w:color w:val="auto"/>
        </w:rPr>
      </w:pPr>
      <w:r>
        <w:rPr>
          <w:rFonts w:ascii="Arial" w:cs="Arial" w:eastAsia="Arial" w:hAnsi="Arial"/>
          <w:sz w:val="16"/>
          <w:szCs w:val="16"/>
          <w:color w:val="auto"/>
        </w:rPr>
        <w:t>“Termination Date” means the date of the Optionee’s cessation of employment as determined by the Corporation.</w:t>
      </w:r>
    </w:p>
    <w:p>
      <w:pPr>
        <w:spacing w:after="0" w:line="289" w:lineRule="exact"/>
        <w:rPr>
          <w:sz w:val="20"/>
          <w:szCs w:val="20"/>
          <w:color w:val="auto"/>
        </w:rPr>
      </w:pPr>
    </w:p>
    <w:p>
      <w:pPr>
        <w:jc w:val="both"/>
        <w:ind w:firstLine="656"/>
        <w:spacing w:after="0" w:line="296" w:lineRule="auto"/>
        <w:tabs>
          <w:tab w:leader="none" w:pos="1004" w:val="left"/>
        </w:tabs>
        <w:numPr>
          <w:ilvl w:val="1"/>
          <w:numId w:val="130"/>
        </w:numPr>
        <w:rPr>
          <w:rFonts w:ascii="Arial" w:cs="Arial" w:eastAsia="Arial" w:hAnsi="Arial"/>
          <w:sz w:val="22"/>
          <w:szCs w:val="22"/>
          <w:color w:val="auto"/>
        </w:rPr>
      </w:pPr>
      <w:r>
        <w:rPr>
          <w:rFonts w:ascii="Arial" w:cs="Arial" w:eastAsia="Arial" w:hAnsi="Arial"/>
          <w:sz w:val="16"/>
          <w:szCs w:val="16"/>
          <w:b w:val="1"/>
          <w:bCs w:val="1"/>
          <w:color w:val="auto"/>
        </w:rPr>
        <w:t xml:space="preserve">Term and Exercise of Option. </w:t>
      </w:r>
      <w:r>
        <w:rPr>
          <w:rFonts w:ascii="Arial" w:cs="Arial" w:eastAsia="Arial" w:hAnsi="Arial"/>
          <w:sz w:val="16"/>
          <w:szCs w:val="16"/>
          <w:color w:val="auto"/>
        </w:rPr>
        <w:t>Subject to earlier termination, acceleration or cancellation of the Option as provided herein or the Plan, the term of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for the period specified in the Grant Statement and, subject to the provisions of this Agreement and the Plan, the Option shall be exercisable at such times and as to such number of Shares as determined pursuant to the schedule specified in the Grant Statement.</w:t>
      </w:r>
    </w:p>
    <w:p>
      <w:pPr>
        <w:spacing w:after="0" w:line="197" w:lineRule="exact"/>
        <w:rPr>
          <w:rFonts w:ascii="Arial" w:cs="Arial" w:eastAsia="Arial" w:hAnsi="Arial"/>
          <w:sz w:val="22"/>
          <w:szCs w:val="22"/>
          <w:color w:val="auto"/>
        </w:rPr>
      </w:pPr>
    </w:p>
    <w:p>
      <w:pPr>
        <w:jc w:val="both"/>
        <w:ind w:right="20" w:firstLine="656"/>
        <w:spacing w:after="0" w:line="358" w:lineRule="auto"/>
        <w:tabs>
          <w:tab w:leader="none" w:pos="1058" w:val="left"/>
        </w:tabs>
        <w:numPr>
          <w:ilvl w:val="1"/>
          <w:numId w:val="130"/>
        </w:numPr>
        <w:rPr>
          <w:rFonts w:ascii="Arial" w:cs="Arial" w:eastAsia="Arial" w:hAnsi="Arial"/>
          <w:sz w:val="19"/>
          <w:szCs w:val="19"/>
          <w:color w:val="auto"/>
        </w:rPr>
      </w:pPr>
      <w:r>
        <w:rPr>
          <w:rFonts w:ascii="Arial" w:cs="Arial" w:eastAsia="Arial" w:hAnsi="Arial"/>
          <w:sz w:val="14"/>
          <w:szCs w:val="14"/>
          <w:b w:val="1"/>
          <w:bCs w:val="1"/>
          <w:color w:val="auto"/>
        </w:rPr>
        <w:t xml:space="preserve">Method of Exercise. </w:t>
      </w:r>
      <w:r>
        <w:rPr>
          <w:rFonts w:ascii="Arial" w:cs="Arial" w:eastAsia="Arial" w:hAnsi="Arial"/>
          <w:sz w:val="14"/>
          <w:szCs w:val="14"/>
          <w:color w:val="auto"/>
        </w:rPr>
        <w:t>The Option may be exercised by written notice to the Corporation at its offices at 201 E. Sandpointe Avenue, 8</w:t>
      </w:r>
      <w:r>
        <w:rPr>
          <w:rFonts w:ascii="Arial" w:cs="Arial" w:eastAsia="Arial" w:hAnsi="Arial"/>
          <w:sz w:val="18"/>
          <w:szCs w:val="18"/>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Floor, Santa Ana,</w:t>
      </w:r>
      <w:r>
        <w:rPr>
          <w:rFonts w:ascii="Arial" w:cs="Arial" w:eastAsia="Arial" w:hAnsi="Arial"/>
          <w:sz w:val="14"/>
          <w:szCs w:val="14"/>
          <w:b w:val="1"/>
          <w:bCs w:val="1"/>
          <w:color w:val="auto"/>
        </w:rPr>
        <w:t xml:space="preserve"> </w:t>
      </w:r>
      <w:r>
        <w:rPr>
          <w:rFonts w:ascii="Arial" w:cs="Arial" w:eastAsia="Arial" w:hAnsi="Arial"/>
          <w:sz w:val="14"/>
          <w:szCs w:val="14"/>
          <w:color w:val="auto"/>
        </w:rPr>
        <w:t>California 92707 to the attention of the Secretary of the Corporation, or as otherwise directed by the Corporation in writing to the Optionee. The Exercise Notice shall (i) state</w:t>
      </w:r>
    </w:p>
    <w:p>
      <w:pPr>
        <w:spacing w:after="0" w:line="1" w:lineRule="exact"/>
        <w:rPr>
          <w:rFonts w:ascii="Arial" w:cs="Arial" w:eastAsia="Arial" w:hAnsi="Arial"/>
          <w:sz w:val="19"/>
          <w:szCs w:val="19"/>
          <w:color w:val="auto"/>
        </w:rPr>
      </w:pPr>
    </w:p>
    <w:p>
      <w:pPr>
        <w:jc w:val="both"/>
        <w:ind w:firstLine="8"/>
        <w:spacing w:after="0" w:line="393" w:lineRule="auto"/>
        <w:tabs>
          <w:tab w:leader="none" w:pos="28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election to exercise the Option and (B) the number of full Shares with respect to which the Option is being exercised and (ii) be signed by the person or persons exercising the Option. Unless another method is permitted by the Committee at the time of exercise, the Exercise Notice shall be accompanied by a certified or cashier’s check for the full amount of the purchase price of such Shares, plus any amount necessary to satisfy Optionee’s obligations pursuant to Section 7. Subject to Committee approval the Exercise Price may be paid by delivery of certificates for Mature Shares that have a Fair Market Value on the date of exercise equal to the Exercise Price, through a brokered cashless exercise approved by the Corporation (subject to the Federal Reserve Board’s Regulation T and applicable securities laws), or by a combination of the foregoing methods of payment. Upon receipt of the foregoing, the Corporation shall issue the Shares as to which the Option has been duly exercised and shall return the Exercise Notice, duly endorsed to reflect such exercise, to the Optionee. In a cashless exercise, the Optionee must notify the Corporation as to the manner of the transaction.</w:t>
      </w:r>
    </w:p>
    <w:p>
      <w:pPr>
        <w:spacing w:after="0" w:line="147" w:lineRule="exact"/>
        <w:rPr>
          <w:rFonts w:ascii="Arial" w:cs="Arial" w:eastAsia="Arial" w:hAnsi="Arial"/>
          <w:sz w:val="14"/>
          <w:szCs w:val="14"/>
          <w:color w:val="auto"/>
        </w:rPr>
      </w:pPr>
    </w:p>
    <w:p>
      <w:pPr>
        <w:ind w:left="1000" w:hanging="344"/>
        <w:spacing w:after="0"/>
        <w:tabs>
          <w:tab w:leader="none" w:pos="1000" w:val="left"/>
        </w:tabs>
        <w:numPr>
          <w:ilvl w:val="1"/>
          <w:numId w:val="131"/>
        </w:numPr>
        <w:rPr>
          <w:rFonts w:ascii="Arial" w:cs="Arial" w:eastAsia="Arial" w:hAnsi="Arial"/>
          <w:sz w:val="22"/>
          <w:szCs w:val="22"/>
          <w:color w:val="auto"/>
        </w:rPr>
      </w:pPr>
      <w:r>
        <w:rPr>
          <w:rFonts w:ascii="Arial" w:cs="Arial" w:eastAsia="Arial" w:hAnsi="Arial"/>
          <w:sz w:val="16"/>
          <w:szCs w:val="16"/>
          <w:b w:val="1"/>
          <w:bCs w:val="1"/>
          <w:color w:val="auto"/>
        </w:rPr>
        <w:t>Optionee’s Covenants and Representations.</w:t>
      </w:r>
    </w:p>
    <w:p>
      <w:pPr>
        <w:spacing w:after="0" w:line="293" w:lineRule="exact"/>
        <w:rPr>
          <w:sz w:val="20"/>
          <w:szCs w:val="20"/>
          <w:color w:val="auto"/>
        </w:rPr>
      </w:pPr>
    </w:p>
    <w:p>
      <w:pPr>
        <w:jc w:val="both"/>
        <w:ind w:firstLine="656"/>
        <w:spacing w:after="0" w:line="294" w:lineRule="auto"/>
        <w:tabs>
          <w:tab w:leader="none" w:pos="1068" w:val="left"/>
        </w:tabs>
        <w:numPr>
          <w:ilvl w:val="0"/>
          <w:numId w:val="132"/>
        </w:numPr>
        <w:rPr>
          <w:rFonts w:ascii="Arial" w:cs="Arial" w:eastAsia="Arial" w:hAnsi="Arial"/>
          <w:sz w:val="22"/>
          <w:szCs w:val="22"/>
          <w:color w:val="auto"/>
        </w:rPr>
      </w:pPr>
      <w:r>
        <w:rPr>
          <w:rFonts w:ascii="Arial" w:cs="Arial" w:eastAsia="Arial" w:hAnsi="Arial"/>
          <w:sz w:val="16"/>
          <w:szCs w:val="16"/>
          <w:color w:val="auto"/>
        </w:rPr>
        <w:t>The Optionee represents and warrants that any and all Shares acquired through the exercise of rights under the Option granted pursuant to this Agreement will be acquired for Optionee’s own account and not with a view to, or present intention of, distribution thereof in violation of the Securities Act, and will not be disposed of in contravention of the Securities Act.</w:t>
      </w:r>
    </w:p>
    <w:p>
      <w:pPr>
        <w:spacing w:after="0" w:line="252" w:lineRule="exact"/>
        <w:rPr>
          <w:rFonts w:ascii="Arial" w:cs="Arial" w:eastAsia="Arial" w:hAnsi="Arial"/>
          <w:sz w:val="22"/>
          <w:szCs w:val="22"/>
          <w:color w:val="auto"/>
        </w:rPr>
      </w:pPr>
    </w:p>
    <w:p>
      <w:pPr>
        <w:jc w:val="both"/>
        <w:ind w:firstLine="656"/>
        <w:spacing w:after="0" w:line="294" w:lineRule="auto"/>
        <w:tabs>
          <w:tab w:leader="none" w:pos="1094" w:val="left"/>
        </w:tabs>
        <w:numPr>
          <w:ilvl w:val="0"/>
          <w:numId w:val="132"/>
        </w:numPr>
        <w:rPr>
          <w:rFonts w:ascii="Arial" w:cs="Arial" w:eastAsia="Arial" w:hAnsi="Arial"/>
          <w:sz w:val="22"/>
          <w:szCs w:val="22"/>
          <w:color w:val="auto"/>
        </w:rPr>
      </w:pPr>
      <w:r>
        <w:rPr>
          <w:rFonts w:ascii="Arial" w:cs="Arial" w:eastAsia="Arial" w:hAnsi="Arial"/>
          <w:sz w:val="16"/>
          <w:szCs w:val="16"/>
          <w:color w:val="auto"/>
        </w:rPr>
        <w:t>The Optionee acknowledges that he/she is able to bear the economic risk of the investment in any and all Shares acquired through the exercise of rights under the Option for an indefinite period of time, because the Shares have not been registered under the Securities Act and, therefore, cannot be sold unless subsequently registered under the Securities Act or an exemption from such registration is available.</w:t>
      </w:r>
    </w:p>
    <w:p>
      <w:pPr>
        <w:spacing w:after="0" w:line="252" w:lineRule="exact"/>
        <w:rPr>
          <w:rFonts w:ascii="Arial" w:cs="Arial" w:eastAsia="Arial" w:hAnsi="Arial"/>
          <w:sz w:val="22"/>
          <w:szCs w:val="22"/>
          <w:color w:val="auto"/>
        </w:rPr>
      </w:pPr>
    </w:p>
    <w:p>
      <w:pPr>
        <w:ind w:right="20" w:firstLine="656"/>
        <w:spacing w:after="0" w:line="273" w:lineRule="auto"/>
        <w:tabs>
          <w:tab w:leader="none" w:pos="1136" w:val="left"/>
        </w:tabs>
        <w:numPr>
          <w:ilvl w:val="0"/>
          <w:numId w:val="132"/>
        </w:numPr>
        <w:rPr>
          <w:rFonts w:ascii="Arial" w:cs="Arial" w:eastAsia="Arial" w:hAnsi="Arial"/>
          <w:sz w:val="22"/>
          <w:szCs w:val="22"/>
          <w:color w:val="auto"/>
        </w:rPr>
      </w:pPr>
      <w:r>
        <w:rPr>
          <w:rFonts w:ascii="Arial" w:cs="Arial" w:eastAsia="Arial" w:hAnsi="Arial"/>
          <w:sz w:val="16"/>
          <w:szCs w:val="16"/>
          <w:color w:val="auto"/>
        </w:rPr>
        <w:t>The Optionee has reviewed this Agreement and has had an opportunity to ask questions and receive answers concerning the terms and conditions of the offering of Shares and has had full access to such other information concerning the Corporation as he/she has requested.</w:t>
      </w:r>
    </w:p>
    <w:p>
      <w:pPr>
        <w:spacing w:after="0" w:line="255" w:lineRule="exact"/>
        <w:rPr>
          <w:sz w:val="20"/>
          <w:szCs w:val="20"/>
          <w:color w:val="auto"/>
        </w:rPr>
      </w:pPr>
    </w:p>
    <w:p>
      <w:pPr>
        <w:jc w:val="both"/>
        <w:ind w:firstLine="656"/>
        <w:spacing w:after="0" w:line="307" w:lineRule="auto"/>
        <w:tabs>
          <w:tab w:leader="none" w:pos="990" w:val="left"/>
        </w:tabs>
        <w:numPr>
          <w:ilvl w:val="0"/>
          <w:numId w:val="133"/>
        </w:numPr>
        <w:rPr>
          <w:rFonts w:ascii="Arial" w:cs="Arial" w:eastAsia="Arial" w:hAnsi="Arial"/>
          <w:sz w:val="22"/>
          <w:szCs w:val="22"/>
          <w:color w:val="auto"/>
        </w:rPr>
      </w:pPr>
      <w:r>
        <w:rPr>
          <w:rFonts w:ascii="Arial" w:cs="Arial" w:eastAsia="Arial" w:hAnsi="Arial"/>
          <w:sz w:val="16"/>
          <w:szCs w:val="16"/>
          <w:b w:val="1"/>
          <w:bCs w:val="1"/>
          <w:color w:val="auto"/>
        </w:rPr>
        <w:t xml:space="preserve">Restrictions on Exercise. </w:t>
      </w:r>
      <w:r>
        <w:rPr>
          <w:rFonts w:ascii="Arial" w:cs="Arial" w:eastAsia="Arial" w:hAnsi="Arial"/>
          <w:sz w:val="16"/>
          <w:szCs w:val="16"/>
          <w:color w:val="auto"/>
        </w:rPr>
        <w:t>This Option may not be exercised if the issuance of Shares upon exercise or the method of payment of consideration for such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would constitute a violation of any applicable federal or state securities or other law or regulation. As a condition to the exercise of this Option, the Corporation may require the Optionee to make any representation and warranty to the Corporation as may be required to comply with any applicable law or regulation. All exercises of the Option must be for full Shares only.</w:t>
      </w:r>
    </w:p>
    <w:p>
      <w:pPr>
        <w:sectPr>
          <w:pgSz w:w="11900" w:h="16838" w:orient="portrait"/>
          <w:cols w:equalWidth="0" w:num="1">
            <w:col w:w="11420"/>
          </w:cols>
          <w:pgMar w:left="240" w:top="625" w:right="239" w:bottom="276" w:gutter="0" w:footer="0" w:header="0"/>
        </w:sectPr>
      </w:pPr>
    </w:p>
    <w:bookmarkStart w:id="75" w:name="page76"/>
    <w:bookmarkEnd w:id="75"/>
    <w:p>
      <w:pPr>
        <w:jc w:val="both"/>
        <w:ind w:left="-656" w:firstLine="656"/>
        <w:spacing w:after="0" w:line="320" w:lineRule="auto"/>
        <w:tabs>
          <w:tab w:leader="none" w:pos="361" w:val="left"/>
        </w:tabs>
        <w:numPr>
          <w:ilvl w:val="0"/>
          <w:numId w:val="134"/>
        </w:numPr>
        <w:rPr>
          <w:rFonts w:ascii="Arial" w:cs="Arial" w:eastAsia="Arial" w:hAnsi="Arial"/>
          <w:sz w:val="22"/>
          <w:szCs w:val="22"/>
          <w:color w:val="auto"/>
        </w:rPr>
      </w:pPr>
      <w:r>
        <w:rPr>
          <w:rFonts w:ascii="Arial" w:cs="Arial" w:eastAsia="Arial" w:hAnsi="Arial"/>
          <w:sz w:val="16"/>
          <w:szCs w:val="16"/>
          <w:b w:val="1"/>
          <w:bCs w:val="1"/>
          <w:color w:val="auto"/>
        </w:rPr>
        <w:t xml:space="preserve">Withholding of Taxes. </w:t>
      </w:r>
      <w:r>
        <w:rPr>
          <w:rFonts w:ascii="Arial" w:cs="Arial" w:eastAsia="Arial" w:hAnsi="Arial"/>
          <w:sz w:val="16"/>
          <w:szCs w:val="16"/>
          <w:color w:val="auto"/>
        </w:rPr>
        <w:t>Whenever the Corporation is required to issue Shares upon exercise hereunder, the Corporation may require that the recipient remit in</w:t>
      </w:r>
      <w:r>
        <w:rPr>
          <w:rFonts w:ascii="Arial" w:cs="Arial" w:eastAsia="Arial" w:hAnsi="Arial"/>
          <w:sz w:val="16"/>
          <w:szCs w:val="16"/>
          <w:b w:val="1"/>
          <w:bCs w:val="1"/>
          <w:color w:val="auto"/>
        </w:rPr>
        <w:t xml:space="preserve"> </w:t>
      </w:r>
      <w:r>
        <w:rPr>
          <w:rFonts w:ascii="Arial" w:cs="Arial" w:eastAsia="Arial" w:hAnsi="Arial"/>
          <w:sz w:val="16"/>
          <w:szCs w:val="16"/>
          <w:color w:val="auto"/>
        </w:rPr>
        <w:t>cash to the Corporation an amount sufficient to satisfy any federal, state and/or local tax withholding requirements before transfer of the Shares. To the extent permitted by the Committee, the recipient may satisfy such tax withholding obligations by authorizing the Corporation to withhold from Shares to be issued upon the exercise of the Option a number of Shares with an aggregate Fair Market Value that would satisfy the withholding amount due, or (ii) transferring to the Corporation Shares owned by the Participant with an aggregate Fair Market Value that would satisfy the withholding amount due. Notwithstanding the provisions of clause (i) of the preceding sentence, the Fair Market Value of Shares withheld shall not exceed the minimum amount of tax required to be withheld by law (or such lesser amount as may be necessary to avoid classification of the Option as a liability for financial accounting purposes).</w:t>
      </w:r>
    </w:p>
    <w:p>
      <w:pPr>
        <w:spacing w:after="0" w:line="187" w:lineRule="exact"/>
        <w:rPr>
          <w:rFonts w:ascii="Arial" w:cs="Arial" w:eastAsia="Arial" w:hAnsi="Arial"/>
          <w:sz w:val="22"/>
          <w:szCs w:val="22"/>
          <w:color w:val="auto"/>
        </w:rPr>
      </w:pPr>
    </w:p>
    <w:p>
      <w:pPr>
        <w:ind w:left="344" w:hanging="344"/>
        <w:spacing w:after="0"/>
        <w:tabs>
          <w:tab w:leader="none" w:pos="344" w:val="left"/>
        </w:tabs>
        <w:numPr>
          <w:ilvl w:val="0"/>
          <w:numId w:val="134"/>
        </w:numPr>
        <w:rPr>
          <w:rFonts w:ascii="Arial" w:cs="Arial" w:eastAsia="Arial" w:hAnsi="Arial"/>
          <w:sz w:val="22"/>
          <w:szCs w:val="22"/>
          <w:color w:val="auto"/>
        </w:rPr>
      </w:pPr>
      <w:r>
        <w:rPr>
          <w:rFonts w:ascii="Arial" w:cs="Arial" w:eastAsia="Arial" w:hAnsi="Arial"/>
          <w:sz w:val="16"/>
          <w:szCs w:val="16"/>
          <w:b w:val="1"/>
          <w:bCs w:val="1"/>
          <w:color w:val="auto"/>
        </w:rPr>
        <w:t>Effect of Termination of Employment.</w:t>
      </w:r>
    </w:p>
    <w:p>
      <w:pPr>
        <w:spacing w:after="0" w:line="293" w:lineRule="exact"/>
        <w:rPr>
          <w:sz w:val="20"/>
          <w:szCs w:val="20"/>
          <w:color w:val="auto"/>
        </w:rPr>
      </w:pPr>
    </w:p>
    <w:p>
      <w:pPr>
        <w:jc w:val="both"/>
        <w:ind w:left="-656" w:firstLine="656"/>
        <w:spacing w:after="0" w:line="374" w:lineRule="auto"/>
        <w:tabs>
          <w:tab w:leader="none" w:pos="412" w:val="left"/>
        </w:tabs>
        <w:numPr>
          <w:ilvl w:val="0"/>
          <w:numId w:val="135"/>
        </w:numPr>
        <w:rPr>
          <w:rFonts w:ascii="Arial" w:cs="Arial" w:eastAsia="Arial" w:hAnsi="Arial"/>
          <w:sz w:val="18"/>
          <w:szCs w:val="18"/>
          <w:color w:val="auto"/>
        </w:rPr>
      </w:pPr>
      <w:r>
        <w:rPr>
          <w:rFonts w:ascii="Arial" w:cs="Arial" w:eastAsia="Arial" w:hAnsi="Arial"/>
          <w:sz w:val="14"/>
          <w:szCs w:val="14"/>
          <w:color w:val="auto"/>
        </w:rPr>
        <w:t>Except as provided in Subsection (b) or (c) below, if the Optionee’s employment terminates for any reason, the Optionee (or his/her estate or representative, in the event of the Optionee’s death during the Option Period) may, during the period following the Optionee’s Termination Date and ending on the earlier of (i) ninety (90) days after such Termination Date or (ii) the Expiration Date, exercise the Option to the extent such Option was exercisable on the Termination Date and, on the Termination Date, that portion of the Option that was not exercisable shall automatically terminate without further action by the parties hereto and, in all events, to the extent not exercised, the Option shall terminate in its entirety at the end of business on the last day of the exercise period specified in this Subsection; provided, however, the Committee may, in its sole discretion, accelerate full vesting to the Optionee’s Termination Date and/or extend the exercise period to any date on or before the Expiration Date.</w:t>
      </w:r>
    </w:p>
    <w:p>
      <w:pPr>
        <w:spacing w:after="0" w:line="205" w:lineRule="exact"/>
        <w:rPr>
          <w:rFonts w:ascii="Arial" w:cs="Arial" w:eastAsia="Arial" w:hAnsi="Arial"/>
          <w:sz w:val="18"/>
          <w:szCs w:val="18"/>
          <w:color w:val="auto"/>
        </w:rPr>
      </w:pPr>
    </w:p>
    <w:p>
      <w:pPr>
        <w:jc w:val="both"/>
        <w:ind w:left="-656" w:firstLine="656"/>
        <w:spacing w:after="0" w:line="306" w:lineRule="auto"/>
        <w:tabs>
          <w:tab w:leader="none" w:pos="438" w:val="left"/>
        </w:tabs>
        <w:numPr>
          <w:ilvl w:val="0"/>
          <w:numId w:val="135"/>
        </w:numPr>
        <w:rPr>
          <w:rFonts w:ascii="Arial" w:cs="Arial" w:eastAsia="Arial" w:hAnsi="Arial"/>
          <w:sz w:val="22"/>
          <w:szCs w:val="22"/>
          <w:color w:val="auto"/>
        </w:rPr>
      </w:pPr>
      <w:r>
        <w:rPr>
          <w:rFonts w:ascii="Arial" w:cs="Arial" w:eastAsia="Arial" w:hAnsi="Arial"/>
          <w:sz w:val="16"/>
          <w:szCs w:val="16"/>
          <w:color w:val="auto"/>
        </w:rPr>
        <w:t>If (i) the Optionee’s employment is terminated without Cause, or (ii) in the event of a Constructive Termination, the Optionee shall immediately become fully vested in the Option without further action by the parties hereto, and to the extent not previously exercised, shall be exercisable in whole or in part with respect to all remaining Shares covered by the Option and may be exercised by the Optionee (or the Optionee’s estate or representative, in the event of the Optionee’s death) at any time before expiration of the original Option Period, determined as if no Termination of Employment had occurred.</w:t>
      </w:r>
    </w:p>
    <w:p>
      <w:pPr>
        <w:spacing w:after="0" w:line="243" w:lineRule="exact"/>
        <w:rPr>
          <w:rFonts w:ascii="Arial" w:cs="Arial" w:eastAsia="Arial" w:hAnsi="Arial"/>
          <w:sz w:val="22"/>
          <w:szCs w:val="22"/>
          <w:color w:val="auto"/>
        </w:rPr>
      </w:pPr>
    </w:p>
    <w:p>
      <w:pPr>
        <w:jc w:val="both"/>
        <w:ind w:left="-656" w:firstLine="656"/>
        <w:spacing w:after="0" w:line="339" w:lineRule="auto"/>
        <w:tabs>
          <w:tab w:leader="none" w:pos="466" w:val="left"/>
        </w:tabs>
        <w:numPr>
          <w:ilvl w:val="0"/>
          <w:numId w:val="135"/>
        </w:numPr>
        <w:rPr>
          <w:rFonts w:ascii="Arial" w:cs="Arial" w:eastAsia="Arial" w:hAnsi="Arial"/>
          <w:sz w:val="21"/>
          <w:szCs w:val="21"/>
          <w:color w:val="auto"/>
        </w:rPr>
      </w:pPr>
      <w:r>
        <w:rPr>
          <w:rFonts w:ascii="Arial" w:cs="Arial" w:eastAsia="Arial" w:hAnsi="Arial"/>
          <w:sz w:val="15"/>
          <w:szCs w:val="15"/>
          <w:color w:val="auto"/>
        </w:rPr>
        <w:t>If the Optionee’s employment terminates due to his/her death or Disability, the Optionee (or his/her estate or representative, in the event of the Optionee’s death during the Option Period) may, during the period following his/her Termination Date and ending on the earlier of (i) one year after such Termination Date or (b) the Expiration Date, exercise the Option to the extent such Option was exercisable on the Termination Date and, on the Termination Date, that portion of the Option that was not exercisable shall automatically terminate without further action by the parties hereto and, in all events, to the extent not exercised, the Option shall terminate in its entirety at the end of business on the last day of the exercise period specified in this Subsection; provided, however, the Committee may, in its sole discretion, accelerate full vesting to the Optionee’s Termination Date and/or extend the exercise period to any date on or before the Expiration Date.</w:t>
      </w:r>
    </w:p>
    <w:p>
      <w:pPr>
        <w:spacing w:after="0" w:line="188" w:lineRule="exact"/>
        <w:rPr>
          <w:rFonts w:ascii="Arial" w:cs="Arial" w:eastAsia="Arial" w:hAnsi="Arial"/>
          <w:sz w:val="21"/>
          <w:szCs w:val="21"/>
          <w:color w:val="auto"/>
        </w:rPr>
      </w:pPr>
    </w:p>
    <w:p>
      <w:pPr>
        <w:ind w:left="424" w:hanging="424"/>
        <w:spacing w:after="0"/>
        <w:tabs>
          <w:tab w:leader="none" w:pos="424" w:val="left"/>
        </w:tabs>
        <w:numPr>
          <w:ilvl w:val="0"/>
          <w:numId w:val="135"/>
        </w:numPr>
        <w:rPr>
          <w:rFonts w:ascii="Arial" w:cs="Arial" w:eastAsia="Arial" w:hAnsi="Arial"/>
          <w:sz w:val="21"/>
          <w:szCs w:val="21"/>
          <w:color w:val="auto"/>
        </w:rPr>
      </w:pPr>
      <w:r>
        <w:rPr>
          <w:rFonts w:ascii="Arial" w:cs="Arial" w:eastAsia="Arial" w:hAnsi="Arial"/>
          <w:sz w:val="15"/>
          <w:szCs w:val="15"/>
          <w:color w:val="auto"/>
        </w:rPr>
        <w:t>If (i) the Optionee’s employment is terminated for Cause, the Option, whether or not vested, shall immediately terminate and be of no further force or effect.</w:t>
      </w:r>
    </w:p>
    <w:p>
      <w:pPr>
        <w:spacing w:after="0" w:line="289" w:lineRule="exact"/>
        <w:rPr>
          <w:sz w:val="20"/>
          <w:szCs w:val="20"/>
          <w:color w:val="auto"/>
        </w:rPr>
      </w:pPr>
    </w:p>
    <w:p>
      <w:pPr>
        <w:jc w:val="both"/>
        <w:ind w:left="-656" w:firstLine="656"/>
        <w:spacing w:after="0" w:line="313" w:lineRule="auto"/>
        <w:tabs>
          <w:tab w:leader="none" w:pos="361" w:val="left"/>
        </w:tabs>
        <w:numPr>
          <w:ilvl w:val="0"/>
          <w:numId w:val="136"/>
        </w:numPr>
        <w:rPr>
          <w:rFonts w:ascii="Arial" w:cs="Arial" w:eastAsia="Arial" w:hAnsi="Arial"/>
          <w:sz w:val="22"/>
          <w:szCs w:val="22"/>
          <w:color w:val="auto"/>
        </w:rPr>
      </w:pPr>
      <w:r>
        <w:rPr>
          <w:rFonts w:ascii="Arial" w:cs="Arial" w:eastAsia="Arial" w:hAnsi="Arial"/>
          <w:sz w:val="16"/>
          <w:szCs w:val="16"/>
          <w:b w:val="1"/>
          <w:bCs w:val="1"/>
          <w:color w:val="auto"/>
        </w:rPr>
        <w:t xml:space="preserve">Compliance with Certain Laws and Regulations. </w:t>
      </w:r>
      <w:r>
        <w:rPr>
          <w:rFonts w:ascii="Arial" w:cs="Arial" w:eastAsia="Arial" w:hAnsi="Arial"/>
          <w:sz w:val="16"/>
          <w:szCs w:val="16"/>
          <w:color w:val="auto"/>
        </w:rPr>
        <w:t>If the Committee shall determine, in its sole discretion, that the listing, registration, or qualification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subject to the Option upon any securities exchange or under any law or regulation, or that the consent or approval of any governmental regulatory body is necessary or desirable in connection with the granting of the Option or the acquisition of Shares thereunder, the Optionee shall supply the Committee or the Corporation, as the case may be, with such certificates, representations, and information as the Committee or the Corporation, as the case may be, may request and shall otherwise cooperate with the Corporation in obtaining any such listing, registration, qualification, consent, or approval.</w:t>
      </w:r>
    </w:p>
    <w:p>
      <w:pPr>
        <w:spacing w:after="0" w:line="236" w:lineRule="exact"/>
        <w:rPr>
          <w:rFonts w:ascii="Arial" w:cs="Arial" w:eastAsia="Arial" w:hAnsi="Arial"/>
          <w:sz w:val="22"/>
          <w:szCs w:val="22"/>
          <w:color w:val="auto"/>
        </w:rPr>
      </w:pPr>
    </w:p>
    <w:p>
      <w:pPr>
        <w:ind w:left="-656" w:firstLine="656"/>
        <w:spacing w:after="0" w:line="279" w:lineRule="auto"/>
        <w:tabs>
          <w:tab w:leader="none" w:pos="469" w:val="left"/>
        </w:tabs>
        <w:numPr>
          <w:ilvl w:val="0"/>
          <w:numId w:val="136"/>
        </w:numPr>
        <w:rPr>
          <w:rFonts w:ascii="Arial" w:cs="Arial" w:eastAsia="Arial" w:hAnsi="Arial"/>
          <w:sz w:val="22"/>
          <w:szCs w:val="22"/>
          <w:color w:val="auto"/>
        </w:rPr>
      </w:pPr>
      <w:r>
        <w:rPr>
          <w:rFonts w:ascii="Arial" w:cs="Arial" w:eastAsia="Arial" w:hAnsi="Arial"/>
          <w:sz w:val="16"/>
          <w:szCs w:val="16"/>
          <w:b w:val="1"/>
          <w:bCs w:val="1"/>
          <w:color w:val="auto"/>
        </w:rPr>
        <w:t xml:space="preserve">Transferability of Option. </w:t>
      </w:r>
      <w:r>
        <w:rPr>
          <w:rFonts w:ascii="Arial" w:cs="Arial" w:eastAsia="Arial" w:hAnsi="Arial"/>
          <w:sz w:val="16"/>
          <w:szCs w:val="16"/>
          <w:color w:val="auto"/>
        </w:rPr>
        <w:t>The Option is not transferable by the Optionee other than by will or the laws of descent and distribution. During the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lifetime, the Option is exercisable only by the Optionee, or in the event of his/her legal incompetency, his/her guardian or legal representative.</w:t>
      </w:r>
    </w:p>
    <w:p>
      <w:pPr>
        <w:spacing w:after="0" w:line="248" w:lineRule="exact"/>
        <w:rPr>
          <w:rFonts w:ascii="Arial" w:cs="Arial" w:eastAsia="Arial" w:hAnsi="Arial"/>
          <w:sz w:val="22"/>
          <w:szCs w:val="22"/>
          <w:color w:val="auto"/>
        </w:rPr>
      </w:pPr>
    </w:p>
    <w:p>
      <w:pPr>
        <w:ind w:left="-656" w:right="20" w:firstLine="656"/>
        <w:spacing w:after="0" w:line="279" w:lineRule="auto"/>
        <w:tabs>
          <w:tab w:leader="none" w:pos="434" w:val="left"/>
        </w:tabs>
        <w:numPr>
          <w:ilvl w:val="0"/>
          <w:numId w:val="136"/>
        </w:numPr>
        <w:rPr>
          <w:rFonts w:ascii="Arial" w:cs="Arial" w:eastAsia="Arial" w:hAnsi="Arial"/>
          <w:sz w:val="22"/>
          <w:szCs w:val="22"/>
          <w:color w:val="auto"/>
        </w:rPr>
      </w:pPr>
      <w:r>
        <w:rPr>
          <w:rFonts w:ascii="Arial" w:cs="Arial" w:eastAsia="Arial" w:hAnsi="Arial"/>
          <w:sz w:val="16"/>
          <w:szCs w:val="16"/>
          <w:b w:val="1"/>
          <w:bCs w:val="1"/>
          <w:color w:val="auto"/>
        </w:rPr>
        <w:t xml:space="preserve">Additional Restrictions on Transfer. </w:t>
      </w:r>
      <w:r>
        <w:rPr>
          <w:rFonts w:ascii="Arial" w:cs="Arial" w:eastAsia="Arial" w:hAnsi="Arial"/>
          <w:sz w:val="16"/>
          <w:szCs w:val="16"/>
          <w:color w:val="auto"/>
        </w:rPr>
        <w:t>Certificates representing the Shares purchased upon the exercise of the Option will bear the following legend until such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have been registered under an effective registration statement under the Securities Act: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securities represented by this certificate were originally issued on _____________________, _____, have not been registered under the Securities Act of 1933,</w:t>
      </w:r>
    </w:p>
    <w:p>
      <w:pPr>
        <w:spacing w:after="0" w:line="42"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as amended, or under the securities laws of any state or other jurisdiction (together, the “Securities Laws”) and may not be offered for sale, sold or otherwise transferred or encumbered in the absence of compliance with such Securities Laws and until the issuer hereof shall have received from counsel acceptable to issuer a written opinion reasonably satisfactory to issuer that the proposed transaction will not violate any applicable Securities Laws.</w:t>
      </w:r>
    </w:p>
    <w:p>
      <w:pPr>
        <w:spacing w:after="0" w:line="224" w:lineRule="exact"/>
        <w:rPr>
          <w:sz w:val="20"/>
          <w:szCs w:val="20"/>
          <w:color w:val="auto"/>
        </w:rPr>
      </w:pPr>
    </w:p>
    <w:p>
      <w:pPr>
        <w:jc w:val="both"/>
        <w:ind w:left="-656" w:firstLine="656"/>
        <w:spacing w:after="0" w:line="307" w:lineRule="auto"/>
        <w:tabs>
          <w:tab w:leader="none" w:pos="456" w:val="left"/>
        </w:tabs>
        <w:numPr>
          <w:ilvl w:val="0"/>
          <w:numId w:val="137"/>
        </w:numPr>
        <w:rPr>
          <w:rFonts w:ascii="Arial" w:cs="Arial" w:eastAsia="Arial" w:hAnsi="Arial"/>
          <w:sz w:val="22"/>
          <w:szCs w:val="22"/>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 or demand provided for in this Agreement must be in writing and must be either personally delivered, delivered by overnight courier, or</w:t>
      </w:r>
      <w:r>
        <w:rPr>
          <w:rFonts w:ascii="Arial" w:cs="Arial" w:eastAsia="Arial" w:hAnsi="Arial"/>
          <w:sz w:val="16"/>
          <w:szCs w:val="16"/>
          <w:b w:val="1"/>
          <w:bCs w:val="1"/>
          <w:color w:val="auto"/>
        </w:rPr>
        <w:t xml:space="preserve"> </w:t>
      </w:r>
      <w:r>
        <w:rPr>
          <w:rFonts w:ascii="Arial" w:cs="Arial" w:eastAsia="Arial" w:hAnsi="Arial"/>
          <w:sz w:val="16"/>
          <w:szCs w:val="16"/>
          <w:color w:val="auto"/>
        </w:rPr>
        <w:t>mailed by first class mail, to the Optionee at Optionee’s most recent address on file in the records of the Employer, and to the Corporation at the address set forth or established pursuant to Section 4 or to such other address or to the attention of such other person as the recipient party shall have specified by prior written notice to the sending party. Any notice or demand under this Agreement shall be deemed to have been given when received.</w:t>
      </w:r>
    </w:p>
    <w:p>
      <w:pPr>
        <w:spacing w:after="0" w:line="239" w:lineRule="exact"/>
        <w:rPr>
          <w:rFonts w:ascii="Arial" w:cs="Arial" w:eastAsia="Arial" w:hAnsi="Arial"/>
          <w:sz w:val="22"/>
          <w:szCs w:val="22"/>
          <w:color w:val="auto"/>
        </w:rPr>
      </w:pPr>
    </w:p>
    <w:p>
      <w:pPr>
        <w:jc w:val="both"/>
        <w:ind w:left="-656" w:firstLine="656"/>
        <w:spacing w:after="0" w:line="307" w:lineRule="auto"/>
        <w:tabs>
          <w:tab w:leader="none" w:pos="456" w:val="left"/>
        </w:tabs>
        <w:numPr>
          <w:ilvl w:val="0"/>
          <w:numId w:val="137"/>
        </w:numPr>
        <w:rPr>
          <w:rFonts w:ascii="Arial" w:cs="Arial" w:eastAsia="Arial" w:hAnsi="Arial"/>
          <w:sz w:val="22"/>
          <w:szCs w:val="22"/>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This Agreement and each provision hereof shall be valid and enforced to the fullest extent permitted by law. The invalidity or unenforceability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spacing w:after="0" w:line="239" w:lineRule="exact"/>
        <w:rPr>
          <w:rFonts w:ascii="Arial" w:cs="Arial" w:eastAsia="Arial" w:hAnsi="Arial"/>
          <w:sz w:val="22"/>
          <w:szCs w:val="22"/>
          <w:color w:val="auto"/>
        </w:rPr>
      </w:pPr>
    </w:p>
    <w:p>
      <w:pPr>
        <w:jc w:val="both"/>
        <w:ind w:left="-656" w:firstLine="656"/>
        <w:spacing w:after="0" w:line="296" w:lineRule="auto"/>
        <w:tabs>
          <w:tab w:leader="none" w:pos="510" w:val="left"/>
        </w:tabs>
        <w:numPr>
          <w:ilvl w:val="0"/>
          <w:numId w:val="137"/>
        </w:numPr>
        <w:rPr>
          <w:rFonts w:ascii="Arial" w:cs="Arial" w:eastAsia="Arial" w:hAnsi="Arial"/>
          <w:sz w:val="22"/>
          <w:szCs w:val="22"/>
          <w:color w:val="auto"/>
        </w:rPr>
      </w:pPr>
      <w:r>
        <w:rPr>
          <w:rFonts w:ascii="Arial" w:cs="Arial" w:eastAsia="Arial" w:hAnsi="Arial"/>
          <w:sz w:val="16"/>
          <w:szCs w:val="16"/>
          <w:b w:val="1"/>
          <w:bCs w:val="1"/>
          <w:color w:val="auto"/>
        </w:rPr>
        <w:t>Complete Agreement</w:t>
      </w:r>
      <w:r>
        <w:rPr>
          <w:rFonts w:ascii="Arial" w:cs="Arial" w:eastAsia="Arial" w:hAnsi="Arial"/>
          <w:sz w:val="16"/>
          <w:szCs w:val="16"/>
          <w:color w:val="auto"/>
        </w:rPr>
        <w:t>. This Agreement and those documents expressly referred to herein embody the complete agreement and understanding among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and supersede and preempt any prior understandings, agreements or representations by or among the parties, written or oral, which may have related to the subject matter hereof in any way.</w:t>
      </w:r>
    </w:p>
    <w:p>
      <w:pPr>
        <w:spacing w:after="0" w:line="247" w:lineRule="exact"/>
        <w:rPr>
          <w:rFonts w:ascii="Arial" w:cs="Arial" w:eastAsia="Arial" w:hAnsi="Arial"/>
          <w:sz w:val="22"/>
          <w:szCs w:val="22"/>
          <w:color w:val="auto"/>
        </w:rPr>
      </w:pPr>
    </w:p>
    <w:p>
      <w:pPr>
        <w:ind w:left="-656" w:firstLine="656"/>
        <w:spacing w:after="0" w:line="279" w:lineRule="auto"/>
        <w:tabs>
          <w:tab w:leader="none" w:pos="442" w:val="left"/>
        </w:tabs>
        <w:numPr>
          <w:ilvl w:val="0"/>
          <w:numId w:val="137"/>
        </w:numPr>
        <w:rPr>
          <w:rFonts w:ascii="Arial" w:cs="Arial" w:eastAsia="Arial" w:hAnsi="Arial"/>
          <w:sz w:val="22"/>
          <w:szCs w:val="22"/>
          <w:color w:val="auto"/>
        </w:rPr>
      </w:pPr>
      <w:r>
        <w:rPr>
          <w:rFonts w:ascii="Arial" w:cs="Arial" w:eastAsia="Arial" w:hAnsi="Arial"/>
          <w:sz w:val="16"/>
          <w:szCs w:val="16"/>
          <w:b w:val="1"/>
          <w:bCs w:val="1"/>
          <w:color w:val="auto"/>
        </w:rPr>
        <w:t>Tax Consequences</w:t>
      </w:r>
      <w:r>
        <w:rPr>
          <w:rFonts w:ascii="Arial" w:cs="Arial" w:eastAsia="Arial" w:hAnsi="Arial"/>
          <w:sz w:val="16"/>
          <w:szCs w:val="16"/>
          <w:color w:val="auto"/>
        </w:rPr>
        <w:t>. None of the Corporation, any Subsidiary, or any officer of director of either, shall be responsible to the Participant or any other person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tax consequences of the Option or the exercise thereof.</w:t>
      </w:r>
    </w:p>
    <w:p>
      <w:pPr>
        <w:sectPr>
          <w:pgSz w:w="11900" w:h="16838" w:orient="portrait"/>
          <w:cols w:equalWidth="0" w:num="1">
            <w:col w:w="10764"/>
          </w:cols>
          <w:pgMar w:left="896" w:top="180" w:right="239" w:bottom="149" w:gutter="0" w:footer="0" w:header="0"/>
        </w:sectPr>
      </w:pPr>
    </w:p>
    <w:bookmarkStart w:id="76" w:name="page77"/>
    <w:bookmarkEnd w:id="76"/>
    <w:p>
      <w:pPr>
        <w:jc w:val="both"/>
        <w:ind w:firstLine="656"/>
        <w:spacing w:after="0" w:line="344" w:lineRule="auto"/>
        <w:tabs>
          <w:tab w:leader="none" w:pos="1139" w:val="left"/>
        </w:tabs>
        <w:numPr>
          <w:ilvl w:val="0"/>
          <w:numId w:val="138"/>
        </w:numPr>
        <w:rPr>
          <w:rFonts w:ascii="Arial" w:cs="Arial" w:eastAsia="Arial" w:hAnsi="Arial"/>
          <w:sz w:val="21"/>
          <w:szCs w:val="21"/>
          <w:color w:val="auto"/>
        </w:rPr>
      </w:pPr>
      <w:r>
        <w:rPr>
          <w:rFonts w:ascii="Arial" w:cs="Arial" w:eastAsia="Arial" w:hAnsi="Arial"/>
          <w:sz w:val="15"/>
          <w:szCs w:val="15"/>
          <w:b w:val="1"/>
          <w:bCs w:val="1"/>
          <w:color w:val="auto"/>
        </w:rPr>
        <w:t>Code Section 409A</w:t>
      </w:r>
      <w:r>
        <w:rPr>
          <w:rFonts w:ascii="Arial" w:cs="Arial" w:eastAsia="Arial" w:hAnsi="Arial"/>
          <w:sz w:val="15"/>
          <w:szCs w:val="15"/>
          <w:color w:val="auto"/>
        </w:rPr>
        <w:t>. This Agreement is intended to be interpreted and applied so that the Award set forth herein shall be exempt from the requirements of</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409A of the Code and the final Treasury Regulations promulgated thereunder (collectively, “Section 409A”), and, accordingly, to the maximum extent permitted, this Agreement shall be interpreted to be exempt from Section 409A. To the extent that the Corporation determines that any provision of this Agreement would cause the Optionee to incur any additional tax or interest under Section 409A, the Corporation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Employee and the Corporation without violating the provisions of Section 409A. Neither the Corporation nor any employee, director or officer thereof guarantees that this Agreement complies with Section 409A and no such party shall have any liability with respect to any failure of this Agreement to so comply.</w:t>
      </w:r>
    </w:p>
    <w:p>
      <w:pPr>
        <w:spacing w:after="0" w:line="219" w:lineRule="exact"/>
        <w:rPr>
          <w:rFonts w:ascii="Arial" w:cs="Arial" w:eastAsia="Arial" w:hAnsi="Arial"/>
          <w:sz w:val="21"/>
          <w:szCs w:val="21"/>
          <w:color w:val="auto"/>
        </w:rPr>
      </w:pPr>
    </w:p>
    <w:p>
      <w:pPr>
        <w:ind w:right="20" w:firstLine="656"/>
        <w:spacing w:after="0" w:line="279" w:lineRule="auto"/>
        <w:tabs>
          <w:tab w:leader="none" w:pos="1166" w:val="left"/>
        </w:tabs>
        <w:numPr>
          <w:ilvl w:val="0"/>
          <w:numId w:val="138"/>
        </w:numPr>
        <w:rPr>
          <w:rFonts w:ascii="Arial" w:cs="Arial" w:eastAsia="Arial" w:hAnsi="Arial"/>
          <w:sz w:val="22"/>
          <w:szCs w:val="22"/>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by way of facsimile or electronic signature in separate counterparts, each of which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and all of which taken together shall constitute one and the same agreement.</w:t>
      </w:r>
    </w:p>
    <w:p>
      <w:pPr>
        <w:spacing w:after="0" w:line="248" w:lineRule="exact"/>
        <w:rPr>
          <w:rFonts w:ascii="Arial" w:cs="Arial" w:eastAsia="Arial" w:hAnsi="Arial"/>
          <w:sz w:val="22"/>
          <w:szCs w:val="22"/>
          <w:color w:val="auto"/>
        </w:rPr>
      </w:pPr>
    </w:p>
    <w:p>
      <w:pPr>
        <w:jc w:val="both"/>
        <w:ind w:firstLine="656"/>
        <w:spacing w:after="0" w:line="366" w:lineRule="auto"/>
        <w:tabs>
          <w:tab w:leader="none" w:pos="1166" w:val="left"/>
        </w:tabs>
        <w:numPr>
          <w:ilvl w:val="0"/>
          <w:numId w:val="138"/>
        </w:numPr>
        <w:rPr>
          <w:rFonts w:ascii="Arial" w:cs="Arial" w:eastAsia="Arial" w:hAnsi="Arial"/>
          <w:sz w:val="18"/>
          <w:szCs w:val="18"/>
          <w:color w:val="auto"/>
        </w:rPr>
      </w:pPr>
      <w:r>
        <w:rPr>
          <w:rFonts w:ascii="Arial" w:cs="Arial" w:eastAsia="Arial" w:hAnsi="Arial"/>
          <w:sz w:val="14"/>
          <w:szCs w:val="14"/>
          <w:b w:val="1"/>
          <w:bCs w:val="1"/>
          <w:color w:val="auto"/>
        </w:rPr>
        <w:t>Successors and Assigns</w:t>
      </w:r>
      <w:r>
        <w:rPr>
          <w:rFonts w:ascii="Arial" w:cs="Arial" w:eastAsia="Arial" w:hAnsi="Arial"/>
          <w:sz w:val="14"/>
          <w:szCs w:val="14"/>
          <w:color w:val="auto"/>
        </w:rPr>
        <w:t>. This Agreement is intended to bind and inure to the benefit of and be enforceable by the Optionee, the Corporation, and their</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 permitted successors and assigns (including personal representatives, heirs, and legatees), and is intended to bind all successors and assigns of the respective parties, except that the Optionee may not assign any of his/her rights or obligations under this Agreement except to the extent and in the manner expressly permitted hereby.</w:t>
      </w:r>
    </w:p>
    <w:p>
      <w:pPr>
        <w:spacing w:after="0" w:line="206" w:lineRule="exact"/>
        <w:rPr>
          <w:rFonts w:ascii="Arial" w:cs="Arial" w:eastAsia="Arial" w:hAnsi="Arial"/>
          <w:sz w:val="18"/>
          <w:szCs w:val="18"/>
          <w:color w:val="auto"/>
        </w:rPr>
      </w:pPr>
    </w:p>
    <w:p>
      <w:pPr>
        <w:jc w:val="both"/>
        <w:ind w:firstLine="656"/>
        <w:spacing w:after="0" w:line="313" w:lineRule="auto"/>
        <w:tabs>
          <w:tab w:leader="none" w:pos="1112" w:val="left"/>
        </w:tabs>
        <w:numPr>
          <w:ilvl w:val="0"/>
          <w:numId w:val="138"/>
        </w:numPr>
        <w:rPr>
          <w:rFonts w:ascii="Arial" w:cs="Arial" w:eastAsia="Arial" w:hAnsi="Arial"/>
          <w:sz w:val="22"/>
          <w:szCs w:val="22"/>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Each of the parties to this Agreement will be entitled to enforce its rights under this Agreement specifically, to recover damages by reason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spacing w:after="0" w:line="236" w:lineRule="exact"/>
        <w:rPr>
          <w:rFonts w:ascii="Arial" w:cs="Arial" w:eastAsia="Arial" w:hAnsi="Arial"/>
          <w:sz w:val="22"/>
          <w:szCs w:val="22"/>
          <w:color w:val="auto"/>
        </w:rPr>
      </w:pPr>
    </w:p>
    <w:p>
      <w:pPr>
        <w:ind w:firstLine="656"/>
        <w:spacing w:after="0" w:line="279" w:lineRule="auto"/>
        <w:tabs>
          <w:tab w:leader="none" w:pos="1112" w:val="left"/>
        </w:tabs>
        <w:numPr>
          <w:ilvl w:val="0"/>
          <w:numId w:val="138"/>
        </w:numPr>
        <w:rPr>
          <w:rFonts w:ascii="Arial" w:cs="Arial" w:eastAsia="Arial" w:hAnsi="Arial"/>
          <w:sz w:val="22"/>
          <w:szCs w:val="22"/>
          <w:color w:val="auto"/>
        </w:rPr>
      </w:pPr>
      <w:r>
        <w:rPr>
          <w:rFonts w:ascii="Arial" w:cs="Arial" w:eastAsia="Arial" w:hAnsi="Arial"/>
          <w:sz w:val="16"/>
          <w:szCs w:val="16"/>
          <w:b w:val="1"/>
          <w:bCs w:val="1"/>
          <w:color w:val="auto"/>
        </w:rPr>
        <w:t>Waiver or Modification</w:t>
      </w:r>
      <w:r>
        <w:rPr>
          <w:rFonts w:ascii="Arial" w:cs="Arial" w:eastAsia="Arial" w:hAnsi="Arial"/>
          <w:sz w:val="16"/>
          <w:szCs w:val="16"/>
          <w:color w:val="auto"/>
        </w:rPr>
        <w:t>. Any waiver or modification of any of the provisions of this Agreement shall not be valid unless made in writing and signed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A waiver by either party of any breach of this Agreement shall not operate as a waiver of any subsequent breach.</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Agreement effective on the XXX day of XXX, 20XX.</w:t>
      </w:r>
    </w:p>
    <w:p>
      <w:pPr>
        <w:sectPr>
          <w:pgSz w:w="11900" w:h="16838" w:orient="portrait"/>
          <w:cols w:equalWidth="0" w:num="1">
            <w:col w:w="11420"/>
          </w:cols>
          <w:pgMar w:left="240" w:top="180" w:right="239" w:bottom="157"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UNIVERSAL ELECTRONICS INC.</w:t>
      </w:r>
    </w:p>
    <w:p>
      <w:pPr>
        <w:spacing w:after="0" w:line="200" w:lineRule="exact"/>
        <w:rPr>
          <w:sz w:val="20"/>
          <w:szCs w:val="20"/>
          <w:color w:val="auto"/>
        </w:rPr>
      </w:pPr>
    </w:p>
    <w:p>
      <w:pPr>
        <w:sectPr>
          <w:pgSz w:w="11900" w:h="16838" w:orient="portrait"/>
          <w:cols w:equalWidth="0" w:num="2">
            <w:col w:w="2700" w:space="720"/>
            <w:col w:w="8000"/>
          </w:cols>
          <w:pgMar w:left="240" w:top="180" w:right="239" w:bottom="157"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________________________________By: _________________________________</w:t>
      </w:r>
    </w:p>
    <w:p>
      <w:pPr>
        <w:spacing w:after="0" w:line="42"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Its: Chief Executive Officer</w:t>
      </w:r>
    </w:p>
    <w:p>
      <w:pPr>
        <w:sectPr>
          <w:pgSz w:w="11900" w:h="16838" w:orient="portrait"/>
          <w:cols w:equalWidth="0" w:num="1">
            <w:col w:w="11420"/>
          </w:cols>
          <w:pgMar w:left="240" w:top="180" w:right="239" w:bottom="157" w:gutter="0" w:footer="0" w:header="0"/>
          <w:type w:val="continuous"/>
        </w:sect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Grant Statement Number: 00XXX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2018 EQUITY AND INCENTIVE COMPENSATION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GRANT STATEMENT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 xml:space="preserve">THIS GRANT STATEMENT CERTIFIES THAT, </w:t>
      </w:r>
      <w:r>
        <w:rPr>
          <w:rFonts w:ascii="Arial" w:cs="Arial" w:eastAsia="Arial" w:hAnsi="Arial"/>
          <w:sz w:val="15"/>
          <w:szCs w:val="15"/>
          <w:color w:val="auto"/>
        </w:rPr>
        <w:t>effective as of the Grant Date set out below,</w:t>
      </w:r>
      <w:r>
        <w:rPr>
          <w:rFonts w:ascii="Arial" w:cs="Arial" w:eastAsia="Arial" w:hAnsi="Arial"/>
          <w:sz w:val="15"/>
          <w:szCs w:val="15"/>
          <w:b w:val="1"/>
          <w:bCs w:val="1"/>
          <w:color w:val="auto"/>
        </w:rPr>
        <w:t xml:space="preserve"> XXX</w:t>
      </w:r>
      <w:r>
        <w:rPr>
          <w:rFonts w:ascii="Arial" w:cs="Arial" w:eastAsia="Arial" w:hAnsi="Arial"/>
          <w:sz w:val="15"/>
          <w:szCs w:val="15"/>
          <w:color w:val="auto"/>
        </w:rPr>
        <w:t>, has been awarded a non-qualified stock option to purchase</w:t>
      </w:r>
    </w:p>
    <w:p>
      <w:pPr>
        <w:spacing w:after="0" w:line="35" w:lineRule="exact"/>
        <w:rPr>
          <w:sz w:val="20"/>
          <w:szCs w:val="20"/>
          <w:color w:val="auto"/>
        </w:rPr>
      </w:pPr>
    </w:p>
    <w:p>
      <w:pPr>
        <w:ind w:right="20" w:firstLine="8"/>
        <w:spacing w:after="0" w:line="290" w:lineRule="auto"/>
        <w:tabs>
          <w:tab w:leader="none" w:pos="392" w:val="left"/>
        </w:tabs>
        <w:numPr>
          <w:ilvl w:val="0"/>
          <w:numId w:val="1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(XXX) </w:t>
      </w:r>
      <w:r>
        <w:rPr>
          <w:rFonts w:ascii="Arial" w:cs="Arial" w:eastAsia="Arial" w:hAnsi="Arial"/>
          <w:sz w:val="15"/>
          <w:szCs w:val="15"/>
          <w:color w:val="auto"/>
        </w:rPr>
        <w:t>shares of Common Stock, par value $0.01 per share (“Shares”), of</w:t>
      </w:r>
      <w:r>
        <w:rPr>
          <w:rFonts w:ascii="Arial" w:cs="Arial" w:eastAsia="Arial" w:hAnsi="Arial"/>
          <w:sz w:val="15"/>
          <w:szCs w:val="15"/>
          <w:b w:val="1"/>
          <w:bCs w:val="1"/>
          <w:color w:val="auto"/>
        </w:rPr>
        <w:t xml:space="preserve"> UNIVERSAL ELECTRONICS INC. </w:t>
      </w:r>
      <w:r>
        <w:rPr>
          <w:rFonts w:ascii="Arial" w:cs="Arial" w:eastAsia="Arial" w:hAnsi="Arial"/>
          <w:sz w:val="15"/>
          <w:szCs w:val="15"/>
          <w:color w:val="auto"/>
        </w:rPr>
        <w:t>This Grant Statement is issued in accordance with and</w:t>
      </w:r>
      <w:r>
        <w:rPr>
          <w:rFonts w:ascii="Arial" w:cs="Arial" w:eastAsia="Arial" w:hAnsi="Arial"/>
          <w:sz w:val="15"/>
          <w:szCs w:val="15"/>
          <w:b w:val="1"/>
          <w:bCs w:val="1"/>
          <w:color w:val="auto"/>
        </w:rPr>
        <w:t xml:space="preserve"> </w:t>
      </w:r>
      <w:r>
        <w:rPr>
          <w:rFonts w:ascii="Arial" w:cs="Arial" w:eastAsia="Arial" w:hAnsi="Arial"/>
          <w:sz w:val="15"/>
          <w:szCs w:val="15"/>
          <w:color w:val="auto"/>
        </w:rPr>
        <w:t>is subject to the terms and conditions of the related Stock Option Agreement of even date herewith (the “Agreement”). The Option terms include the following:</w:t>
      </w:r>
    </w:p>
    <w:p>
      <w:pPr>
        <w:spacing w:after="0" w:line="170" w:lineRule="exact"/>
        <w:rPr>
          <w:rFonts w:ascii="Arial" w:cs="Arial" w:eastAsia="Arial" w:hAnsi="Arial"/>
          <w:sz w:val="15"/>
          <w:szCs w:val="15"/>
          <w:b w:val="1"/>
          <w:bCs w:val="1"/>
          <w:color w:val="auto"/>
        </w:rPr>
      </w:pPr>
    </w:p>
    <w:p>
      <w:pPr>
        <w:ind w:left="1080" w:hanging="424"/>
        <w:spacing w:after="0"/>
        <w:tabs>
          <w:tab w:leader="none" w:pos="1080" w:val="left"/>
        </w:tabs>
        <w:numPr>
          <w:ilvl w:val="1"/>
          <w:numId w:val="139"/>
        </w:numPr>
        <w:rPr>
          <w:rFonts w:ascii="Arial" w:cs="Arial" w:eastAsia="Arial" w:hAnsi="Arial"/>
          <w:sz w:val="22"/>
          <w:szCs w:val="22"/>
          <w:color w:val="auto"/>
        </w:rPr>
      </w:pPr>
      <w:r>
        <w:rPr>
          <w:rFonts w:ascii="Arial" w:cs="Arial" w:eastAsia="Arial" w:hAnsi="Arial"/>
          <w:sz w:val="16"/>
          <w:szCs w:val="16"/>
          <w:color w:val="auto"/>
        </w:rPr>
        <w:t xml:space="preserve">Grant Date: </w:t>
      </w:r>
      <w:r>
        <w:rPr>
          <w:rFonts w:ascii="Arial" w:cs="Arial" w:eastAsia="Arial" w:hAnsi="Arial"/>
          <w:sz w:val="16"/>
          <w:szCs w:val="16"/>
          <w:b w:val="1"/>
          <w:bCs w:val="1"/>
          <w:color w:val="auto"/>
        </w:rPr>
        <w:t>XXX</w:t>
      </w:r>
    </w:p>
    <w:p>
      <w:pPr>
        <w:spacing w:after="0" w:line="246" w:lineRule="exact"/>
        <w:rPr>
          <w:rFonts w:ascii="Arial" w:cs="Arial" w:eastAsia="Arial" w:hAnsi="Arial"/>
          <w:sz w:val="22"/>
          <w:szCs w:val="22"/>
          <w:color w:val="auto"/>
        </w:rPr>
      </w:pPr>
    </w:p>
    <w:p>
      <w:pPr>
        <w:ind w:left="1080" w:hanging="424"/>
        <w:spacing w:after="0"/>
        <w:tabs>
          <w:tab w:leader="none" w:pos="1080" w:val="left"/>
        </w:tabs>
        <w:numPr>
          <w:ilvl w:val="1"/>
          <w:numId w:val="139"/>
        </w:numPr>
        <w:rPr>
          <w:rFonts w:ascii="Arial" w:cs="Arial" w:eastAsia="Arial" w:hAnsi="Arial"/>
          <w:sz w:val="22"/>
          <w:szCs w:val="22"/>
          <w:color w:val="auto"/>
        </w:rPr>
      </w:pPr>
      <w:r>
        <w:rPr>
          <w:rFonts w:ascii="Arial" w:cs="Arial" w:eastAsia="Arial" w:hAnsi="Arial"/>
          <w:sz w:val="16"/>
          <w:szCs w:val="16"/>
          <w:color w:val="auto"/>
        </w:rPr>
        <w:t xml:space="preserve">Number of Shares Subject to Option: </w:t>
      </w:r>
      <w:r>
        <w:rPr>
          <w:rFonts w:ascii="Arial" w:cs="Arial" w:eastAsia="Arial" w:hAnsi="Arial"/>
          <w:sz w:val="16"/>
          <w:szCs w:val="16"/>
          <w:b w:val="1"/>
          <w:bCs w:val="1"/>
          <w:color w:val="auto"/>
        </w:rPr>
        <w:t>XXX</w:t>
      </w:r>
    </w:p>
    <w:p>
      <w:pPr>
        <w:spacing w:after="0" w:line="246" w:lineRule="exact"/>
        <w:rPr>
          <w:rFonts w:ascii="Arial" w:cs="Arial" w:eastAsia="Arial" w:hAnsi="Arial"/>
          <w:sz w:val="22"/>
          <w:szCs w:val="22"/>
          <w:color w:val="auto"/>
        </w:rPr>
      </w:pPr>
    </w:p>
    <w:p>
      <w:pPr>
        <w:ind w:left="1080" w:hanging="424"/>
        <w:spacing w:after="0"/>
        <w:tabs>
          <w:tab w:leader="none" w:pos="1080" w:val="left"/>
        </w:tabs>
        <w:numPr>
          <w:ilvl w:val="1"/>
          <w:numId w:val="139"/>
        </w:numPr>
        <w:rPr>
          <w:rFonts w:ascii="Arial" w:cs="Arial" w:eastAsia="Arial" w:hAnsi="Arial"/>
          <w:sz w:val="22"/>
          <w:szCs w:val="22"/>
          <w:color w:val="auto"/>
        </w:rPr>
      </w:pPr>
      <w:r>
        <w:rPr>
          <w:rFonts w:ascii="Arial" w:cs="Arial" w:eastAsia="Arial" w:hAnsi="Arial"/>
          <w:sz w:val="16"/>
          <w:szCs w:val="16"/>
          <w:color w:val="auto"/>
        </w:rPr>
        <w:t xml:space="preserve">Exercise Price per Share: </w:t>
      </w:r>
      <w:r>
        <w:rPr>
          <w:rFonts w:ascii="Arial" w:cs="Arial" w:eastAsia="Arial" w:hAnsi="Arial"/>
          <w:sz w:val="16"/>
          <w:szCs w:val="16"/>
          <w:b w:val="1"/>
          <w:bCs w:val="1"/>
          <w:color w:val="auto"/>
        </w:rPr>
        <w:t>$XXX</w:t>
      </w:r>
    </w:p>
    <w:p>
      <w:pPr>
        <w:spacing w:after="0" w:line="246" w:lineRule="exact"/>
        <w:rPr>
          <w:rFonts w:ascii="Arial" w:cs="Arial" w:eastAsia="Arial" w:hAnsi="Arial"/>
          <w:sz w:val="22"/>
          <w:szCs w:val="22"/>
          <w:color w:val="auto"/>
        </w:rPr>
      </w:pPr>
    </w:p>
    <w:p>
      <w:pPr>
        <w:ind w:left="1080" w:hanging="424"/>
        <w:spacing w:after="0"/>
        <w:tabs>
          <w:tab w:leader="none" w:pos="1080" w:val="left"/>
        </w:tabs>
        <w:numPr>
          <w:ilvl w:val="1"/>
          <w:numId w:val="139"/>
        </w:numPr>
        <w:rPr>
          <w:rFonts w:ascii="Arial" w:cs="Arial" w:eastAsia="Arial" w:hAnsi="Arial"/>
          <w:sz w:val="22"/>
          <w:szCs w:val="22"/>
          <w:color w:val="auto"/>
        </w:rPr>
      </w:pPr>
      <w:r>
        <w:rPr>
          <w:rFonts w:ascii="Arial" w:cs="Arial" w:eastAsia="Arial" w:hAnsi="Arial"/>
          <w:sz w:val="16"/>
          <w:szCs w:val="16"/>
          <w:color w:val="auto"/>
        </w:rPr>
        <w:t xml:space="preserve">Expiration Date: </w:t>
      </w:r>
      <w:r>
        <w:rPr>
          <w:rFonts w:ascii="Arial" w:cs="Arial" w:eastAsia="Arial" w:hAnsi="Arial"/>
          <w:sz w:val="16"/>
          <w:szCs w:val="16"/>
          <w:b w:val="1"/>
          <w:bCs w:val="1"/>
          <w:color w:val="auto"/>
        </w:rPr>
        <w:t>XXX</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THIS OPTION </w:t>
      </w:r>
      <w:r>
        <w:rPr>
          <w:rFonts w:ascii="Arial" w:cs="Arial" w:eastAsia="Arial" w:hAnsi="Arial"/>
          <w:sz w:val="16"/>
          <w:szCs w:val="16"/>
          <w:color w:val="auto"/>
        </w:rPr>
        <w:t>is not transferable except in accordance with the terms and conditions of the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THIS OPTION </w:t>
      </w:r>
      <w:r>
        <w:rPr>
          <w:rFonts w:ascii="Arial" w:cs="Arial" w:eastAsia="Arial" w:hAnsi="Arial"/>
          <w:sz w:val="16"/>
          <w:szCs w:val="16"/>
          <w:color w:val="auto"/>
        </w:rPr>
        <w:t>shall become vested and exercisable with respect to the percentage of the total number of Shares set forth above as follows:</w:t>
      </w:r>
    </w:p>
    <w:p>
      <w:pPr>
        <w:spacing w:after="0" w:line="350" w:lineRule="exact"/>
        <w:rPr>
          <w:sz w:val="20"/>
          <w:szCs w:val="20"/>
          <w:color w:val="auto"/>
        </w:rPr>
      </w:pPr>
    </w:p>
    <w:tbl>
      <w:tblPr>
        <w:tblLayout w:type="fixed"/>
        <w:tblInd w:w="2330" w:type="dxa"/>
        <w:tblCellMar>
          <w:top w:w="0" w:type="dxa"/>
          <w:left w:w="0" w:type="dxa"/>
          <w:bottom w:w="0" w:type="dxa"/>
          <w:right w:w="0" w:type="dxa"/>
        </w:tblCellMar>
      </w:tblPr>
      <w:tr>
        <w:trPr>
          <w:trHeight w:val="436"/>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 and After the Following</w:t>
            </w:r>
          </w:p>
        </w:tc>
        <w:tc>
          <w:tcPr>
            <w:tcW w:w="346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6"/>
                <w:szCs w:val="16"/>
                <w:color w:val="auto"/>
              </w:rPr>
              <w:t>Vested Percentage</w:t>
            </w:r>
          </w:p>
        </w:tc>
      </w:tr>
      <w:tr>
        <w:trPr>
          <w:trHeight w:val="206"/>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Dates, But Prior to Expiration</w:t>
            </w:r>
          </w:p>
        </w:tc>
        <w:tc>
          <w:tcPr>
            <w:tcW w:w="3460" w:type="dxa"/>
            <w:vAlign w:val="bottom"/>
            <w:tcBorders>
              <w:right w:val="single" w:sz="8" w:color="auto"/>
            </w:tcBorders>
          </w:tcPr>
          <w:p>
            <w:pPr>
              <w:spacing w:after="0"/>
              <w:rPr>
                <w:sz w:val="17"/>
                <w:szCs w:val="17"/>
                <w:color w:val="auto"/>
              </w:rPr>
            </w:pPr>
          </w:p>
        </w:tc>
      </w:tr>
      <w:tr>
        <w:trPr>
          <w:trHeight w:val="87"/>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r>
      <w:tr>
        <w:trPr>
          <w:trHeight w:val="42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XXX/2019</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25%</w:t>
            </w:r>
          </w:p>
        </w:tc>
      </w:tr>
      <w:tr>
        <w:trPr>
          <w:trHeight w:val="87"/>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r>
      <w:tr>
        <w:trPr>
          <w:trHeight w:val="42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XXX/2020</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87"/>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r>
      <w:tr>
        <w:trPr>
          <w:trHeight w:val="42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XXX/2021</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75%</w:t>
            </w:r>
          </w:p>
        </w:tc>
      </w:tr>
      <w:tr>
        <w:trPr>
          <w:trHeight w:val="87"/>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r>
      <w:tr>
        <w:trPr>
          <w:trHeight w:val="42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XXX/2022</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87"/>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r>
    </w:tbl>
    <w:p>
      <w:pPr>
        <w:sectPr>
          <w:pgSz w:w="11900" w:h="16838" w:orient="portrait"/>
          <w:cols w:equalWidth="0" w:num="1">
            <w:col w:w="11420"/>
          </w:cols>
          <w:pgMar w:left="240" w:top="180" w:right="239" w:bottom="157" w:gutter="0" w:footer="0" w:header="0"/>
          <w:type w:val="continuous"/>
        </w:sectPr>
      </w:pPr>
    </w:p>
    <w:bookmarkStart w:id="77" w:name="page78"/>
    <w:bookmarkEnd w:id="77"/>
    <w:p>
      <w:pPr>
        <w:ind w:firstLine="648"/>
        <w:spacing w:after="0" w:line="281" w:lineRule="auto"/>
        <w:rPr>
          <w:sz w:val="20"/>
          <w:szCs w:val="20"/>
          <w:color w:val="auto"/>
        </w:rPr>
      </w:pPr>
      <w:r>
        <w:rPr>
          <w:rFonts w:ascii="Arial" w:cs="Arial" w:eastAsia="Arial" w:hAnsi="Arial"/>
          <w:sz w:val="16"/>
          <w:szCs w:val="16"/>
          <w:b w:val="1"/>
          <w:bCs w:val="1"/>
          <w:color w:val="auto"/>
        </w:rPr>
        <w:t xml:space="preserve">IN WITNESS WHEREOF, UNIVERSAL ELECTRONICS INC. </w:t>
      </w:r>
      <w:r>
        <w:rPr>
          <w:rFonts w:ascii="Arial" w:cs="Arial" w:eastAsia="Arial" w:hAnsi="Arial"/>
          <w:sz w:val="16"/>
          <w:szCs w:val="16"/>
          <w:color w:val="auto"/>
        </w:rPr>
        <w:t>has caused this Stock Option Grant Statement to be signed by its duly authorized officer the</w:t>
      </w:r>
      <w:r>
        <w:rPr>
          <w:rFonts w:ascii="Arial" w:cs="Arial" w:eastAsia="Arial" w:hAnsi="Arial"/>
          <w:sz w:val="16"/>
          <w:szCs w:val="16"/>
          <w:b w:val="1"/>
          <w:bCs w:val="1"/>
          <w:color w:val="auto"/>
        </w:rPr>
        <w:t xml:space="preserve"> </w:t>
      </w:r>
      <w:r>
        <w:rPr>
          <w:rFonts w:ascii="Arial" w:cs="Arial" w:eastAsia="Arial" w:hAnsi="Arial"/>
          <w:sz w:val="16"/>
          <w:szCs w:val="16"/>
          <w:color w:val="auto"/>
        </w:rPr>
        <w:t>XXX day of XXX, 20XX.</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UNIVERSAL ELECTRONICS INC.</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Its: Chief Executive Officer</w:t>
      </w:r>
    </w:p>
    <w:p>
      <w:pPr>
        <w:sectPr>
          <w:pgSz w:w="11900" w:h="16838" w:orient="portrait"/>
          <w:cols w:equalWidth="0" w:num="1">
            <w:col w:w="11420"/>
          </w:cols>
          <w:pgMar w:left="240" w:top="126"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2018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decimal"/>
      <w:start w:val="1"/>
    </w:lvl>
  </w:abstractNum>
  <w:abstractNum w:abstractNumId="3">
    <w:nsid w:val="168E121F"/>
    <w:multiLevelType w:val="hybridMultilevel"/>
    <w:lvl w:ilvl="0">
      <w:lvlJc w:val="left"/>
      <w:lvlText w:val="(%1)"/>
      <w:numFmt w:val="decimal"/>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1)"/>
      <w:numFmt w:val="decimal"/>
      <w:start w:val="1"/>
    </w:lvl>
  </w:abstractNum>
  <w:abstractNum w:abstractNumId="7">
    <w:nsid w:val="540A471C"/>
    <w:multiLevelType w:val="hybridMultilevel"/>
    <w:lvl w:ilvl="0">
      <w:lvlJc w:val="left"/>
      <w:lvlText w:val="(%1)"/>
      <w:numFmt w:val="decimal"/>
      <w:start w:val="1"/>
    </w:lvl>
  </w:abstractNum>
  <w:abstractNum w:abstractNumId="8">
    <w:nsid w:val="7BD3EE7B"/>
    <w:multiLevelType w:val="hybridMultilevel"/>
    <w:lvl w:ilvl="0">
      <w:lvlJc w:val="left"/>
      <w:lvlText w:val="(%1)"/>
      <w:numFmt w:val="decimal"/>
      <w:start w:val="1"/>
    </w:lvl>
  </w:abstractNum>
  <w:abstractNum w:abstractNumId="9">
    <w:nsid w:val="51D9C564"/>
    <w:multiLevelType w:val="hybridMultilevel"/>
    <w:lvl w:ilvl="0">
      <w:lvlJc w:val="left"/>
      <w:lvlText w:val="(%1)"/>
      <w:numFmt w:val="decimal"/>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1)"/>
      <w:numFmt w:val="decimal"/>
      <w:start w:val="1"/>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1"/>
      <w:numFmt w:val="decimal"/>
      <w:start w:val="32"/>
    </w:lvl>
  </w:abstractNum>
  <w:abstractNum w:abstractNumId="16">
    <w:nsid w:val="1A32234B"/>
    <w:multiLevelType w:val="hybridMultilevel"/>
    <w:lvl w:ilvl="0">
      <w:lvlJc w:val="left"/>
      <w:lvlText w:val="%1."/>
      <w:numFmt w:val="upperLetter"/>
      <w:start w:val="1"/>
    </w:lvl>
  </w:abstractNum>
  <w:abstractNum w:abstractNumId="17">
    <w:nsid w:val="3B0FD379"/>
    <w:multiLevelType w:val="hybridMultilevel"/>
    <w:lvl w:ilvl="0">
      <w:lvlJc w:val="left"/>
      <w:lvlText w:val="(%1)"/>
      <w:numFmt w:val="lowerLetter"/>
      <w:start w:val="1"/>
    </w:lvl>
  </w:abstractNum>
  <w:abstractNum w:abstractNumId="18">
    <w:nsid w:val="68EB2F63"/>
    <w:multiLevelType w:val="hybridMultilevel"/>
    <w:lvl w:ilvl="0">
      <w:lvlJc w:val="left"/>
      <w:lvlText w:val="Ø"/>
      <w:numFmt w:val="bullet"/>
      <w:start w:val="1"/>
    </w:lvl>
  </w:abstractNum>
  <w:abstractNum w:abstractNumId="19">
    <w:nsid w:val="4962813B"/>
    <w:multiLevelType w:val="hybridMultilevel"/>
    <w:lvl w:ilvl="0">
      <w:lvlJc w:val="left"/>
      <w:lvlText w:val="Ø"/>
      <w:numFmt w:val="bullet"/>
      <w:start w:val="1"/>
    </w:lvl>
  </w:abstractNum>
  <w:abstractNum w:abstractNumId="20">
    <w:nsid w:val="60B6DF70"/>
    <w:multiLevelType w:val="hybridMultilevel"/>
    <w:lvl w:ilvl="0">
      <w:lvlJc w:val="left"/>
      <w:lvlText w:val="Ø"/>
      <w:numFmt w:val="bullet"/>
      <w:start w:val="1"/>
    </w:lvl>
  </w:abstractNum>
  <w:abstractNum w:abstractNumId="21">
    <w:nsid w:val="6A5EE64"/>
    <w:multiLevelType w:val="hybridMultilevel"/>
    <w:lvl w:ilvl="0">
      <w:lvlJc w:val="left"/>
      <w:lvlText w:val="Ø"/>
      <w:numFmt w:val="bullet"/>
      <w:start w:val="1"/>
    </w:lvl>
  </w:abstractNum>
  <w:abstractNum w:abstractNumId="22">
    <w:nsid w:val="14330624"/>
    <w:multiLevelType w:val="hybridMultilevel"/>
    <w:lvl w:ilvl="0">
      <w:lvlJc w:val="left"/>
      <w:lvlText w:val="%1."/>
      <w:numFmt w:val="decimal"/>
      <w:start w:val="2"/>
    </w:lvl>
  </w:abstractNum>
  <w:abstractNum w:abstractNumId="23">
    <w:nsid w:val="7FFFCA11"/>
    <w:multiLevelType w:val="hybridMultilevel"/>
    <w:lvl w:ilvl="0">
      <w:lvlJc w:val="left"/>
      <w:lvlText w:val="%1."/>
      <w:numFmt w:val="decimal"/>
      <w:start w:val="3"/>
    </w:lvl>
  </w:abstractNum>
  <w:abstractNum w:abstractNumId="24">
    <w:nsid w:val="1A27709E"/>
    <w:multiLevelType w:val="hybridMultilevel"/>
    <w:lvl w:ilvl="0">
      <w:lvlJc w:val="left"/>
      <w:lvlText w:val="£"/>
      <w:numFmt w:val="bullet"/>
      <w:start w:val="1"/>
    </w:lvl>
    <w:lvl w:ilvl="1">
      <w:lvlJc w:val="left"/>
      <w:lvlText w:val="ò"/>
      <w:numFmt w:val="bullet"/>
      <w:start w:val="1"/>
    </w:lvl>
  </w:abstractNum>
  <w:abstractNum w:abstractNumId="25">
    <w:nsid w:val="71EA1109"/>
    <w:multiLevelType w:val="hybridMultilevel"/>
    <w:lvl w:ilvl="0">
      <w:lvlJc w:val="left"/>
      <w:lvlText w:val="%1."/>
      <w:numFmt w:val="decimal"/>
      <w:start w:val="6"/>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ê"/>
      <w:numFmt w:val="bullet"/>
      <w:start w:val="1"/>
    </w:lvl>
  </w:abstractNum>
  <w:abstractNum w:abstractNumId="28">
    <w:nsid w:val="6EB5BD4"/>
    <w:multiLevelType w:val="hybridMultilevel"/>
    <w:lvl w:ilvl="0">
      <w:lvlJc w:val="left"/>
      <w:lvlText w:val="Ò"/>
      <w:numFmt w:val="bullet"/>
      <w:start w:val="1"/>
    </w:lvl>
  </w:abstractNum>
  <w:abstractNum w:abstractNumId="29">
    <w:nsid w:val="6F6DD9AC"/>
    <w:multiLevelType w:val="hybridMultilevel"/>
    <w:lvl w:ilvl="0">
      <w:lvlJc w:val="left"/>
      <w:lvlText w:val="ê"/>
      <w:numFmt w:val="bullet"/>
      <w:start w:val="1"/>
    </w:lvl>
  </w:abstractNum>
  <w:abstractNum w:abstractNumId="30">
    <w:nsid w:val="94211F2"/>
    <w:multiLevelType w:val="hybridMultilevel"/>
    <w:lvl w:ilvl="0">
      <w:lvlJc w:val="left"/>
      <w:lvlText w:val="û"/>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ê"/>
      <w:numFmt w:val="bullet"/>
      <w:start w:val="1"/>
    </w:lvl>
  </w:abstractNum>
  <w:abstractNum w:abstractNumId="33">
    <w:nsid w:val="4C04A8AF"/>
    <w:multiLevelType w:val="hybridMultilevel"/>
    <w:lvl w:ilvl="0">
      <w:lvlJc w:val="left"/>
      <w:lvlText w:val="ì"/>
      <w:numFmt w:val="bullet"/>
      <w:start w:val="1"/>
    </w:lvl>
  </w:abstractNum>
  <w:abstractNum w:abstractNumId="34">
    <w:nsid w:val="1716703B"/>
    <w:multiLevelType w:val="hybridMultilevel"/>
    <w:lvl w:ilvl="0">
      <w:lvlJc w:val="left"/>
      <w:lvlText w:val="ê"/>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1."/>
      <w:numFmt w:val="decimal"/>
      <w:start w:val="1"/>
    </w:lvl>
  </w:abstractNum>
  <w:abstractNum w:abstractNumId="37">
    <w:nsid w:val="74DE0EE3"/>
    <w:multiLevelType w:val="hybridMultilevel"/>
    <w:lvl w:ilvl="0">
      <w:lvlJc w:val="left"/>
      <w:lvlText w:val="%1."/>
      <w:numFmt w:val="decimal"/>
      <w:start w:val="2"/>
    </w:lvl>
  </w:abstractNum>
  <w:abstractNum w:abstractNumId="38">
    <w:nsid w:val="68EBC550"/>
    <w:multiLevelType w:val="hybridMultilevel"/>
    <w:lvl w:ilvl="0">
      <w:lvlJc w:val="left"/>
      <w:lvlText w:val="%1."/>
      <w:numFmt w:val="decimal"/>
      <w:start w:val="3"/>
    </w:lvl>
  </w:abstractNum>
  <w:abstractNum w:abstractNumId="39">
    <w:nsid w:val="2DF6D648"/>
    <w:multiLevelType w:val="hybridMultilevel"/>
    <w:lvl w:ilvl="0">
      <w:lvlJc w:val="left"/>
      <w:lvlText w:val="%1."/>
      <w:numFmt w:val="decimal"/>
      <w:start w:val="4"/>
    </w:lvl>
  </w:abstractNum>
  <w:abstractNum w:abstractNumId="40">
    <w:nsid w:val="46B7D447"/>
    <w:multiLevelType w:val="hybridMultilevel"/>
    <w:lvl w:ilvl="0">
      <w:lvlJc w:val="left"/>
      <w:lvlText w:val="%1."/>
      <w:numFmt w:val="decimal"/>
      <w:start w:val="7"/>
    </w:lvl>
  </w:abstractNum>
  <w:abstractNum w:abstractNumId="41">
    <w:nsid w:val="4A2AC315"/>
    <w:multiLevelType w:val="hybridMultilevel"/>
    <w:lvl w:ilvl="0">
      <w:lvlJc w:val="left"/>
      <w:lvlText w:val="(%1)"/>
      <w:numFmt w:val="lowerRoman"/>
      <w:start w:val="1"/>
    </w:lvl>
  </w:abstractNum>
  <w:abstractNum w:abstractNumId="42">
    <w:nsid w:val="39EE015C"/>
    <w:multiLevelType w:val="hybridMultilevel"/>
    <w:lvl w:ilvl="0">
      <w:lvlJc w:val="left"/>
      <w:lvlText w:val="%1."/>
      <w:numFmt w:val="decimal"/>
      <w:start w:val="9"/>
    </w:lvl>
  </w:abstractNum>
  <w:abstractNum w:abstractNumId="43">
    <w:nsid w:val="57FC4FBB"/>
    <w:multiLevelType w:val="hybridMultilevel"/>
    <w:lvl w:ilvl="0">
      <w:lvlJc w:val="left"/>
      <w:lvlText w:val="%1."/>
      <w:numFmt w:val="decimal"/>
      <w:start w:val="10"/>
    </w:lvl>
  </w:abstractNum>
  <w:abstractNum w:abstractNumId="44">
    <w:nsid w:val="CC1016F"/>
    <w:multiLevelType w:val="hybridMultilevel"/>
    <w:lvl w:ilvl="0">
      <w:lvlJc w:val="left"/>
      <w:lvlText w:val="%1."/>
      <w:numFmt w:val="decimal"/>
      <w:start w:val="11"/>
    </w:lvl>
  </w:abstractNum>
  <w:abstractNum w:abstractNumId="45">
    <w:nsid w:val="43F18422"/>
    <w:multiLevelType w:val="hybridMultilevel"/>
    <w:lvl w:ilvl="0">
      <w:lvlJc w:val="left"/>
      <w:lvlText w:val="%1."/>
      <w:numFmt w:val="decimal"/>
      <w:start w:val="12"/>
    </w:lvl>
  </w:abstractNum>
  <w:abstractNum w:abstractNumId="46">
    <w:nsid w:val="60EF0119"/>
    <w:multiLevelType w:val="hybridMultilevel"/>
    <w:lvl w:ilvl="0">
      <w:lvlJc w:val="left"/>
      <w:lvlText w:val="%1"/>
      <w:numFmt w:val="decimal"/>
      <w:start w:val="12"/>
    </w:lvl>
  </w:abstractNum>
  <w:abstractNum w:abstractNumId="47">
    <w:nsid w:val="26F324BA"/>
    <w:multiLevelType w:val="hybridMultilevel"/>
    <w:lvl w:ilvl="0">
      <w:lvlJc w:val="left"/>
      <w:lvlText w:val="%1."/>
      <w:numFmt w:val="decimal"/>
      <w:start w:val="13"/>
    </w:lvl>
  </w:abstractNum>
  <w:abstractNum w:abstractNumId="48">
    <w:nsid w:val="7F01579B"/>
    <w:multiLevelType w:val="hybridMultilevel"/>
    <w:lvl w:ilvl="0">
      <w:lvlJc w:val="left"/>
      <w:lvlText w:val="%1."/>
      <w:numFmt w:val="decimal"/>
      <w:start w:val="14"/>
    </w:lvl>
  </w:abstractNum>
  <w:abstractNum w:abstractNumId="49">
    <w:nsid w:val="49DA307D"/>
    <w:multiLevelType w:val="hybridMultilevel"/>
    <w:lvl w:ilvl="0">
      <w:lvlJc w:val="left"/>
      <w:lvlText w:val="%1."/>
      <w:numFmt w:val="decimal"/>
      <w:start w:val="1"/>
    </w:lvl>
  </w:abstractNum>
  <w:abstractNum w:abstractNumId="50">
    <w:nsid w:val="7055A5F5"/>
    <w:multiLevelType w:val="hybridMultilevel"/>
    <w:lvl w:ilvl="0">
      <w:lvlJc w:val="left"/>
      <w:lvlText w:val="%1."/>
      <w:numFmt w:val="decimal"/>
      <w:start w:val="1"/>
    </w:lvl>
  </w:abstractNum>
  <w:abstractNum w:abstractNumId="51">
    <w:nsid w:val="5FB8370B"/>
    <w:multiLevelType w:val="hybridMultilevel"/>
    <w:lvl w:ilvl="0">
      <w:lvlJc w:val="left"/>
      <w:lvlText w:val="\ldblquote"/>
      <w:numFmt w:val="bullet"/>
      <w:start w:val="1"/>
    </w:lvl>
  </w:abstractNum>
  <w:abstractNum w:abstractNumId="52">
    <w:nsid w:val="50801EE1"/>
    <w:multiLevelType w:val="hybridMultilevel"/>
    <w:lvl w:ilvl="0">
      <w:lvlJc w:val="left"/>
      <w:lvlText w:val="\ldblquote"/>
      <w:numFmt w:val="bullet"/>
      <w:start w:val="1"/>
    </w:lvl>
  </w:abstractNum>
  <w:abstractNum w:abstractNumId="53">
    <w:nsid w:val="488AC1A"/>
    <w:multiLevelType w:val="hybridMultilevel"/>
    <w:lvl w:ilvl="0">
      <w:lvlJc w:val="left"/>
      <w:lvlText w:val="\ldblquote"/>
      <w:numFmt w:val="bullet"/>
      <w:start w:val="1"/>
    </w:lvl>
  </w:abstractNum>
  <w:abstractNum w:abstractNumId="54">
    <w:nsid w:val="5FB8011C"/>
    <w:multiLevelType w:val="hybridMultilevel"/>
    <w:lvl w:ilvl="0">
      <w:lvlJc w:val="left"/>
      <w:lvlText w:val="\ldblquote"/>
      <w:numFmt w:val="bullet"/>
      <w:start w:val="1"/>
    </w:lvl>
  </w:abstractNum>
  <w:abstractNum w:abstractNumId="55">
    <w:nsid w:val="6AA78F7F"/>
    <w:multiLevelType w:val="hybridMultilevel"/>
    <w:lvl w:ilvl="0">
      <w:lvlJc w:val="left"/>
      <w:lvlText w:val="\ldblquote"/>
      <w:numFmt w:val="bullet"/>
      <w:start w:val="1"/>
    </w:lvl>
  </w:abstractNum>
  <w:abstractNum w:abstractNumId="56">
    <w:nsid w:val="7672BD23"/>
    <w:multiLevelType w:val="hybridMultilevel"/>
    <w:lvl w:ilvl="0">
      <w:lvlJc w:val="left"/>
      <w:lvlText w:val="\ldblquote"/>
      <w:numFmt w:val="bullet"/>
      <w:start w:val="1"/>
    </w:lvl>
  </w:abstractNum>
  <w:abstractNum w:abstractNumId="57">
    <w:nsid w:val="6FC75AF8"/>
    <w:multiLevelType w:val="hybridMultilevel"/>
    <w:lvl w:ilvl="0">
      <w:lvlJc w:val="left"/>
      <w:lvlText w:val="\ldblquote"/>
      <w:numFmt w:val="bullet"/>
      <w:start w:val="1"/>
    </w:lvl>
  </w:abstractNum>
  <w:abstractNum w:abstractNumId="58">
    <w:nsid w:val="6A5F7029"/>
    <w:multiLevelType w:val="hybridMultilevel"/>
    <w:lvl w:ilvl="0">
      <w:lvlJc w:val="left"/>
      <w:lvlText w:val="\ldblquote"/>
      <w:numFmt w:val="bullet"/>
      <w:start w:val="1"/>
    </w:lvl>
  </w:abstractNum>
  <w:abstractNum w:abstractNumId="59">
    <w:nsid w:val="7D5E18F8"/>
    <w:multiLevelType w:val="hybridMultilevel"/>
    <w:lvl w:ilvl="0">
      <w:lvlJc w:val="left"/>
      <w:lvlText w:val="\ldblquote"/>
      <w:numFmt w:val="bullet"/>
      <w:start w:val="1"/>
    </w:lvl>
  </w:abstractNum>
  <w:abstractNum w:abstractNumId="60">
    <w:nsid w:val="5F3534A4"/>
    <w:multiLevelType w:val="hybridMultilevel"/>
    <w:lvl w:ilvl="0">
      <w:lvlJc w:val="left"/>
      <w:lvlText w:val="%1."/>
      <w:numFmt w:val="decimal"/>
      <w:start w:val="2"/>
    </w:lvl>
  </w:abstractNum>
  <w:abstractNum w:abstractNumId="61">
    <w:nsid w:val="73A1821B"/>
    <w:multiLevelType w:val="hybridMultilevel"/>
    <w:lvl w:ilvl="0">
      <w:lvlJc w:val="left"/>
      <w:lvlText w:val="%1."/>
      <w:numFmt w:val="decimal"/>
      <w:start w:val="3"/>
    </w:lvl>
  </w:abstractNum>
  <w:abstractNum w:abstractNumId="62">
    <w:nsid w:val="7DE67713"/>
    <w:multiLevelType w:val="hybridMultilevel"/>
    <w:lvl w:ilvl="0">
      <w:lvlJc w:val="left"/>
      <w:lvlText w:val="%1."/>
      <w:numFmt w:val="decimal"/>
      <w:start w:val="3"/>
    </w:lvl>
  </w:abstractNum>
  <w:abstractNum w:abstractNumId="63">
    <w:nsid w:val="555C55B5"/>
    <w:multiLevelType w:val="hybridMultilevel"/>
    <w:lvl w:ilvl="0">
      <w:lvlJc w:val="left"/>
      <w:lvlText w:val="%1."/>
      <w:numFmt w:val="decimal"/>
      <w:start w:val="4"/>
    </w:lvl>
  </w:abstractNum>
  <w:abstractNum w:abstractNumId="64">
    <w:nsid w:val="3FA62ACA"/>
    <w:multiLevelType w:val="hybridMultilevel"/>
    <w:lvl w:ilvl="0">
      <w:lvlJc w:val="left"/>
      <w:lvlText w:val="%1."/>
      <w:numFmt w:val="decimal"/>
      <w:start w:val="4"/>
    </w:lvl>
  </w:abstractNum>
  <w:abstractNum w:abstractNumId="65">
    <w:nsid w:val="14FCE74E"/>
    <w:multiLevelType w:val="hybridMultilevel"/>
    <w:lvl w:ilvl="0">
      <w:lvlJc w:val="left"/>
      <w:lvlText w:val="%1."/>
      <w:numFmt w:val="decimal"/>
      <w:start w:val="5"/>
    </w:lvl>
  </w:abstractNum>
  <w:abstractNum w:abstractNumId="66">
    <w:nsid w:val="6A3DD3E8"/>
    <w:multiLevelType w:val="hybridMultilevel"/>
    <w:lvl w:ilvl="0">
      <w:lvlJc w:val="left"/>
      <w:lvlText w:val="%1."/>
      <w:numFmt w:val="decimal"/>
      <w:start w:val="5"/>
    </w:lvl>
  </w:abstractNum>
  <w:abstractNum w:abstractNumId="67">
    <w:nsid w:val="71C91298"/>
    <w:multiLevelType w:val="hybridMultilevel"/>
    <w:lvl w:ilvl="0">
      <w:lvlJc w:val="left"/>
      <w:lvlText w:val="%1."/>
      <w:numFmt w:val="decimal"/>
      <w:start w:val="6"/>
    </w:lvl>
  </w:abstractNum>
  <w:abstractNum w:abstractNumId="68">
    <w:nsid w:val="9DAF632"/>
    <w:multiLevelType w:val="hybridMultilevel"/>
    <w:lvl w:ilvl="0">
      <w:lvlJc w:val="left"/>
      <w:lvlText w:val="%1."/>
      <w:numFmt w:val="decimal"/>
      <w:start w:val="6"/>
    </w:lvl>
  </w:abstractNum>
  <w:abstractNum w:abstractNumId="69">
    <w:nsid w:val="53299938"/>
    <w:multiLevelType w:val="hybridMultilevel"/>
    <w:lvl w:ilvl="0">
      <w:lvlJc w:val="left"/>
      <w:lvlText w:val="%1."/>
      <w:numFmt w:val="decimal"/>
      <w:start w:val="7"/>
    </w:lvl>
  </w:abstractNum>
  <w:abstractNum w:abstractNumId="70">
    <w:nsid w:val="1FBFE8E0"/>
    <w:multiLevelType w:val="hybridMultilevel"/>
    <w:lvl w:ilvl="0">
      <w:lvlJc w:val="left"/>
      <w:lvlText w:val="%1."/>
      <w:numFmt w:val="decimal"/>
      <w:start w:val="7"/>
    </w:lvl>
  </w:abstractNum>
  <w:abstractNum w:abstractNumId="71">
    <w:nsid w:val="5092CA79"/>
    <w:multiLevelType w:val="hybridMultilevel"/>
    <w:lvl w:ilvl="0">
      <w:lvlJc w:val="left"/>
      <w:lvlText w:val="%1."/>
      <w:numFmt w:val="decimal"/>
      <w:start w:val="8"/>
    </w:lvl>
  </w:abstractNum>
  <w:abstractNum w:abstractNumId="72">
    <w:nsid w:val="1D545C4D"/>
    <w:multiLevelType w:val="hybridMultilevel"/>
    <w:lvl w:ilvl="0">
      <w:lvlJc w:val="left"/>
      <w:lvlText w:val="%1."/>
      <w:numFmt w:val="decimal"/>
      <w:start w:val="8"/>
    </w:lvl>
  </w:abstractNum>
  <w:abstractNum w:abstractNumId="73">
    <w:nsid w:val="59ADEA3D"/>
    <w:multiLevelType w:val="hybridMultilevel"/>
    <w:lvl w:ilvl="0">
      <w:lvlJc w:val="left"/>
      <w:lvlText w:val="%1."/>
      <w:numFmt w:val="decimal"/>
      <w:start w:val="1"/>
    </w:lvl>
  </w:abstractNum>
  <w:abstractNum w:abstractNumId="74">
    <w:nsid w:val="288F1A34"/>
    <w:multiLevelType w:val="hybridMultilevel"/>
    <w:lvl w:ilvl="0">
      <w:lvlJc w:val="left"/>
      <w:lvlText w:val="%1."/>
      <w:numFmt w:val="decimal"/>
      <w:start w:val="1"/>
    </w:lvl>
  </w:abstractNum>
  <w:abstractNum w:abstractNumId="75">
    <w:nsid w:val="2A155DBC"/>
    <w:multiLevelType w:val="hybridMultilevel"/>
    <w:lvl w:ilvl="0">
      <w:lvlJc w:val="left"/>
      <w:lvlText w:val="(%1)"/>
      <w:numFmt w:val="lowerRoman"/>
      <w:start w:val="1"/>
    </w:lvl>
  </w:abstractNum>
  <w:abstractNum w:abstractNumId="76">
    <w:nsid w:val="1D9F6E5F"/>
    <w:multiLevelType w:val="hybridMultilevel"/>
    <w:lvl w:ilvl="0">
      <w:lvlJc w:val="left"/>
      <w:lvlText w:val="(%1)"/>
      <w:numFmt w:val="upperLetter"/>
      <w:start w:val="1"/>
    </w:lvl>
  </w:abstractNum>
  <w:abstractNum w:abstractNumId="77">
    <w:nsid w:val="97E1B4E"/>
    <w:multiLevelType w:val="hybridMultilevel"/>
    <w:lvl w:ilvl="0">
      <w:lvlJc w:val="left"/>
      <w:lvlText w:val="(%1)"/>
      <w:numFmt w:val="decimal"/>
      <w:start w:val="3"/>
    </w:lvl>
  </w:abstractNum>
  <w:abstractNum w:abstractNumId="78">
    <w:nsid w:val="51088277"/>
    <w:multiLevelType w:val="hybridMultilevel"/>
    <w:lvl w:ilvl="0">
      <w:lvlJc w:val="left"/>
      <w:lvlText w:val="(%1)"/>
      <w:numFmt w:val="lowerRoman"/>
      <w:start w:val="2"/>
    </w:lvl>
  </w:abstractNum>
  <w:abstractNum w:abstractNumId="79">
    <w:nsid w:val="1CA0C5FA"/>
    <w:multiLevelType w:val="hybridMultilevel"/>
    <w:lvl w:ilvl="0">
      <w:lvlJc w:val="left"/>
      <w:lvlText w:val="%1."/>
      <w:numFmt w:val="decimal"/>
      <w:start w:val="3"/>
    </w:lvl>
  </w:abstractNum>
  <w:abstractNum w:abstractNumId="80">
    <w:nsid w:val="53584BCB"/>
    <w:multiLevelType w:val="hybridMultilevel"/>
    <w:lvl w:ilvl="0">
      <w:lvlJc w:val="left"/>
      <w:lvlText w:val="(%1)"/>
      <w:numFmt w:val="lowerLetter"/>
      <w:start w:val="2"/>
    </w:lvl>
  </w:abstractNum>
  <w:abstractNum w:abstractNumId="81">
    <w:nsid w:val="415E286C"/>
    <w:multiLevelType w:val="hybridMultilevel"/>
    <w:lvl w:ilvl="0">
      <w:lvlJc w:val="left"/>
      <w:lvlText w:val="(%1)"/>
      <w:numFmt w:val="lowerRoman"/>
      <w:start w:val="9"/>
    </w:lvl>
  </w:abstractNum>
  <w:abstractNum w:abstractNumId="82">
    <w:nsid w:val="7C58FD05"/>
    <w:multiLevelType w:val="hybridMultilevel"/>
    <w:lvl w:ilvl="0">
      <w:lvlJc w:val="left"/>
      <w:lvlText w:val="(%1)"/>
      <w:numFmt w:val="lowerLetter"/>
      <w:start w:val="3"/>
    </w:lvl>
  </w:abstractNum>
  <w:abstractNum w:abstractNumId="83">
    <w:nsid w:val="23D86AAC"/>
    <w:multiLevelType w:val="hybridMultilevel"/>
    <w:lvl w:ilvl="0">
      <w:lvlJc w:val="left"/>
      <w:lvlText w:val="(%1)"/>
      <w:numFmt w:val="lowerLetter"/>
      <w:start w:val="6"/>
    </w:lvl>
    <w:lvl w:ilvl="1">
      <w:lvlJc w:val="left"/>
      <w:lvlText w:val="%2."/>
      <w:numFmt w:val="decimal"/>
      <w:start w:val="5"/>
    </w:lvl>
  </w:abstractNum>
  <w:abstractNum w:abstractNumId="84">
    <w:nsid w:val="45E6D486"/>
    <w:multiLevelType w:val="hybridMultilevel"/>
    <w:lvl w:ilvl="0">
      <w:lvlJc w:val="left"/>
      <w:lvlText w:val="(%1)"/>
      <w:numFmt w:val="lowerLetter"/>
      <w:start w:val="2"/>
    </w:lvl>
  </w:abstractNum>
  <w:abstractNum w:abstractNumId="85">
    <w:nsid w:val="5C10FE21"/>
    <w:multiLevelType w:val="hybridMultilevel"/>
    <w:lvl w:ilvl="0">
      <w:lvlJc w:val="left"/>
      <w:lvlText w:val="(%1)"/>
      <w:numFmt w:val="lowerLetter"/>
      <w:start w:val="4"/>
    </w:lvl>
  </w:abstractNum>
  <w:abstractNum w:abstractNumId="86">
    <w:nsid w:val="E7FFA2B"/>
    <w:multiLevelType w:val="hybridMultilevel"/>
    <w:lvl w:ilvl="0">
      <w:lvlJc w:val="left"/>
      <w:lvlText w:val="(%1)"/>
      <w:numFmt w:val="lowerLetter"/>
      <w:start w:val="5"/>
    </w:lvl>
    <w:lvl w:ilvl="1">
      <w:lvlJc w:val="left"/>
      <w:lvlText w:val="%2."/>
      <w:numFmt w:val="decimal"/>
      <w:start w:val="6"/>
    </w:lvl>
  </w:abstractNum>
  <w:abstractNum w:abstractNumId="87">
    <w:nsid w:val="3C5991AA"/>
    <w:multiLevelType w:val="hybridMultilevel"/>
    <w:lvl w:ilvl="0">
      <w:lvlJc w:val="left"/>
      <w:lvlText w:val="(%1)"/>
      <w:numFmt w:val="lowerLetter"/>
      <w:start w:val="2"/>
    </w:lvl>
  </w:abstractNum>
  <w:abstractNum w:abstractNumId="88">
    <w:nsid w:val="4BD8591A"/>
    <w:multiLevelType w:val="hybridMultilevel"/>
    <w:lvl w:ilvl="0">
      <w:lvlJc w:val="left"/>
      <w:lvlText w:val="(%1)"/>
      <w:numFmt w:val="lowerLetter"/>
      <w:start w:val="5"/>
    </w:lvl>
  </w:abstractNum>
  <w:abstractNum w:abstractNumId="89">
    <w:nsid w:val="78DF6A55"/>
    <w:multiLevelType w:val="hybridMultilevel"/>
    <w:lvl w:ilvl="0">
      <w:lvlJc w:val="left"/>
      <w:lvlText w:val="%1"/>
      <w:numFmt w:val="lowerLetter"/>
      <w:start w:val="1"/>
    </w:lvl>
    <w:lvl w:ilvl="1">
      <w:lvlJc w:val="left"/>
      <w:lvlText w:val="%2."/>
      <w:numFmt w:val="decimal"/>
      <w:start w:val="8"/>
    </w:lvl>
  </w:abstractNum>
  <w:abstractNum w:abstractNumId="90">
    <w:nsid w:val="39B7AAA2"/>
    <w:multiLevelType w:val="hybridMultilevel"/>
    <w:lvl w:ilvl="0">
      <w:lvlJc w:val="left"/>
      <w:lvlText w:val="(%1)"/>
      <w:numFmt w:val="lowerLetter"/>
      <w:start w:val="2"/>
    </w:lvl>
    <w:lvl w:ilvl="1">
      <w:lvlJc w:val="left"/>
      <w:lvlText w:val="%2"/>
      <w:numFmt w:val="decimal"/>
      <w:start w:val="1"/>
    </w:lvl>
  </w:abstractNum>
  <w:abstractNum w:abstractNumId="91">
    <w:nsid w:val="2B0D8DBE"/>
    <w:multiLevelType w:val="hybridMultilevel"/>
    <w:lvl w:ilvl="0">
      <w:lvlJc w:val="left"/>
      <w:lvlText w:val="%1"/>
      <w:numFmt w:val="lowerLetter"/>
      <w:start w:val="1"/>
    </w:lvl>
    <w:lvl w:ilvl="1">
      <w:lvlJc w:val="left"/>
      <w:lvlText w:val="%2."/>
      <w:numFmt w:val="decimal"/>
      <w:start w:val="9"/>
    </w:lvl>
  </w:abstractNum>
  <w:abstractNum w:abstractNumId="92">
    <w:nsid w:val="6C80EC70"/>
    <w:multiLevelType w:val="hybridMultilevel"/>
    <w:lvl w:ilvl="0">
      <w:lvlJc w:val="left"/>
      <w:lvlText w:val="(%1)"/>
      <w:numFmt w:val="lowerLetter"/>
      <w:start w:val="2"/>
    </w:lvl>
    <w:lvl w:ilvl="1">
      <w:lvlJc w:val="left"/>
      <w:lvlText w:val="%2"/>
      <w:numFmt w:val="decimal"/>
      <w:start w:val="1"/>
    </w:lvl>
  </w:abstractNum>
  <w:abstractNum w:abstractNumId="93">
    <w:nsid w:val="379E21B5"/>
    <w:multiLevelType w:val="hybridMultilevel"/>
    <w:lvl w:ilvl="0">
      <w:lvlJc w:val="left"/>
      <w:lvlText w:val="(%1)"/>
      <w:numFmt w:val="lowerLetter"/>
      <w:start w:val="9"/>
    </w:lvl>
    <w:lvl w:ilvl="1">
      <w:lvlJc w:val="left"/>
      <w:lvlText w:val="%2"/>
      <w:numFmt w:val="decimal"/>
      <w:start w:val="1"/>
    </w:lvl>
  </w:abstractNum>
  <w:abstractNum w:abstractNumId="94">
    <w:nsid w:val="69E373"/>
    <w:multiLevelType w:val="hybridMultilevel"/>
    <w:lvl w:ilvl="0">
      <w:lvlJc w:val="left"/>
      <w:lvlText w:val="(%1)"/>
      <w:numFmt w:val="lowerLetter"/>
      <w:start w:val="3"/>
    </w:lvl>
    <w:lvl w:ilvl="1">
      <w:lvlJc w:val="left"/>
      <w:lvlText w:val="%2"/>
      <w:numFmt w:val="decimal"/>
      <w:start w:val="1"/>
    </w:lvl>
  </w:abstractNum>
  <w:abstractNum w:abstractNumId="95">
    <w:nsid w:val="2C27173B"/>
    <w:multiLevelType w:val="hybridMultilevel"/>
    <w:lvl w:ilvl="0">
      <w:lvlJc w:val="left"/>
      <w:lvlText w:val="(%1)"/>
      <w:numFmt w:val="lowerRoman"/>
      <w:start w:val="2"/>
    </w:lvl>
  </w:abstractNum>
  <w:abstractNum w:abstractNumId="96">
    <w:nsid w:val="4C9B0904"/>
    <w:multiLevelType w:val="hybridMultilevel"/>
    <w:lvl w:ilvl="0">
      <w:lvlJc w:val="left"/>
      <w:lvlText w:val="%1."/>
      <w:numFmt w:val="decimal"/>
      <w:start w:val="10"/>
    </w:lvl>
  </w:abstractNum>
  <w:abstractNum w:abstractNumId="97">
    <w:nsid w:val="6AA7B75C"/>
    <w:multiLevelType w:val="hybridMultilevel"/>
    <w:lvl w:ilvl="0">
      <w:lvlJc w:val="left"/>
      <w:lvlText w:val="(%1)"/>
      <w:numFmt w:val="lowerRoman"/>
      <w:start w:val="1"/>
    </w:lvl>
  </w:abstractNum>
  <w:abstractNum w:abstractNumId="98">
    <w:nsid w:val="1DF029D3"/>
    <w:multiLevelType w:val="hybridMultilevel"/>
    <w:lvl w:ilvl="0">
      <w:lvlJc w:val="left"/>
      <w:lvlText w:val="(%1)"/>
      <w:numFmt w:val="upperLetter"/>
      <w:start w:val="1"/>
    </w:lvl>
    <w:lvl w:ilvl="1">
      <w:lvlJc w:val="left"/>
      <w:lvlText w:val="%2."/>
      <w:numFmt w:val="decimal"/>
      <w:start w:val="12"/>
    </w:lvl>
  </w:abstractNum>
  <w:abstractNum w:abstractNumId="99">
    <w:nsid w:val="5675FF36"/>
    <w:multiLevelType w:val="hybridMultilevel"/>
    <w:lvl w:ilvl="0">
      <w:lvlJc w:val="left"/>
      <w:lvlText w:val="(%1)"/>
      <w:numFmt w:val="lowerLetter"/>
      <w:start w:val="1"/>
    </w:lvl>
  </w:abstractNum>
  <w:abstractNum w:abstractNumId="100">
    <w:nsid w:val="3DD15094"/>
    <w:multiLevelType w:val="hybridMultilevel"/>
    <w:lvl w:ilvl="0">
      <w:lvlJc w:val="left"/>
      <w:lvlText w:val="(%1)"/>
      <w:numFmt w:val="lowerLetter"/>
      <w:start w:val="3"/>
    </w:lvl>
  </w:abstractNum>
  <w:abstractNum w:abstractNumId="101">
    <w:nsid w:val="3DB012B3"/>
    <w:multiLevelType w:val="hybridMultilevel"/>
    <w:lvl w:ilvl="0">
      <w:lvlJc w:val="left"/>
      <w:lvlText w:val="%1"/>
      <w:numFmt w:val="lowerLetter"/>
      <w:start w:val="1"/>
    </w:lvl>
    <w:lvl w:ilvl="1">
      <w:lvlJc w:val="left"/>
      <w:lvlText w:val="%2."/>
      <w:numFmt w:val="decimal"/>
      <w:start w:val="13"/>
    </w:lvl>
  </w:abstractNum>
  <w:abstractNum w:abstractNumId="102">
    <w:nsid w:val="2708C9AF"/>
    <w:multiLevelType w:val="hybridMultilevel"/>
    <w:lvl w:ilvl="0">
      <w:lvlJc w:val="left"/>
      <w:lvlText w:val="(%1)"/>
      <w:numFmt w:val="lowerLetter"/>
      <w:start w:val="2"/>
    </w:lvl>
    <w:lvl w:ilvl="1">
      <w:lvlJc w:val="left"/>
      <w:lvlText w:val="%2"/>
      <w:numFmt w:val="decimal"/>
      <w:start w:val="1"/>
    </w:lvl>
  </w:abstractNum>
  <w:abstractNum w:abstractNumId="103">
    <w:nsid w:val="5B25ACE2"/>
    <w:multiLevelType w:val="hybridMultilevel"/>
    <w:lvl w:ilvl="0">
      <w:lvlJc w:val="left"/>
      <w:lvlText w:val="(%1)"/>
      <w:numFmt w:val="lowerRoman"/>
      <w:start w:val="1"/>
    </w:lvl>
    <w:lvl w:ilvl="1">
      <w:lvlJc w:val="left"/>
      <w:lvlText w:val="%2."/>
      <w:numFmt w:val="decimal"/>
      <w:start w:val="14"/>
    </w:lvl>
  </w:abstractNum>
  <w:abstractNum w:abstractNumId="104">
    <w:nsid w:val="175DFCF0"/>
    <w:multiLevelType w:val="hybridMultilevel"/>
    <w:lvl w:ilvl="0">
      <w:lvlJc w:val="left"/>
      <w:lvlText w:val="(%1)"/>
      <w:numFmt w:val="lowerLetter"/>
      <w:start w:val="2"/>
    </w:lvl>
  </w:abstractNum>
  <w:abstractNum w:abstractNumId="105">
    <w:nsid w:val="4F97E3E4"/>
    <w:multiLevelType w:val="hybridMultilevel"/>
    <w:lvl w:ilvl="0">
      <w:lvlJc w:val="left"/>
      <w:lvlText w:val="(%1)"/>
      <w:numFmt w:val="lowerLetter"/>
      <w:start w:val="6"/>
    </w:lvl>
  </w:abstractNum>
  <w:abstractNum w:abstractNumId="106">
    <w:nsid w:val="53B0A9E"/>
    <w:multiLevelType w:val="hybridMultilevel"/>
    <w:lvl w:ilvl="0">
      <w:lvlJc w:val="left"/>
      <w:lvlText w:val="%1"/>
      <w:numFmt w:val="lowerLetter"/>
      <w:start w:val="1"/>
    </w:lvl>
    <w:lvl w:ilvl="1">
      <w:lvlJc w:val="left"/>
      <w:lvlText w:val="%2."/>
      <w:numFmt w:val="decimal"/>
      <w:start w:val="15"/>
    </w:lvl>
  </w:abstractNum>
  <w:abstractNum w:abstractNumId="107">
    <w:nsid w:val="34FD6B4F"/>
    <w:multiLevelType w:val="hybridMultilevel"/>
    <w:lvl w:ilvl="0">
      <w:lvlJc w:val="left"/>
      <w:lvlText w:val="(%1)"/>
      <w:numFmt w:val="lowerLetter"/>
      <w:start w:val="2"/>
    </w:lvl>
    <w:lvl w:ilvl="1">
      <w:lvlJc w:val="left"/>
      <w:lvlText w:val="%2"/>
      <w:numFmt w:val="decimal"/>
      <w:start w:val="1"/>
    </w:lvl>
  </w:abstractNum>
  <w:abstractNum w:abstractNumId="108">
    <w:nsid w:val="5915FF32"/>
    <w:multiLevelType w:val="hybridMultilevel"/>
    <w:lvl w:ilvl="0">
      <w:lvlJc w:val="left"/>
      <w:lvlText w:val="(%1)"/>
      <w:numFmt w:val="lowerRoman"/>
      <w:start w:val="2"/>
    </w:lvl>
  </w:abstractNum>
  <w:abstractNum w:abstractNumId="109">
    <w:nsid w:val="56438D15"/>
    <w:multiLevelType w:val="hybridMultilevel"/>
    <w:lvl w:ilvl="0">
      <w:lvlJc w:val="left"/>
      <w:lvlText w:val="(%1)"/>
      <w:numFmt w:val="upperLetter"/>
      <w:start w:val="9"/>
    </w:lvl>
  </w:abstractNum>
  <w:abstractNum w:abstractNumId="110">
    <w:nsid w:val="519E3149"/>
    <w:multiLevelType w:val="hybridMultilevel"/>
    <w:lvl w:ilvl="0">
      <w:lvlJc w:val="left"/>
      <w:lvlText w:val="(%1)"/>
      <w:numFmt w:val="lowerRoman"/>
      <w:start w:val="3"/>
    </w:lvl>
  </w:abstractNum>
  <w:abstractNum w:abstractNumId="111">
    <w:nsid w:val="2C6E4AFD"/>
    <w:multiLevelType w:val="hybridMultilevel"/>
    <w:lvl w:ilvl="0">
      <w:lvlJc w:val="left"/>
      <w:lvlText w:val="(%1)"/>
      <w:numFmt w:val="upperLetter"/>
      <w:start w:val="4"/>
    </w:lvl>
  </w:abstractNum>
  <w:abstractNum w:abstractNumId="112">
    <w:nsid w:val="17A1B582"/>
    <w:multiLevelType w:val="hybridMultilevel"/>
    <w:lvl w:ilvl="0">
      <w:lvlJc w:val="left"/>
      <w:lvlText w:val="(%1)"/>
      <w:numFmt w:val="lowerLetter"/>
      <w:start w:val="3"/>
    </w:lvl>
  </w:abstractNum>
  <w:abstractNum w:abstractNumId="113">
    <w:nsid w:val="4DF72E4E"/>
    <w:multiLevelType w:val="hybridMultilevel"/>
    <w:lvl w:ilvl="0">
      <w:lvlJc w:val="left"/>
      <w:lvlText w:val="(%1)"/>
      <w:numFmt w:val="lowerRoman"/>
      <w:start w:val="2"/>
    </w:lvl>
  </w:abstractNum>
  <w:abstractNum w:abstractNumId="114">
    <w:nsid w:val="5046B5A9"/>
    <w:multiLevelType w:val="hybridMultilevel"/>
    <w:lvl w:ilvl="0">
      <w:lvlJc w:val="left"/>
      <w:lvlText w:val="(%1)"/>
      <w:numFmt w:val="lowerLetter"/>
      <w:start w:val="4"/>
    </w:lvl>
  </w:abstractNum>
  <w:abstractNum w:abstractNumId="115">
    <w:nsid w:val="5D888A08"/>
    <w:multiLevelType w:val="hybridMultilevel"/>
    <w:lvl w:ilvl="0">
      <w:lvlJc w:val="left"/>
      <w:lvlText w:val="(%1)"/>
      <w:numFmt w:val="lowerLetter"/>
      <w:start w:val="7"/>
    </w:lvl>
  </w:abstractNum>
  <w:abstractNum w:abstractNumId="116">
    <w:nsid w:val="2A082C70"/>
    <w:multiLevelType w:val="hybridMultilevel"/>
    <w:lvl w:ilvl="0">
      <w:lvlJc w:val="left"/>
      <w:lvlText w:val="(%1)"/>
      <w:numFmt w:val="lowerLetter"/>
      <w:start w:val="8"/>
    </w:lvl>
  </w:abstractNum>
  <w:abstractNum w:abstractNumId="117">
    <w:nsid w:val="5EC6AFD4"/>
    <w:multiLevelType w:val="hybridMultilevel"/>
    <w:lvl w:ilvl="0">
      <w:lvlJc w:val="left"/>
      <w:lvlText w:val="(%1)"/>
      <w:numFmt w:val="lowerRoman"/>
      <w:start w:val="2"/>
    </w:lvl>
  </w:abstractNum>
  <w:abstractNum w:abstractNumId="118">
    <w:nsid w:val="19E21BB2"/>
    <w:multiLevelType w:val="hybridMultilevel"/>
    <w:lvl w:ilvl="0">
      <w:lvlJc w:val="left"/>
      <w:lvlText w:val="(%1)"/>
      <w:numFmt w:val="lowerLetter"/>
      <w:start w:val="10"/>
    </w:lvl>
  </w:abstractNum>
  <w:abstractNum w:abstractNumId="119">
    <w:nsid w:val="75E0858A"/>
    <w:multiLevelType w:val="hybridMultilevel"/>
    <w:lvl w:ilvl="0">
      <w:lvlJc w:val="left"/>
      <w:lvlText w:val="(%1)"/>
      <w:numFmt w:val="lowerLetter"/>
      <w:start w:val="12"/>
    </w:lvl>
  </w:abstractNum>
  <w:abstractNum w:abstractNumId="120">
    <w:nsid w:val="57A61A29"/>
    <w:multiLevelType w:val="hybridMultilevel"/>
    <w:lvl w:ilvl="0">
      <w:lvlJc w:val="left"/>
      <w:lvlText w:val="(%1)"/>
      <w:numFmt w:val="lowerLetter"/>
      <w:start w:val="16"/>
    </w:lvl>
    <w:lvl w:ilvl="1">
      <w:lvlJc w:val="left"/>
      <w:lvlText w:val="(%2)"/>
      <w:numFmt w:val="decimal"/>
      <w:start w:val="1"/>
    </w:lvl>
  </w:abstractNum>
  <w:abstractNum w:abstractNumId="121">
    <w:nsid w:val="5399C654"/>
    <w:multiLevelType w:val="hybridMultilevel"/>
    <w:lvl w:ilvl="0">
      <w:lvlJc w:val="left"/>
      <w:lvlText w:val="%1."/>
      <w:numFmt w:val="decimal"/>
      <w:start w:val="2"/>
    </w:lvl>
  </w:abstractNum>
  <w:abstractNum w:abstractNumId="122">
    <w:nsid w:val="20EE1348"/>
    <w:multiLevelType w:val="hybridMultilevel"/>
    <w:lvl w:ilvl="0">
      <w:lvlJc w:val="left"/>
      <w:lvlText w:val="%1"/>
      <w:numFmt w:val="lowerLetter"/>
      <w:start w:val="1"/>
    </w:lvl>
    <w:lvl w:ilvl="1">
      <w:lvlJc w:val="left"/>
      <w:lvlText w:val="(%2)"/>
      <w:numFmt w:val="lowerLetter"/>
      <w:start w:val="35"/>
    </w:lvl>
  </w:abstractNum>
  <w:abstractNum w:abstractNumId="123">
    <w:nsid w:val="4427069A"/>
    <w:multiLevelType w:val="hybridMultilevel"/>
    <w:lvl w:ilvl="0">
      <w:lvlJc w:val="left"/>
      <w:lvlText w:val="(%1)"/>
      <w:numFmt w:val="lowerLetter"/>
      <w:start w:val="3"/>
    </w:lvl>
    <w:lvl w:ilvl="1">
      <w:lvlJc w:val="left"/>
      <w:lvlText w:val="%2"/>
      <w:numFmt w:val="lowerLetter"/>
      <w:start w:val="1"/>
    </w:lvl>
  </w:abstractNum>
  <w:abstractNum w:abstractNumId="124">
    <w:nsid w:val="B37E80A"/>
    <w:multiLevelType w:val="hybridMultilevel"/>
    <w:lvl w:ilvl="0">
      <w:lvlJc w:val="left"/>
      <w:lvlText w:val="(%1)"/>
      <w:numFmt w:val="lowerLetter"/>
      <w:start w:val="1"/>
    </w:lvl>
  </w:abstractNum>
  <w:abstractNum w:abstractNumId="125">
    <w:nsid w:val="2157F6BC"/>
    <w:multiLevelType w:val="hybridMultilevel"/>
    <w:lvl w:ilvl="0">
      <w:lvlJc w:val="left"/>
      <w:lvlText w:val="%1."/>
      <w:numFmt w:val="decimal"/>
      <w:start w:val="11"/>
    </w:lvl>
  </w:abstractNum>
  <w:abstractNum w:abstractNumId="126">
    <w:nsid w:val="704E1DD5"/>
    <w:multiLevelType w:val="hybridMultilevel"/>
    <w:lvl w:ilvl="0">
      <w:lvlJc w:val="left"/>
      <w:lvlText w:val="%1."/>
      <w:numFmt w:val="decimal"/>
      <w:start w:val="17"/>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1)"/>
      <w:numFmt w:val="lowerLetter"/>
      <w:start w:val="1"/>
    </w:lvl>
  </w:abstractNum>
  <w:abstractNum w:abstractNumId="129">
    <w:nsid w:val="E3E47A8"/>
    <w:multiLevelType w:val="hybridMultilevel"/>
    <w:lvl w:ilvl="0">
      <w:lvlJc w:val="left"/>
      <w:lvlText w:val="%1"/>
      <w:numFmt w:val="upperLetter"/>
      <w:start w:val="1"/>
    </w:lvl>
    <w:lvl w:ilvl="1">
      <w:lvlJc w:val="left"/>
      <w:lvlText w:val="%2."/>
      <w:numFmt w:val="decimal"/>
      <w:start w:val="3"/>
    </w:lvl>
  </w:abstractNum>
  <w:abstractNum w:abstractNumId="130">
    <w:nsid w:val="2E48F044"/>
    <w:multiLevelType w:val="hybridMultilevel"/>
    <w:lvl w:ilvl="0">
      <w:lvlJc w:val="left"/>
      <w:lvlText w:val="(%1)"/>
      <w:numFmt w:val="upperLetter"/>
      <w:start w:val="1"/>
    </w:lvl>
    <w:lvl w:ilvl="1">
      <w:lvlJc w:val="left"/>
      <w:lvlText w:val="%2."/>
      <w:numFmt w:val="decimal"/>
      <w:start w:val="5"/>
    </w:lvl>
  </w:abstractNum>
  <w:abstractNum w:abstractNumId="131">
    <w:nsid w:val="49D0FEAC"/>
    <w:multiLevelType w:val="hybridMultilevel"/>
    <w:lvl w:ilvl="0">
      <w:lvlJc w:val="left"/>
      <w:lvlText w:val="(%1)"/>
      <w:numFmt w:val="lowerLetter"/>
      <w:start w:val="1"/>
    </w:lvl>
  </w:abstractNum>
  <w:abstractNum w:abstractNumId="132">
    <w:nsid w:val="4BEE5A5B"/>
    <w:multiLevelType w:val="hybridMultilevel"/>
    <w:lvl w:ilvl="0">
      <w:lvlJc w:val="left"/>
      <w:lvlText w:val="%1."/>
      <w:numFmt w:val="decimal"/>
      <w:start w:val="6"/>
    </w:lvl>
  </w:abstractNum>
  <w:abstractNum w:abstractNumId="133">
    <w:nsid w:val="5551B9F3"/>
    <w:multiLevelType w:val="hybridMultilevel"/>
    <w:lvl w:ilvl="0">
      <w:lvlJc w:val="left"/>
      <w:lvlText w:val="%1."/>
      <w:numFmt w:val="decimal"/>
      <w:start w:val="7"/>
    </w:lvl>
  </w:abstractNum>
  <w:abstractNum w:abstractNumId="134">
    <w:nsid w:val="24F6AB8E"/>
    <w:multiLevelType w:val="hybridMultilevel"/>
    <w:lvl w:ilvl="0">
      <w:lvlJc w:val="left"/>
      <w:lvlText w:val="(%1)"/>
      <w:numFmt w:val="lowerLetter"/>
      <w:start w:val="1"/>
    </w:lvl>
  </w:abstractNum>
  <w:abstractNum w:abstractNumId="135">
    <w:nsid w:val="634C574C"/>
    <w:multiLevelType w:val="hybridMultilevel"/>
    <w:lvl w:ilvl="0">
      <w:lvlJc w:val="left"/>
      <w:lvlText w:val="%1."/>
      <w:numFmt w:val="decimal"/>
      <w:start w:val="9"/>
    </w:lvl>
  </w:abstractNum>
  <w:abstractNum w:abstractNumId="136">
    <w:nsid w:val="24E99DD7"/>
    <w:multiLevelType w:val="hybridMultilevel"/>
    <w:lvl w:ilvl="0">
      <w:lvlJc w:val="left"/>
      <w:lvlText w:val="%1."/>
      <w:numFmt w:val="decimal"/>
      <w:start w:val="12"/>
    </w:lvl>
  </w:abstractNum>
  <w:abstractNum w:abstractNumId="137">
    <w:nsid w:val="2A31B62D"/>
    <w:multiLevelType w:val="hybridMultilevel"/>
    <w:lvl w:ilvl="0">
      <w:lvlJc w:val="left"/>
      <w:lvlText w:val="%1."/>
      <w:numFmt w:val="decimal"/>
      <w:start w:val="16"/>
    </w:lvl>
  </w:abstractNum>
  <w:abstractNum w:abstractNumId="138">
    <w:nsid w:val="1849C29B"/>
    <w:multiLevelType w:val="hybridMultilevel"/>
    <w:lvl w:ilvl="0">
      <w:lvlJc w:val="left"/>
      <w:lvlText w:val="%1"/>
      <w:numFmt w:val="upperLetter"/>
      <w:start w:val="76"/>
    </w:lvl>
    <w:lvl w:ilvl="1">
      <w:lvlJc w:val="left"/>
      <w:lvlText w:val="(%2)"/>
      <w:numFmt w:val="lowerLetter"/>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2019-12-28T20:08:56Z</dcterms:created>
  <dcterms:modified xsi:type="dcterms:W3CDTF">2019-12-28T20:08:56Z</dcterms:modified>
</cp:coreProperties>
</file>