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2015</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904" w:orient="portrait"/>
          <w:cols w:equalWidth="0" w:num="1">
            <w:col w:w="11420"/>
          </w:cols>
          <w:pgMar w:left="240" w:top="225" w:right="239" w:bottom="0" w:gutter="0" w:footer="0" w:header="0"/>
        </w:sectPr>
      </w:pPr>
    </w:p>
    <w:p>
      <w:pPr>
        <w:spacing w:after="0" w:line="340"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904" w:orient="portrait"/>
          <w:cols w:equalWidth="0" w:num="2">
            <w:col w:w="7540" w:space="720"/>
            <w:col w:w="3160"/>
          </w:cols>
          <w:pgMar w:left="240" w:top="225" w:right="239" w:bottom="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904" w:orient="portrait"/>
          <w:cols w:equalWidth="0" w:num="2">
            <w:col w:w="7400" w:space="720"/>
            <w:col w:w="3300"/>
          </w:cols>
          <w:pgMar w:left="240" w:top="225" w:right="239" w:bottom="0" w:gutter="0" w:footer="0" w:header="0"/>
          <w:type w:val="continuous"/>
        </w:sectPr>
      </w:pPr>
    </w:p>
    <w:p>
      <w:pPr>
        <w:jc w:val="center"/>
        <w:ind w:right="2240"/>
        <w:spacing w:after="0"/>
        <w:rPr>
          <w:sz w:val="20"/>
          <w:szCs w:val="20"/>
          <w:color w:val="auto"/>
        </w:rPr>
      </w:pPr>
      <w:r>
        <w:rPr>
          <w:rFonts w:ascii="Arial" w:cs="Arial" w:eastAsia="Arial" w:hAnsi="Arial"/>
          <w:sz w:val="16"/>
          <w:szCs w:val="16"/>
          <w:b w:val="1"/>
          <w:bCs w:val="1"/>
          <w:color w:val="auto"/>
        </w:rPr>
        <w:t>201 E. Sandpointe Avenue, 8</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Santa Ana,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92707</w:t>
      </w:r>
    </w:p>
    <w:p>
      <w:pPr>
        <w:spacing w:after="0" w:line="81" w:lineRule="exact"/>
        <w:rPr>
          <w:sz w:val="24"/>
          <w:szCs w:val="24"/>
          <w:color w:val="auto"/>
        </w:rPr>
      </w:pPr>
    </w:p>
    <w:p>
      <w:pPr>
        <w:sectPr>
          <w:pgSz w:w="11900" w:h="16904" w:orient="portrait"/>
          <w:cols w:equalWidth="0" w:num="2">
            <w:col w:w="7740" w:space="720"/>
            <w:col w:w="2960"/>
          </w:cols>
          <w:pgMar w:left="240" w:top="225" w:right="239" w:bottom="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904" w:orient="portrait"/>
          <w:cols w:equalWidth="0" w:num="2">
            <w:col w:w="7640" w:space="720"/>
            <w:col w:w="3060"/>
          </w:cols>
          <w:pgMar w:left="240" w:top="225"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(714) 918-9500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904" w:orient="portrait"/>
          <w:cols w:equalWidth="0" w:num="1">
            <w:col w:w="11420"/>
          </w:cols>
          <w:pgMar w:left="240" w:top="225" w:right="239" w:bottom="0" w:gutter="0" w:footer="0" w:header="0"/>
          <w:type w:val="continuous"/>
        </w:sectPr>
      </w:pPr>
    </w:p>
    <w:p>
      <w:pPr>
        <w:spacing w:after="0" w:line="3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8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ectPr>
          <w:pgSz w:w="11900" w:h="16904" w:orient="portrait"/>
          <w:cols w:equalWidth="0" w:num="1">
            <w:col w:w="11420"/>
          </w:cols>
          <w:pgMar w:left="240" w:top="225" w:right="23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whether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904" w:orient="portrait"/>
          <w:cols w:equalWidth="0" w:num="5">
            <w:col w:w="9160" w:space="180"/>
            <w:col w:w="260" w:space="100"/>
            <w:col w:w="160" w:space="180"/>
            <w:col w:w="220" w:space="80"/>
            <w:col w:w="1080"/>
          </w:cols>
          <w:pgMar w:left="240" w:top="225"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8620" w:space="180"/>
            <w:col w:w="260" w:space="80"/>
            <w:col w:w="160" w:space="180"/>
            <w:col w:w="220" w:space="100"/>
            <w:col w:w="1620"/>
          </w:cols>
          <w:pgMar w:left="240" w:top="225" w:right="239" w:bottom="0" w:gutter="0" w:footer="0" w:header="0"/>
          <w:type w:val="continuous"/>
        </w:sect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225" w:right="239" w:bottom="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904" w:orient="portrait"/>
          <w:cols w:equalWidth="0" w:num="4">
            <w:col w:w="1660" w:space="540"/>
            <w:col w:w="5560" w:space="720"/>
            <w:col w:w="1900" w:space="720"/>
            <w:col w:w="320"/>
          </w:cols>
          <w:pgMar w:left="240" w:top="225" w:right="239" w:bottom="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904" w:orient="portrait"/>
          <w:cols w:equalWidth="0" w:num="5">
            <w:col w:w="1560" w:space="640"/>
            <w:col w:w="180" w:space="80"/>
            <w:col w:w="5300" w:space="720"/>
            <w:col w:w="1980" w:space="640"/>
            <w:col w:w="320"/>
          </w:cols>
          <w:pgMar w:left="240" w:top="225"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7440" w:space="160"/>
            <w:col w:w="260" w:space="100"/>
            <w:col w:w="160" w:space="180"/>
            <w:col w:w="220" w:space="80"/>
            <w:col w:w="2820"/>
          </w:cols>
          <w:pgMar w:left="240" w:top="225" w:right="239" w:bottom="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2015, the last business day of the registrant's most recently completed second fiscal quarter was $492,823,552 based upon the closing sale price as reported on the NASDAQ Global Select Market for that date.</w:t>
      </w:r>
    </w:p>
    <w:p>
      <w:pPr>
        <w:sectPr>
          <w:pgSz w:w="11900" w:h="16904" w:orient="portrait"/>
          <w:cols w:equalWidth="0" w:num="1">
            <w:col w:w="11420"/>
          </w:cols>
          <w:pgMar w:left="240" w:top="22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On March 7, 2016, 14,382,289 shares of Common Stock, par value $.01 per share, of the registrant were outstanding.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2015 are incorporated by reference into Part III of this Form 10-K. The Proxy Statement will be filed with the Securities and Exchange Commission no later than April 29, 2016.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Except as otherwise stated, the information contained in this Form 10-K is as of December 31, 2015.</w:t>
      </w:r>
    </w:p>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Arial" w:cs="Arial" w:eastAsia="Arial" w:hAnsi="Arial"/>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Arial" w:cs="Arial" w:eastAsia="Arial" w:hAnsi="Arial"/>
                <w:sz w:val="18"/>
                <w:szCs w:val="18"/>
                <w:b w:val="1"/>
                <w:bCs w:val="1"/>
                <w:color w:val="auto"/>
                <w:w w:val="93"/>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Arial" w:cs="Arial" w:eastAsia="Arial" w:hAnsi="Arial"/>
                <w:sz w:val="18"/>
                <w:szCs w:val="18"/>
                <w:b w:val="1"/>
                <w:bCs w:val="1"/>
                <w:color w:val="auto"/>
                <w:w w:val="90"/>
              </w:rPr>
              <w:t>For the Fiscal Year Ended December 31, 2015</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40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158"/>
        </w:trPr>
        <w:tc>
          <w:tcPr>
            <w:tcW w:w="940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1960" w:type="dxa"/>
            <w:vAlign w:val="bottom"/>
            <w:gridSpan w:val="5"/>
          </w:tcPr>
          <w:p>
            <w:pPr>
              <w:jc w:val="right"/>
              <w:ind w:right="15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gridSpan w:val="3"/>
          </w:tcPr>
          <w:p>
            <w:pPr>
              <w:ind w:left="40"/>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20" w:type="dxa"/>
            <w:vAlign w:val="bottom"/>
            <w:gridSpan w:val="20"/>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9400" w:type="dxa"/>
            <w:vAlign w:val="bottom"/>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1A Risk Factors</w:t>
              </w:r>
            </w:hyperlink>
          </w:p>
        </w:tc>
        <w:tc>
          <w:tcPr>
            <w:tcW w:w="196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300" w:type="dxa"/>
            <w:vAlign w:val="bottom"/>
            <w:gridSpan w:val="1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w:t>
              </w:r>
            </w:hyperlink>
          </w:p>
        </w:tc>
        <w:tc>
          <w:tcPr>
            <w:tcW w:w="760" w:type="dxa"/>
            <w:vAlign w:val="bottom"/>
            <w:gridSpan w:val="4"/>
          </w:tcPr>
          <w:p>
            <w:pPr>
              <w:ind w:left="40"/>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1440" w:type="dxa"/>
            <w:vAlign w:val="bottom"/>
            <w:gridSpan w:val="7"/>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hyperlink>
          </w:p>
        </w:tc>
        <w:tc>
          <w:tcPr>
            <w:tcW w:w="9300" w:type="dxa"/>
            <w:vAlign w:val="bottom"/>
            <w:gridSpan w:val="23"/>
          </w:tcPr>
          <w:p>
            <w:pPr>
              <w:ind w:left="40"/>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4</w:t>
              </w:r>
            </w:hyperlink>
          </w:p>
        </w:tc>
        <w:tc>
          <w:tcPr>
            <w:tcW w:w="9300" w:type="dxa"/>
            <w:vAlign w:val="bottom"/>
            <w:gridSpan w:val="23"/>
          </w:tcPr>
          <w:p>
            <w:pPr>
              <w:ind w:left="40"/>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100" w:type="dxa"/>
            <w:vAlign w:val="bottom"/>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5</w:t>
              </w:r>
            </w:hyperlink>
          </w:p>
        </w:tc>
        <w:tc>
          <w:tcPr>
            <w:tcW w:w="9300" w:type="dxa"/>
            <w:vAlign w:val="bottom"/>
            <w:gridSpan w:val="23"/>
          </w:tcPr>
          <w:p>
            <w:pPr>
              <w:ind w:left="40"/>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19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6</w:t>
              </w:r>
            </w:hyperlink>
          </w:p>
        </w:tc>
        <w:tc>
          <w:tcPr>
            <w:tcW w:w="2740" w:type="dxa"/>
            <w:vAlign w:val="bottom"/>
            <w:gridSpan w:val="12"/>
          </w:tcPr>
          <w:p>
            <w:pPr>
              <w:ind w:left="4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7</w:t>
              </w:r>
            </w:hyperlink>
          </w:p>
        </w:tc>
        <w:tc>
          <w:tcPr>
            <w:tcW w:w="6480" w:type="dxa"/>
            <w:vAlign w:val="bottom"/>
            <w:gridSpan w:val="19"/>
          </w:tcPr>
          <w:p>
            <w:pPr>
              <w:ind w:left="4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8</w:t>
              </w:r>
            </w:hyperlink>
          </w:p>
        </w:tc>
        <w:tc>
          <w:tcPr>
            <w:tcW w:w="3360" w:type="dxa"/>
            <w:vAlign w:val="bottom"/>
            <w:gridSpan w:val="15"/>
          </w:tcPr>
          <w:p>
            <w:pPr>
              <w:ind w:left="40"/>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9</w:t>
              </w:r>
            </w:hyperlink>
          </w:p>
        </w:tc>
        <w:tc>
          <w:tcPr>
            <w:tcW w:w="9300" w:type="dxa"/>
            <w:vAlign w:val="bottom"/>
            <w:gridSpan w:val="23"/>
          </w:tcPr>
          <w:p>
            <w:pPr>
              <w:ind w:left="40"/>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1960" w:type="dxa"/>
            <w:vAlign w:val="bottom"/>
            <w:gridSpan w:val="5"/>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4320" w:type="dxa"/>
            <w:vAlign w:val="bottom"/>
            <w:gridSpan w:val="17"/>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20" w:type="dxa"/>
            <w:vAlign w:val="bottom"/>
            <w:gridSpan w:val="22"/>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14 Principal Accountant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3380" w:type="dxa"/>
            <w:vAlign w:val="bottom"/>
            <w:gridSpan w:val="15"/>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gridSpan w:val="1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Exhibit Index</w:t>
              </w:r>
            </w:hyperlink>
          </w:p>
        </w:tc>
        <w:tc>
          <w:tcPr>
            <w:tcW w:w="8060" w:type="dxa"/>
            <w:vAlign w:val="bottom"/>
            <w:gridSpan w:val="1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201 E. Sandpointe Avenue, 8th Floor, Santa Ana, California 92707. As used herein, the terms "we", "us" and "our" refer to UEI and its subsidiaries unless the context indicates to the contrary.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Electronics Inc. develops control and sensor technology solutions and manufactures a broad line of pre-programmed and universal remote control products, audio-video ("AV") accessories, and intelligent wireless security and automation components dedicated to redefining the home entertainment and security experience. Our offerings include the following:</w:t>
      </w:r>
    </w:p>
    <w:p>
      <w:pPr>
        <w:spacing w:after="0" w:line="19" w:lineRule="exact"/>
        <w:rPr>
          <w:sz w:val="20"/>
          <w:szCs w:val="20"/>
          <w:color w:val="auto"/>
        </w:rPr>
      </w:pPr>
    </w:p>
    <w:p>
      <w:pPr>
        <w:ind w:left="980" w:hanging="324"/>
        <w:spacing w:after="0" w:line="29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easy-to-use, pre-programmed universal infrared ("IR") and radio frequency ("RF") remote controls that are sold primarily to subscription broadcasting providers (cable, satellite and IPTV), original equipment manufacturers ("OEMs"), retailers, and private label customers;</w:t>
      </w: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stereos, smart phones, tablets, gaming controllers and other consumer electronic devices to wirelessly connect and interact with home networks and interactive services to control and deliver digital entertainment and information;</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markets are the subscription broadcast, consumer electronics and residential security markets where our customers include subscription broadcasters, OEMs, international retailers, private label brands, pro-security dealers and companies in the computing industry.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 subscription broadcasting providers, both domestically and internationally, with our universal remote control devices and integrated circuits, on which our software and device code database library is embedded. We also sell integrated circuits, on which our software and IR device control code database is embedded, and license our IR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Owning and operating our own factories in the People's Republic of China ("PRC") has enhanced our ability to compete in the OEM and subscription broadcasting markets. In addition, we have opened subsidiaries in Brazil and Mexico, which have allowed us to increase our reach and better compete in the Central and Latin American subscription broadcast market. We plan to continue to add new sales and administrative personnel to support anticipated sales growth in international markets over the next few years.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pursue further penetration of the more traditional OEM consumer electronics markets as well as newer product categories in the mobile electronics markets such as smart phones, tablets and other mobile smart devices. Customers in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markets integrate our products and technology into their products to simplify and expand the universal control capabilities of home entertainment ecosystems. Growth in these markets has been driven by the increasing complexity of home entertainment, emerging digital technology, multimedia and interactive internet applications, and the increasing proliferation of connected smart devices offered by OEMs.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we acquired Ecolink Intelligent Technology, Inc. ("Ecolink"), a leading developer of smart home technology. Ecolink provides a wide range of intelligent wireless security and automation components dedicated to redefining the home security experience. Ecolink has over 20 years of wireless engineering expertise in the home security and automation market and holds more than 25 related pending and issued patents. UEI’s current subscription broadcasting customers are adding home security and automation to their list of service offerings. Our acquisition of Ecolink, one of the largest premise equipment suppliers to this market, enables us to broaden our design expertise and product portfolio to add home security and automation sensors to our capabilities.</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2015, our sales to Comcast Corporation accounted for 21.5% of our net sales. For the years ended December 31, 2015, 2014, and 2013, our sales to DIRECTV and its sub-contractors collectively accounted for 12.4%, 10.4%, and 15.6% of our net sales, respectively.</w:t>
      </w:r>
    </w:p>
    <w:p>
      <w:pPr>
        <w:spacing w:after="0" w:line="93"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remote controls and accessories sold within the international retail markets accounted for 8.1%, 9.2%, and 9.4% of our total net sales for the years ended December 31, 2015, 2014, and 2013,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information relating to our international operations for the years ended December 31, 2015, 2014, and 2013 is included in "ITEM 8. FINANCIAL STATEMENTS AND SUPPLEMENTARY DATA - Notes to Consolidated Financial Statements - Note 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the end of 2015, we had 364 issued and pending United States patents related to remote control, home security, safety and automation as well as hundreds of foreign counterpart patents and applications in various territories around the world.</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one to eighteen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key factor in creating products and software for control of entertainment devices is the device control code database. Since our beginning in 1986, we have compiled an extensive device control code database library that covers over 922,000 individual device functions and approximately 7,300 individual consumer electronic equipment brand names, including virtually all IR controlled set-top boxes, televisions, audio components, DVD players, Blu-Ray players, CD players, other remote controlled home entertainment devices and home automation control modules, and wired (CEC) and wireless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library is continuously updated with device control codes used in newly introduced AV devices. These control codes are captured directly from the remote control devices or the manufacturer's written specifications to ensure the accuracy and integrity of the database. Our proprietary software and know-how permit us to offer a device control code database that is more robust and efficient than similarly priced products of our competitors.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is a software application that is currently embedded in millions of devices globally. QuickSet may be embedded in an AV device, set-top box, or other host device, or delivered as a Cloud-based service to enable universal remote setup and control. QuickSet enables universal remote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remote control set-up process and can enable other time saving features. QuickSet utilizes data transmitted over HDMI or IP networks to automatically detect various attributes of the connected device and downloads the appropriate control codes and functions into the remote control without the need for the user to enter any additional information. The user does not need to know the brand or model number to set up the device in the remote. Any compatible new device that 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connected is recognized. Consumers can quickly and easily set up their remotes to control multiple devices. Recently added features in QuickSet address common consumer challenges in universal device control, such as mode confusion and input switching. With QuickSet consumers switch easily between activities and reliably view their chosen content source with a single touch. QuickSet handles the device-specific control requirements. Licensees of QuickSet include service providers such as DIRECTV and Echostar Technologies; smart TV manufacturers such as Sony and Samsung; leading game console manufacturer Microsoft on their Xbox One game system; and mobile and tablet device manufacturers Samsung, LG, OPPO, Huawei and LeTV on some of their platforms.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from the IR microcontroller to the device control database to the user interface for the touchscreen. Nevo is a UEI-designed and developed universal control application designed for Android and iOS tablets and smart phones that UEI has released and that is currently available for download at Google Play and the Apple App Store.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sensors and AV accessories directly to subscription broadcasters and OEMs, both domestically and internationally. We currently also distribute home security sensors to pro-security installers in the U.S. through a network of dealers. Outside of North America, we sell our wireless control devices and AV accessories under the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private label brand names to retailers through our international subsidiaries. We utilize third-party distributors for the retail channel in countries where we do not have subsidiaries.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control codes. We ship integrated circuits, on which our software and control code database are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and as a result reduce call volume at customer support centers. Additionally, the UEI Technical Support Services call center provides customer interaction management services from service and support to retention. Services include pre-repair calls, post-install surveys, and inbound calls for cable customers to provide greater bottom-line efficiencies.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twenty-two international subsidiaries are the following:</w:t>
      </w:r>
    </w:p>
    <w:p>
      <w:pPr>
        <w:spacing w:after="0" w:line="6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 de R.L. de C.V., established in Mexico;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(China)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Brasil Controles Remotos Ltda., established in Brazil;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 our own manufacturing plants and third-party manufacturers and suppliers primarily located within the PRC to produce our remote control and sensor products. In 2014, Maxim Integrated Products International Limited provided 10.7% of our total inventory purchases. In 2015 and 2013, no single supplier provided more than 10% of our total inventory purchases.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though we operate three factories in the PRC and assembly plants in Brazil and Mexico, we continue to evaluate additional contract manufacturers and sources of supply. During 2015, we utilized multiple contract manufacturers and maintained duplicate tooling for certain of our products. Where possible we utilize standard parts and components, which are available from multiple sources. 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2016.</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22"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competitors in the subscription broadcasting market are Remote Solutions, Home Control Singapore PTE, Ltd. (formerly Philips Consumer Electronics), SMK, and Universal Remote Control. In the international retail and private label markets for wireless controls we compete with Logitech, Home Control Singapore PTE, Ltd., Ruwido and Sony, as well as various manufacturers of wireless controls in Asia. Our primary competitors in the OEM market are the original equipment manufacturers themselves and wireless control manufacturers in Asia. In home security, safety and automation, we offer universal sub-gigahertz products that are compatible with the top security panel manufacturers, such as Honeywell, GE, Tyco/DSC and 2GIG. We compete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markets on the basis of product quality, features, price, intellectual property and customer support. We believe that we will need to continue to introduce new and innovative products and software solutions to remain competitive and to recruit and retain competent personnel to successfully accomplish our future objectives.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2015,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w:t>
      </w:r>
    </w:p>
    <w:p>
      <w:pPr>
        <w:spacing w:after="0" w:line="200" w:lineRule="exact"/>
        <w:rPr>
          <w:sz w:val="20"/>
          <w:szCs w:val="20"/>
          <w:color w:val="auto"/>
        </w:rPr>
      </w:pPr>
    </w:p>
    <w:p>
      <w:pPr>
        <w:spacing w:after="0" w:line="241"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During 2015, our advanced engineering efforts focused on further developing our existing products, services and technologies. We released software updates to our embedded QuickSet application, and continued development initiatives around emerging RF technologies, such as RF4CE, Bluetooth, and Bluetooth Smart. Additionally, we released several new advanced remote control products that incorporate voice search capabilities in our subscription broadcast and OEM channels. During 2015, we also released our QuickSet Cloud Service that is currently used in a consumer smart phone app enabling automatic setup of a remote control.</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power line, telephone and cable communications and networking in the home. Because of the nature of research and development activities, there can be no assurance that any of our research and development projects will be successfully completed or ultimately achieve commercial success.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engineering, 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0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Engineering costs are included in SG&amp;A.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the PRC and Japan.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2015, 2014 and 2013,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we employed 2,309 employees, of which 474 worked in engineering and research and development, 90 in sales and marketing, 75 in consumer service and support, 1,422 in operations and warehousing and 248 in executive and administrative functions. In addition, our factories in the PRC and our Asian operations employed an additional 7,934 staff contracted through agency agreements.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Labor unions represent approximately 19.0% of our 2,309 employees. Some unionized workers, employed within Manaus, Brazil, are represented under contract with the Sindicato dos Trabalhadores nas Industrias Metalugicas, Mecanicas e de Materiais Eletricos de Manaus. Other unionized workers, employed within Monterrey, Mexico, are represented under contract with the Sindicato Industrial de Trabajadores de Nuevo León adherido a la Federación Nacional de Sindicatos Independientes.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2015, 2014 and 2013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25"/>
          <w:szCs w:val="25"/>
          <w:color w:val="auto"/>
          <w:vertAlign w:val="superscript"/>
        </w:rPr>
        <w:t>(1)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11, 2016:</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Paul J.M. Bennett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Managing Director, Europe</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Chong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Asia</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Louis S. Hughes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Americas</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72" w:lineRule="exact"/>
        <w:rPr>
          <w:sz w:val="20"/>
          <w:szCs w:val="20"/>
          <w:color w:val="auto"/>
        </w:rPr>
      </w:pPr>
    </w:p>
    <w:p>
      <w:pPr>
        <w:ind w:left="540" w:hanging="235"/>
        <w:spacing w:after="0"/>
        <w:tabs>
          <w:tab w:leader="none" w:pos="5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Included pursuant to Instruction 3 to Item 401(b) of Regulation 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COO in September 1998, was promoted to Chief Executive Officer in October 2000 and appointed as Chairman in July 2001. At the 2015 Annual Meeting of Stockholders, Mr. Arling was re-elected as our Chairman to serve until the 2016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David Chong </w:t>
      </w:r>
      <w:r>
        <w:rPr>
          <w:rFonts w:ascii="Arial" w:cs="Arial" w:eastAsia="Arial" w:hAnsi="Arial"/>
          <w:sz w:val="16"/>
          <w:szCs w:val="16"/>
          <w:color w:val="auto"/>
        </w:rPr>
        <w:t>is our Executive Vice President, Asia. He is responsible for general management of our Asia region and Global Operations. Mr. Chong joined</w:t>
      </w:r>
      <w:r>
        <w:rPr>
          <w:rFonts w:ascii="Arial" w:cs="Arial" w:eastAsia="Arial" w:hAnsi="Arial"/>
          <w:sz w:val="16"/>
          <w:szCs w:val="16"/>
          <w:i w:val="1"/>
          <w:iCs w:val="1"/>
          <w:color w:val="auto"/>
        </w:rPr>
        <w:t xml:space="preserve"> </w:t>
      </w:r>
      <w:r>
        <w:rPr>
          <w:rFonts w:ascii="Arial" w:cs="Arial" w:eastAsia="Arial" w:hAnsi="Arial"/>
          <w:sz w:val="16"/>
          <w:szCs w:val="16"/>
          <w:color w:val="auto"/>
        </w:rPr>
        <w:t>us in January 2009 as Senior Vice President of Global OEM.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at the present position. Mr. Chong had his senior education in The United Kingdom, holding a B.S. in Electrical and Electronics Engineering with High Honors from University of Nottingham.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Louis S. Hughes </w:t>
      </w:r>
      <w:r>
        <w:rPr>
          <w:rFonts w:ascii="Arial" w:cs="Arial" w:eastAsia="Arial" w:hAnsi="Arial"/>
          <w:sz w:val="16"/>
          <w:szCs w:val="16"/>
          <w:color w:val="auto"/>
        </w:rPr>
        <w:t>is our Executive Vice President, Americas. He joined us in 2004 as General Manager of Simple Devices as part of our acquisition of Simples</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Inc. in that same year. From 2008 to 2011, he was our Vice President Corporate Development. From 2011 to 2014, he was our Senior Vice President</w:t>
      </w:r>
    </w:p>
    <w:p>
      <w:pPr>
        <w:jc w:val="both"/>
        <w:ind w:firstLine="8"/>
        <w:spacing w:after="0" w:line="302" w:lineRule="auto"/>
        <w:tabs>
          <w:tab w:leader="none" w:pos="121" w:val="left"/>
        </w:tabs>
        <w:numPr>
          <w:ilvl w:val="0"/>
          <w:numId w:val="7"/>
        </w:numPr>
        <w:rPr>
          <w:rFonts w:ascii="Arial" w:cs="Arial" w:eastAsia="Arial" w:hAnsi="Arial"/>
          <w:sz w:val="16"/>
          <w:szCs w:val="16"/>
          <w:color w:val="auto"/>
        </w:rPr>
      </w:pPr>
      <w:r>
        <w:rPr>
          <w:rFonts w:ascii="Arial" w:cs="Arial" w:eastAsia="Arial" w:hAnsi="Arial"/>
          <w:sz w:val="16"/>
          <w:szCs w:val="16"/>
          <w:color w:val="auto"/>
        </w:rPr>
        <w:t>Americas and was promoted to his current position in 2015. Prior to joining us, Mr. Hughes co-founded SimpleDevices, Inc. (a company that pioneered local area network digital media distribution to a wide variety of consumer electronics devices) and Supplybase (a company that provided enterprise wide, web-based supply chain management systems and information). He also held various positions with General Electric Company over a ten year period.</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U.S. Securities and Exchange Commission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various risks that could have a negative effect on us or on our financial condition. You should understand that these risks could cause results to differ materially from those we express in forward-looking statements contained in this report or in other Company communications. Because there is no way to determine in advance whether, or to what extent, any present uncertainty will ultimately impact our business, you should give equal weight to each of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a majority of our products in our factories in the PRC. Additionally, many of our contract manufacturers are located in the PRC. Doing business in the PRC carries a number of risks including the following:</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Chinese monetary policy, the Chinese Yuan Renminbi is permitted to fluctuate within a managed band against a basket of certain foreign currencies and has resulted in a 24.9% appreciation of the Chinese Yuan Renminbi against the U.S. Dollar through December 31, 2015.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may experience an increase in competition for the same workers, resulting in either an inability to attract and retain an adequate number of qualified workers or an increase in our employment costs to obtain and retain these workers.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 term land lease that is common in the PRC.</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external sales of our consolidated foreign subsidiaries totaled approximately 43.5%, 55.2% and 53.0% of our total consolidated net sales in 2015, 2014 and 2013, respectively. We expect that the international share of our total revenues will continue to make up a significant part of our current business and future strategic plans.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in the Middle East and elsewhere, acts of terrorism, or the threat of international boycotts or U.S. anti-boycott legislation; and (7) currency exchange rate fluctuations.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restrictions imposed by the U.S. Foreign Corrupt Practices Act and anti-corruption laws and regulations of other countries applicable to our operations, such as the UK Bribery Act. Anti-corruption laws and regulations generally prohibit companies and their intermediaries from making improper payments to government officials or other persons in order to receive or retain business.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controls also may not prevent conduct that is prohibited under these rules. The United States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our business or damage our reputation. In addition, an imposition of further restrictions in these areas could increase our cost of operations, reduce our profits or cause us to forgo development opportunities that would otherwise support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Fluctuations in Foreign Currency Exchange Rates May Adversely Affect Our Results of Operations, Cash Flow, Liquidity or Financial Condition.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primary exchange rate exposure is in the Argentinian Peso, Brazilian Real, British Pound, Chinese Yuan Renminbi, Euro, Hong Kong Dollar, Indian Rupee, Japanese Yen and Mexican Peso.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Risks Relating to Natural or Man-made Disasters, Contagious Disease, Terrorist Activity, and War May Adversely Affect Our Business, Financial Condition and Results of Operations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including manufacturing or distribution capabilities, and that of our suppliers, business partners and contract manufacturers, to make, move and sell products is critical to our success. So called “Acts of God,” such as hurricanes, earthquakes, tsunamis, and other natural disasters, such as Hurricane Sandy in the Northeastern United States, the earthquake and tsunami in Japan, and man-made disasters in recent years as well as the potential spread of contagious diseases such as MERS (Middle East Respiratory Syndrome), Zika virus, and Ebola in locations where we or they own or operate significant operations could cause a disruption in our or our third party’s production and distribution capabilities or a decline in demand for our products and services. In addition, actual or threatened war, terrorist activity, political unrest, or civil strife, such as recent events in Ukraine and Russia, the Middle East, and other geopolitical uncertainty could have a similar effect. Any one or more of these events may reduce our ability to produce or sell our products which may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own and operate factories in the PRC, third-party manufacturers located in Asia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our business is not materially dependent upon any single patent, copyright, trademark, or trade secret.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currently derive substantial revenue from the sale of wireless remote controls based on IR and RF and other technologies. Other control technologies exist or may be developed that may compete with this technology. In addition, we develop and maintain our own database of IR and RF codes. There are competing IR and RF libraries offered by companies that we compete with in the marketplace. The advantage that we may have compared to our competitors is difficult to measure. In addition, if other wireless control technology gains acceptance and starts to be integrated into home electronics devices currently controlled through our remote controllers, demand for our products may decrease, resulting in decreased operating results, financial condition,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with having our own factories located in the PRC,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Adverse Changes in General Business and Economic Conditions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and other economic factors may adversely affect our results of operations, cash flow, liquidity or financial condition. Any such changes may impact our business in a number of ways, including: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 and cyclical nature of portions of our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shown signs of stabilization and modest improvement from the recent global economic downturn, the recovery has been erratic. A worsening in these sectors may cause a reduction in the demand for some of our products and may adversely impact sales, earnings, cash flow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an economic downturn could result in insolvencies for our customers, which may adversely impact our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market conditions may slow our collection efforts as customers experience increased difficulty in obtaining requisite financing, leading to higher than normal accounts receivable balances and longer DSOs. Continuation of these conditions may limit our ability to collect our accounts receivable, which may result in greater expense associated with collection efforts and increased bad debt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a significant decrease in available credit.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significant portion of our operations are conducted through our subsidiaries. As a result, our ability to generate sufficient cash flow for our needs is dependent to some extent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Historically, we have had large fluctuations in the price of our common stock, and such fluctuations may continue. From January 1, 2012 to March 7, 2016, the trading price of our common stock has ranged from a low of $11.40 per share to a high of $66.75 per share. The market price for our common stock is volatile and may fluctuate significantly in response to a number of factors, most of which we cannot control, including: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executive officers periodically sell shares of our common stock which they own, often pursuant to trading plans established under Rule 10b5-1 of the Securities Exchange Act of 1934, as amended, or the Exchange Act. Sales of shares by our executive officers may not be indicative of their respective opinions of the company’s performance at the time of sale or of our potential future performance. Nonetheless, the market price of our stock may be affected by such sales of shares by our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If Securities or Industry Analysts Fail to Continue Publishing Research About Our Business, Our Stock Price and Trading Volume May Decline.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board-approved stock repurchase programs may not return value to stockholders because the market price of the stock may decline significantly below the levels at which we repurchased shares of stock. Stock repurchase programs are intended to deliver stockholder value over the long term, but stock price fluctuations can reduce the effectiveness of such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retailers and private label customers. We also supply our products to our wholly owned, non-U.S. subsidiaries and to independent foreign distributors, who in turn distribute our products worldwide, with Europe, Asia and Latin America currently representing our principal foreign markets.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we had sales to Comcast Corporation and DIRECTV and its sub-contractors, that when combined, totaled 10% or more of our net sales. During the years ended December 31, 2014 and 2013, we had sales to DIRECTV and its sub-contractors, that when combined, totaled 10% or more of our net sales.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home security and automation industry is highly fragmented and subject to significant competition and pricing pressures. In particular, the monitored security industry providers have highly recognized brands which may drive increased awareness of their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cable and telecommunications companies have expanded into the monitored security industry and are bundling their existing offerings with monitored security services. We also face competition from Do-It-Yourself (DIY) companies that are increasingly provided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Exposed to Greater Risks of Liability for Omissions or System Failures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Brand Quality and Reputation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depends on the quality and reputation of our brands, and any deterioration in the quality or reputation of these brands may have an adverse impact on our market share, reputation, business, financial condition or results of operations. Events that may be beyond our control may affect the reputation of one or more of our products or more generally impact the reputation of our brands. If the reputation or perceived quality of our brands declines, our market share, reputation, business, financial condition or results of operations may be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and Other Laws and Regulations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is subject to regulation under a wide variety of laws, regulations and policies in jurisdictions around the world. In response to continued economic challenges, we anticipate that many of the jurisdictions in which we do business will continue to review tax and other revenue raising laws, regulations and policies, and any resulting changes may impose new restrictions, costs or prohibitions on our current practices and reduce our profits. In particular, governments may revise tax laws, regulations or official interpretations in ways that may have a significant impact on us, including modifications that may reduce the profits that we can effectively realize from our non-U.S. operations, or that may require costly changes to those operations, or the way in which they are structured. For example, most U.S. company effective tax rates reflect the fact that income earned and reinvested outside the United States is generally taxed at local rates, which are often much lower than U.S. tax rates. If changes in tax laws, regulations or interpretations significantly increase the tax rates on non-U.S. income, our effective tax rate may increase and our profits may be reduced. If such increases resulted from our status as a U.S. company, those changes may place us at a disadvantage to our non-U.S. competitors if those competitors remain subject to lower local tax rates.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training, developing and retaining highly skilled engineering, managerial, operational, sales and marketing personnel. If our salary and benefits fail to stay competitive it may negatively impact our ability to hire and retain key personnel and we may experience low morale, inefficiency or internal control failures. The inability to recruit, hire, train, develop and retain qualified personnel, or the loss of any key personnel, may make it difficult to meet key objectives, such as timely and effective product introductions, and also limit our ability to grow and expand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49" w:lineRule="exact"/>
        <w:rPr>
          <w:sz w:val="20"/>
          <w:szCs w:val="20"/>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8"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Brazilian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and mobile devices;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we have goodwill and intangible assets recorded on our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Cybersecurity Issues: Failure to Maintain the Integrity of and Protect Internal or Customer Data May Result in Faulty Business Decisions, Operational Inefficiencies, Damage to our Reputation and/or Subject Us to Costs, Fines, or Lawsuits</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requires collection and retention of large volumes of internal and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is critical to us. If that data is inaccurate or incomplete, we may make faulty decisions. Our customers and employees also have a high expectation that we and our service providers will adequately protect their personal information. The information, security and privacy requirements imposed by governmental regulation is also increasingly demanding, in both the United States and other jurisdictions where we operate. Our systems and those of our service providers may be unable to satisfy these changing requirements and employee and customer expectations, or may require significant additional investments or time in order to do so. Efforts to hack or breach security measures, failures of systems or software to operate as designed or intended, viruses, operator error, or inadvertent releases of data may materially impact our and our service providers' information systems and records. Our reliance on computer, Internet-based and mobile systems and communications and the frequency and sophistication of efforts by hackers to gain unauthorized access to such systems have increased significantly in recent years. A significant theft, loss, or fraudulent use of customer, employee, or company data maintained by us or by a service provider could adversely impact our reputation, cause harm to our business generally, and could result in remedial and other expenses, fines, or litigation. Breaches in the security of our information systems or those of our service providers or other disruptions in data services could lead to an interruption in the operation of our systems, resulting in a loss of data, operational inefficiencies and a loss of profits.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404 of the Sarbanes-Oxley Act of 2002, we are required to include in our Annual Report on Form 10-K our assessment of the effectiveness of our internal control over financial reporting. Furthermore, our independent registered public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may adversely affect our financial results and the market price of our common stock.</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Delaware Law and Our Governing Corporate Documents Contain, and Our Board of Directors May Implement, Antitakeover Provisions that May Deter Takeover Attempts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Delaware business combination statute, a stockholder holding 15 percent or more of our outstanding voting stock may not acquire us without Board of Director consent for at least three years after the date the stockholder first held 15 percent or more of the voting stock. Our governing corporate documents also, among other things, require super-majority votes in connection with mergers and similar transactions. In addition, our Board of Directors may, without stockholder approval, implement other anti-takeover defenses, such as a stockholder's rights plan.</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Financial Accounting Standards or Policies May Affect Our Reported Financial Condition or Results of Operations.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the Financial Accounting Standards Board (the "FASB") and the SEC change their guidance governing the form and content of our external financial statements. In addition, accounting standard setters and those who interpret U.S. generally accepted accounting principles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May 2014, the FASB issued ASU 2014-09, "Revenue from Contracts with Customers", which may impact the timing of revenue recognition for new and existing contracts with licensees. This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Santa Ana, California. We utilize the following facilities: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9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Purpose or Use</w:t>
            </w:r>
          </w:p>
        </w:tc>
        <w:tc>
          <w:tcPr>
            <w:tcW w:w="100" w:type="dxa"/>
            <w:vAlign w:val="bottom"/>
            <w:vMerge w:val="restart"/>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Santa Ana, California</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Corporate headquarters, engineering, research and</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36,184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Twinsburg, Ohio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Call center</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Carlsbad,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27,141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November 30, 2017</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San Mateo, California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Enschede, Netherlands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February 28,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April 30, 2016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Hong Kong,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Asian headquarters</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on June 30, 2016</w:t>
            </w: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1,204,697</w:t>
            </w:r>
          </w:p>
        </w:tc>
        <w:tc>
          <w:tcPr>
            <w:tcW w:w="1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Guangzhou,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710,203</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June 30, 2044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213,997</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May 31, 2018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Manaus, Brazil</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56,657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August 19,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Monterrey, Mexico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March 31, 2019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7, 2016 was $56.62. Our stockholders of record on March 7, 2016 numbered 95.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2014</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32.86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47.20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2015 - October 31,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1, 2015 - November 30, 2015</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201,824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197,238</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302,762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2015 - December 31,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49.80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2,762</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222,873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200,000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Of the repurchases in November and December, 4,586 and 18,287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Company may purchase shares from time to time in open market purchases or privately negotiated transactions. The Company may make all or part of the purchases pursuant to accelerated share repurchases or Rule 10b5-1 plans.</w:t>
      </w:r>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 ended December 31, 2015, we repurchased 1,816,293 shares of our issued and outstanding common stock for $89.4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December 31, 2015, we had 300,000 shares available for repurchase under the Board's authorizations. On February 10, 2016, our Board increased these repurchase authorizations by 100,000 shares bringing the total authorization as of the approval date to 400,000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and "ITEM 8. FINANCIAL STATEMENTS AND SUPPLEMENTARY DATA — Notes to Consolidated Financial Statements — Note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 year period ended December 31, 2015. The comparison assumes that $100 is invested on December 31, 2010 in each of our common stock, S&amp;P Small Cap 600, the NASDAQ Composite Index, and the Peer Group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12/31/2015</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162</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r>
      <w:tr>
        <w:trPr>
          <w:trHeight w:val="341"/>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67</w:t>
            </w:r>
          </w:p>
        </w:tc>
      </w:tr>
    </w:tbl>
    <w:p>
      <w:pPr>
        <w:spacing w:after="0" w:line="130" w:lineRule="exact"/>
        <w:rPr>
          <w:sz w:val="20"/>
          <w:szCs w:val="20"/>
          <w:color w:val="auto"/>
        </w:rPr>
      </w:pPr>
    </w:p>
    <w:p>
      <w:pPr>
        <w:ind w:left="820" w:hanging="326"/>
        <w:spacing w:after="0" w:line="216" w:lineRule="auto"/>
        <w:tabs>
          <w:tab w:leader="none" w:pos="728"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Companies in the Peer Group Index are as follows: Rovi Corporation, Logitech International, DTS Inc., Dolby Laboratories, Inc., Harman International Industries, Inc., and VOXX International Corp.</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presented above is as of December 31, 2010 through 2015. This information should not be deemed to be "soliciting material" or to be "filed" with the SEC or subject to the liabilities of Section 18 of the Securities Exchange Act of 1934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6"/>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602,833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562,329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529,354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463,090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468,630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35,919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41,280</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32,154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26,576</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29,174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22,963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16,553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19,946</w:t>
            </w: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Universal Electronics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1.34</w:t>
            </w: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1.31</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14,912</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15,213</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color w:val="auto"/>
                <w:w w:val="93"/>
              </w:rPr>
              <w:t>Selling, general, administrative, research and development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expenses as a % of net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income as a % of net sales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521"/>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84,761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495,220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423,733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369,488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52,966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112,521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76,174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44,593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29,372</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257,908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315,621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291,270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250,650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229,989</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15.55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Ratio of liabilities to liabilities and stockholders’ equity</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w:t>
            </w:r>
          </w:p>
        </w:tc>
      </w:tr>
    </w:tbl>
    <w:p>
      <w:pPr>
        <w:spacing w:after="0" w:line="1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comparability of information for 2015 compared to previous years is affected by the acquisition of the net assets of Ecolink Intelligent Technology, Inc. during the third quarter of 2015. See "ITEM 8. FINANCIAL STATEMENTS AND SUPPLEMENTARY DATA — Notes to Consolidated Financial Statements — Note 21"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and manufacture a broad line of pre-programmed universal remote control products, AV accessories, software and intelligent wireless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database that covers over 922,000 individual device functions and approximately 7,300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RF technologies, such as RF4CE, Bluetooth, and Bluetooth Smart have increasingly become a focus in our development efforts. Several new platforms released in 2015 utilize RF to effectively implement popular features like voice search.</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as one business segment. We have twenty-two international subsidiaries located in Argentina, Brazil, British Virgin Islands, Cayman Islands, France, Germany, Hong Kong (3), India, Italy, Japan, Mexico, the Netherlands, People's Republic of China (5),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2015:</w:t>
      </w:r>
    </w:p>
    <w:p>
      <w:pPr>
        <w:spacing w:after="0" w:line="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increased 7.2% to $602.8 million in 2015 from $562.3 million in 2014.</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margin percentage decreased from 29.7% in 2014 to 27.7% in 2015.</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22.4% in 2014 to 21.8% in 2015</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decreased 13.0% to $35.9 million in 2015 from $41.3 million in 2014, and our operating margin percentage decreased to 5.9% in 2015, compared to 7.3% in 2014.</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effective tax rate decreased to 18.9% in 2015 from 19.6% in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2016 include the following:</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These accruals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finished good, component part, and raw material inventories are valued at the lower of cost or market value. Cost is determined using the first-in, first-out method. We write-down our inventory for the estimated difference between cost and estimated market value based upon our best estimates of future demand and market conditions. We carry inventory in amounts necessary to satisfy our customers' inventory requirements on a timely basis. We continually monitor our inventory status to control inventory levels and write-down any excess or obsolete inventories on hand.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$1.3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assumptions we believe to be reasonable but that are unpredictable and inherently uncertain. Actual future results may differ from those estimates.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0"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in the third and fourth quarters of the subsequent year for U.S. federal and state provisions, respectively.</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prescribed by U.S. GAAP. Determining the income tax expense for these potential assessments and recording the related assets and liabilities requires management judgments and estimates.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17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2013</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71.4</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7"/>
        </w:trPr>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19.4</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6.1</w:t>
            </w:r>
          </w:p>
        </w:tc>
      </w:tr>
      <w:tr>
        <w:trPr>
          <w:trHeight w:val="27"/>
        </w:trPr>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("2015") Compared to Year Ended December 31, 2014 ("2014")</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2015 were $602.8 million, an increase of 7.2% compared to $562.3 million in 2014.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91.4% of net sales in 2015 compared to 90.2% in 2014. Net sales in our Business lines in 2015 increased by 8.7% to $551.0 million from $507.1 million in 2014 driven primarily by strong demand and increased market share with North American subscription broadcasters as more customers transition from lower end platforms to higher end platforms. Partially offsetting this improvement was a decrease in net sales to consumer electronics companies in Asia.</w:t>
      </w:r>
    </w:p>
    <w:p>
      <w:pPr>
        <w:spacing w:after="0" w:line="13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8.6% of net sales in 2015 compared to 9.8% in 2014. Net sales in our Consumer lines in 2015 decreased by 6.2% to $51.8 million from $55.2 million in 2014. This decrease was driven primarily by the weakening of the Euro and the British Pound compared to the U.S. Dollar, which negatively impacted sales in the current year period by $5.3 million. This unfavorable currency impact was partially offset by increased sales in the European market.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2015 was $166.7 million compared to $166.9 million in 2014. Gross profit as a percent of sales decreased to 27.7% in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29.7% in 2014. The gross margin percentage was unfavorably impacted by an increase in sales to certain large customers that yield a lower gross margin rate than our company average, labor inflation in China where our three manufacturing facilities are located, and a decrease in royalty revenue associated with the TV and mobile device markets. The impact of these unfavorable items was partially offset by the weakening of the Chinese Yuan Renminbi relative to the U.S. Dollar.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6.9% to $18.1 million in 2015 from $17.0 million in 2014 as we continue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offerings in existing categories as well as new categories such as the home security channel.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3.7% to $112.7 million in 2015 from $108.6 million in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attributable primarily to an unfavorable court order in a patent litigation lawsuit of $4.6 million in the third quarter of 2015 as well as increased payroll costs driven by additional headcount to support product development efforts and annual merit increases. SG&amp;A expenses also increased due to increased delivery expenses as a result of the additional sales to North American subscription broadcasting customers in the current year period and the rerouting of certain shipments in the first quarter of 2015 due to the temporary port congestion in Los Angeles, California. These increases were partially offset by the weakening of the Euro and Brazilian Real and a decrease in incentive compensation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$63 thousand in 2015 compared to net interest income of $11 thousand in 2014.</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$7 thousand in 2015 compared to net other expense of $0.8 million in 2014. This change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a decrease in foreign currency losses associated with fluctuations in foreign currency exchange rates related to the Euro, Chinese Yuan Renminbi and British Pound.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$6.8 million in 2015 compared to $7.9 million in 2014, and our effective tax rate was 18.9% in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19.6% in 2014. The decrease in our effective tax rate was due primarily to the recording of $0.5 million in tax refunds in 2015 related to tax incentives in China for the years 2012 through 2014. Historically a significant portion of our foreign taxable income has been generated in the PRC, and we expect this trend to continue.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 ("2013")</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2014 were $562.3 million, an increase of 6.2% compared to $529.4 million in 2013.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90.2% of net sales in 2014 compared to 89.9% in 2013. Net sales in our Business lines in 2014 increased by 6.6% to $507.1 million from $475.7 million in 2013. The increase was primarily due to an increase in remote control sales to consumer electronics companies in Asia, an increase in licensing revenue, growth in sales of our embedded chip solutions to smart device manufacturers, and increased market share in European subscription broadcasting.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Consumer lines (One For All® retail and private label) were 9.8% of net sales in 2014 compared to 10.1% in 2013. Net sales in our Consumer lines in 2014 increased by 2.8% to $55.2 million from $53.7 million in 2013. International retail sales increased 3.8% from $49.6 million in 2013 to $51.5 million in 2014 due primarily to increased distribution in southern European countries and Latin America as well as increased demand resulting from the 2014 FIFA World Cup™.</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 2014 was $166.9 million compared to $151.5 million in 2013. Gross profit as a percent of sales increased to 29.7% in 2014 from</w:t>
      </w:r>
      <w:r>
        <w:rPr>
          <w:rFonts w:ascii="Arial" w:cs="Arial" w:eastAsia="Arial" w:hAnsi="Arial"/>
          <w:sz w:val="18"/>
          <w:szCs w:val="18"/>
          <w:i w:val="1"/>
          <w:iCs w:val="1"/>
          <w:color w:val="auto"/>
        </w:rPr>
        <w:t xml:space="preserve"> </w:t>
      </w:r>
      <w:r>
        <w:rPr>
          <w:rFonts w:ascii="Arial" w:cs="Arial" w:eastAsia="Arial" w:hAnsi="Arial"/>
          <w:sz w:val="18"/>
          <w:szCs w:val="18"/>
          <w:color w:val="auto"/>
        </w:rPr>
        <w:t>28.6% in 2013. The gross margin percentage was favorably impacted by an increase in licensing revenue associated with the smart device channel and, to a lesser extent, the strengthening of the British Pound compared to the U.S. Dollar. Partially offsetting these favorable items was an increase in sales to certain large customers that yield a lower gross margin than our company's average.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3.2% to $17.0 million in 2014 from $16.4 million in 2013. This increase was in line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5.6% to $108.6 million in 2014 from $102.9 million in 2013.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primarily by increased incentive compensation costs as a result of our strong financial performance in the current year as well as an increase in external legal expenses related to patent litigation cases. In addition, in an effort to further support the smart device channel, we increased headcount within our global engineering team which resulted in higher payroll costs in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$11 thousand in 2014 compared net interest income of $51 thousand in 2013.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$0.8 million in 2014 compared to net other expense of $3.2 million in 2013. This decrease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a decrease in foreign currency losses associated with fluctuations in foreign currency rates related to the Chinese Yuan Renminbi, Argentinian Peso and Brazilian Real.</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$7.9 million in 2014 compared to $6.1 million in 2013 and our effective tax rate was 19.6% in 2014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20.9% in 2013. The decrease in our effective tax rate was due primarily to the recording of $0.4 million of additional tax reserves in the second quarter of 2013 resulting from a tax audit in Hong Kong for years preceding our 2010 acquisition of Enson Assets Limited.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December 31, 2014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63,473</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50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vMerge w:val="restart"/>
          </w:tcPr>
          <w:p>
            <w:pPr>
              <w:jc w:val="right"/>
              <w:ind w:right="93"/>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100,200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183,600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decreased $37.4 million in 2015 when compared to 2014, primarily due to the net impact of changes in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needs associated with inventories, accounts receivable and accounts payable. In 2015 we deliberately increased our inventory levels in order to meet the strong demand for our higher end products in the subscription broadcast channel as well as prepare for the manufacturing transition of certain products from our southern China factory to our northern China factory. With respect to accounts receivable, we experienced a greater growth in outstanding accounts receivable in 2015 as a result of increased sales levels. Additionally, days sales outstanding increased from 64 days at December 31, 2014 to 68 days at December 31, 2015 as a result of us extending longer payment terms to a couple of significant customers. Increased cash inflows from accounts payable were largely attributable to the increase in inventories as well as an effort to extend payment terms with certain vendors.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increased $32.8 million in 2014 when compared to 2013, primarily due to a $20.8 million increase in cash flows associated with operating assets and liabilities and a $9.6 million increase in net income. With respect to operating assets and liabilities, improved vendor management helped drive a $17.7 million increase in cash flows associated with accounts payable and accrued expenses. Additionally, cash flows associated with inventories improved by $7.2 million as our inventory turns increased to 4.1 turns for 2014, compared to 3.9 turns for 2013, primarily as a result of more tightly managed inventory levels.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2015 was $47.6 million compared to $18.4 million and $11.7 million of net cash used during 2014 and 2013,</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Part of the increase in cash used for investing activities in 2015 was driven by our acquisition of the net assets of Ecolink Intelligent Technology, Inc. ("Ecolink") for $12.3 million, net of cash acquired. In addition to the Ecolink acquisition, our 2015, 2014 and 2013 cash used for investing activities consisted of our investments in property, plant and equipment as well as internally developed patents. We have increased our investment in machinery and equipment over the past two years as we have been increasing the amount of automation in our factories in an effort to mitigate the rising cost of labor in China. Additionally, in 2015 we further increased our purchases of machinery and equipment in our factories to support the increased demand for more advanced remote controls. We expect to continue to invest in factory automation as well as machinery and equipment necessary to manufacture more advanced remote control products. In addition, we are implementing a new ERP system in 2016 in Asia and North America. As a result, we anticipate that property, plant and equipment purchases in 2016 will total between $22 million to $26 million.</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$35.1 million during 2015 compared to net cash used for financing activities of $8.0 million during 2014 and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financing activities of $10.0 million during 2013. During 2015, we purchased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1,816,293 shares of our common stock at a cost of $89.4 million, compared to 383,978 and 153,115 shares at a cost of $16.2 million and $3.6 million during 2014 and 2013, respectively. Offsetting these cash outflows were net borrowings on our line of credit of $50.0 million in 2015 as well as proceeds from stock option exercises of $1.7 million, $8.1 million and $12.4 million in 2015, 2014 and 2013, respectively.</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December 31, 2015, we had 300,000 shares available for repurchase on the open market under the Board's authorizations. On February 10, 2016, our Board increased these repurchase authorizations by 100,000 shares bringing the total authorization as of the approval date to 400,000 shares. We hold repurchased shares as treasury stock and they are available for reissue. Presently, we have no plans to distribute these shares, although we may change these plans if necessary to fulfill our on-going business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12,982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28,838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7,275</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7,460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tooling and other fixed assets.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recent acquisition of the net assets of Ecolink.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On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76,174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54,987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54,987</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2015, we had $8.5 million, $28.7 million, $5.3 million, $8.1 million and $2.4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9, 2014, we extended the term of our Amended and Restated Credit Agreement ("Amended Credit Agreement") with U.S. Bank National Association ("U.S. Bank") to November 1, 2017. The Amended Credit Agreement provided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On November 10, 2015, we entered into the Third Amendment to the Amended Credit Agreement in which the Credit Line was increased to $85.0 million. On February 3, 2016, we entered into the Fourth Amendment to the Amended Credit Agreement in which the Credit Line was temporarily increased to $105.0 million through March 15, 2016, after which the Credit Line will revert back to $85.0 million. Amounts available for borrowing under the Credit Line are reduced by the balance of any outstanding letters of credit, of which there were $13 thousand at December 31, 2015.</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December 31, 2015,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we had an outstanding balance of $50.0 million our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had an approximately $0.1 million impact on reported net income for the year ended December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2015 we had wholly-owned subsidiaries in Argentina, Brazil, the British Virgin Islands,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December 31, 2015,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December 31, 2015, net income in the first quarter of 2016 would fluctuate by approximately $8.0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4220" w:type="dxa"/>
            <w:vAlign w:val="bottom"/>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Balance Sheets at December 31, 2015 and 2014</w:t>
              </w:r>
            </w:hyperlink>
          </w:p>
        </w:tc>
        <w:tc>
          <w:tcPr>
            <w:tcW w:w="30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60" w:type="dxa"/>
            <w:vAlign w:val="bottom"/>
            <w:gridSpan w:val="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Consolidated Income Statements for the Years Ended December 31, 2015, 2014 and 2013</w:t>
              </w:r>
            </w:hyperlink>
          </w:p>
        </w:tc>
        <w:tc>
          <w:tcPr>
            <w:tcW w:w="460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40" w:type="dxa"/>
            <w:vAlign w:val="bottom"/>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Comprehensive Income Statements for the Years Ended December 31, 2015, 2014 and 2013</w:t>
              </w:r>
            </w:hyperlink>
          </w:p>
        </w:tc>
        <w:tc>
          <w:tcPr>
            <w:tcW w:w="342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60" w:type="dxa"/>
            <w:vAlign w:val="bottom"/>
            <w:gridSpan w:val="7"/>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Consolidated Statements of Stockholders' Equity for the Years Ended December 31, 2015, 2014 and 2013</w:t>
              </w:r>
            </w:hyperlink>
          </w:p>
        </w:tc>
        <w:tc>
          <w:tcPr>
            <w:tcW w:w="340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60" w:type="dxa"/>
            <w:vAlign w:val="bottom"/>
            <w:gridSpan w:val="5"/>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Cash Flows for the Years Ended December 31, 2015, 2014 and 2013</w:t>
              </w:r>
            </w:hyperlink>
          </w:p>
        </w:tc>
        <w:tc>
          <w:tcPr>
            <w:tcW w:w="700" w:type="dxa"/>
            <w:vAlign w:val="bottom"/>
            <w:gridSpan w:val="2"/>
          </w:tcPr>
          <w:p>
            <w:pPr>
              <w:spacing w:after="0"/>
              <w:rPr>
                <w:sz w:val="21"/>
                <w:szCs w:val="21"/>
                <w:color w:val="auto"/>
              </w:rPr>
            </w:pPr>
          </w:p>
        </w:tc>
        <w:tc>
          <w:tcPr>
            <w:tcW w:w="340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6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410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2015 and 2014, and the related consolidated statements of income, comprehensive income,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2015 and 2014, and the results of its operations and its cash flows for each of the three years in the period ended December 31, 2015, in conformity with accounting principles generally accepted in the United States of America.</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the Company’s internal control over financial reporting as of December 31, 2015,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and our report dated March 11, 2016 expressed an unqualified opinion.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UNIVERSAL ELECTRONICS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BALANCE SHEETS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thousands, except share-related data)</w:t>
      </w:r>
    </w:p>
    <w:p>
      <w:pPr>
        <w:spacing w:after="0" w:line="254" w:lineRule="exact"/>
        <w:rPr>
          <w:sz w:val="20"/>
          <w:szCs w:val="20"/>
          <w:color w:val="auto"/>
        </w:rPr>
      </w:pPr>
    </w:p>
    <w:p>
      <w:pPr>
        <w:jc w:val="right"/>
        <w:ind w:right="380"/>
        <w:spacing w:after="0"/>
        <w:tabs>
          <w:tab w:leader="none" w:pos="1140" w:val="left"/>
        </w:tabs>
        <w:rPr>
          <w:sz w:val="20"/>
          <w:szCs w:val="20"/>
          <w:color w:val="auto"/>
        </w:rPr>
      </w:pPr>
      <w:r>
        <w:rPr>
          <w:rFonts w:ascii="Arial" w:cs="Arial" w:eastAsia="Arial" w:hAnsi="Arial"/>
          <w:sz w:val="14"/>
          <w:szCs w:val="14"/>
          <w:b w:val="1"/>
          <w:bCs w:val="1"/>
          <w:color w:val="auto"/>
        </w:rPr>
        <w:t>December 31, 2015</w:t>
      </w:r>
      <w:r>
        <w:rPr>
          <w:sz w:val="20"/>
          <w:szCs w:val="20"/>
          <w:color w:val="auto"/>
        </w:rPr>
        <w:tab/>
      </w:r>
      <w:r>
        <w:rPr>
          <w:rFonts w:ascii="Arial" w:cs="Arial" w:eastAsia="Arial" w:hAnsi="Arial"/>
          <w:sz w:val="12"/>
          <w:szCs w:val="12"/>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21233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50"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tabs>
          <w:tab w:leader="none" w:pos="756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jc w:val="right"/>
        <w:ind w:right="300"/>
        <w:spacing w:after="0"/>
        <w:tabs>
          <w:tab w:leader="none" w:pos="3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52070</wp:posOffset>
            </wp:positionV>
            <wp:extent cx="72123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tabs>
          <w:tab w:leader="none" w:pos="756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sales discounts, rebates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Long-term contingent consideration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Income tax payable</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291465"/>
                    </a:xfrm>
                    <a:prstGeom prst="rect">
                      <a:avLst/>
                    </a:prstGeom>
                    <a:noFill/>
                  </pic:spPr>
                </pic:pic>
              </a:graphicData>
            </a:graphic>
          </wp:anchor>
        </w:drawing>
      </w:r>
    </w:p>
    <w:p>
      <w:pPr>
        <w:spacing w:after="0" w:line="66" w:lineRule="exact"/>
        <w:rPr>
          <w:sz w:val="20"/>
          <w:szCs w:val="20"/>
          <w:color w:val="auto"/>
        </w:rPr>
      </w:pPr>
    </w:p>
    <w:p>
      <w:pPr>
        <w:ind w:left="420" w:right="540"/>
        <w:spacing w:after="0" w:line="293" w:lineRule="auto"/>
        <w:rPr>
          <w:sz w:val="20"/>
          <w:szCs w:val="20"/>
          <w:color w:val="auto"/>
        </w:rPr>
      </w:pPr>
      <w:r>
        <w:rPr>
          <w:rFonts w:ascii="Arial" w:cs="Arial" w:eastAsia="Arial" w:hAnsi="Arial"/>
          <w:sz w:val="16"/>
          <w:szCs w:val="16"/>
          <w:color w:val="auto"/>
        </w:rPr>
        <w:t>Common stock, $0.01 par value, 50,000,000 shares authorized; 23,176,277 and 22,909,884 shares issued on December 31, 2015 and 2014, respectively</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Treasury stock, at cost, 8,824,768 and 7,008,475 shares on December 31, 2015 and 2014, respectively</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Universal Electronics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52,966</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112,521</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4,623</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121,801</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97,989</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122,366</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97,474</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6,217</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6,856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55</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7,296</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5,048</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315,324</w:t>
            </w:r>
          </w:p>
        </w:tc>
        <w:tc>
          <w:tcPr>
            <w:tcW w:w="6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319,965</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90,015</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76,135</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43,116</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30,739</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32,926</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24,614</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8,474</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6,146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5,365</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5,471</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495,220</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463,070</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8"/>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93,843</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69,991</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50,000</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37,452</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40,656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7,618</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8,097</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4,745</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4,263</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21,466</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13,358</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215,124</w:t>
            </w:r>
          </w:p>
        </w:tc>
        <w:tc>
          <w:tcPr>
            <w:tcW w:w="6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136,365</w:t>
            </w:r>
          </w:p>
        </w:tc>
      </w:tr>
      <w:tr>
        <w:trPr>
          <w:trHeight w:val="54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11,751</w:t>
            </w:r>
          </w:p>
        </w:tc>
        <w:tc>
          <w:tcPr>
            <w:tcW w:w="6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7,891</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8,456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629</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1,917</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2,062</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237,312</w:t>
            </w:r>
          </w:p>
        </w:tc>
        <w:tc>
          <w:tcPr>
            <w:tcW w:w="6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147,449</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757"/>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459"/>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232</w:t>
            </w:r>
          </w:p>
        </w:tc>
        <w:tc>
          <w:tcPr>
            <w:tcW w:w="6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229</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228,269</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214,710</w:t>
            </w:r>
          </w:p>
        </w:tc>
      </w:tr>
      <w:tr>
        <w:trPr>
          <w:trHeight w:val="270"/>
        </w:trPr>
        <w:tc>
          <w:tcPr>
            <w:tcW w:w="800" w:type="dxa"/>
            <w:vAlign w:val="bottom"/>
          </w:tcPr>
          <w:p>
            <w:pPr>
              <w:jc w:val="right"/>
              <w:ind w:right="79"/>
              <w:spacing w:after="0"/>
              <w:rPr>
                <w:sz w:val="20"/>
                <w:szCs w:val="20"/>
                <w:color w:val="auto"/>
              </w:rPr>
            </w:pPr>
            <w:r>
              <w:rPr>
                <w:rFonts w:ascii="Arial" w:cs="Arial" w:eastAsia="Arial" w:hAnsi="Arial"/>
                <w:sz w:val="16"/>
                <w:szCs w:val="16"/>
                <w:color w:val="auto"/>
                <w:w w:val="90"/>
              </w:rPr>
              <w:t>(210,333)</w:t>
            </w:r>
          </w:p>
        </w:tc>
        <w:tc>
          <w:tcPr>
            <w:tcW w:w="6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(120,938)</w:t>
            </w:r>
          </w:p>
        </w:tc>
      </w:tr>
      <w:tr>
        <w:trPr>
          <w:trHeight w:val="270"/>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(15,799)</w:t>
            </w:r>
          </w:p>
        </w:tc>
        <w:tc>
          <w:tcPr>
            <w:tcW w:w="6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(4,446)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255,240</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226,066</w:t>
            </w:r>
          </w:p>
        </w:tc>
      </w:tr>
      <w:tr>
        <w:trPr>
          <w:trHeight w:val="33"/>
        </w:trPr>
        <w:tc>
          <w:tcPr>
            <w:tcW w:w="8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257,609</w:t>
            </w:r>
          </w:p>
        </w:tc>
        <w:tc>
          <w:tcPr>
            <w:tcW w:w="6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315,621</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299</w:t>
            </w:r>
          </w:p>
        </w:tc>
        <w:tc>
          <w:tcPr>
            <w:tcW w:w="6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-321310</wp:posOffset>
            </wp:positionV>
            <wp:extent cx="11576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-1813560</wp:posOffset>
            </wp:positionV>
            <wp:extent cx="1157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-4411980</wp:posOffset>
            </wp:positionV>
            <wp:extent cx="1157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-4583430</wp:posOffset>
            </wp:positionV>
            <wp:extent cx="1157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-5612765</wp:posOffset>
            </wp:positionV>
            <wp:extent cx="11576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7960" w:space="720"/>
            <w:col w:w="2720"/>
          </w:cols>
          <w:pgMar w:left="240" w:top="118" w:right="259" w:bottom="1440" w:gutter="0" w:footer="0" w:header="0"/>
          <w:type w:val="continuous"/>
        </w:sectPr>
      </w:pPr>
    </w:p>
    <w:tbl>
      <w:tblPr>
        <w:tblLayout w:type="fixed"/>
        <w:tblInd w:w="40" w:type="dxa"/>
        <w:tblCellMar>
          <w:top w:w="0" w:type="dxa"/>
          <w:left w:w="0" w:type="dxa"/>
          <w:bottom w:w="0" w:type="dxa"/>
          <w:right w:w="0" w:type="dxa"/>
        </w:tblCellMar>
      </w:tblPr>
      <w:tr>
        <w:trPr>
          <w:trHeight w:val="237"/>
        </w:trPr>
        <w:tc>
          <w:tcPr>
            <w:tcW w:w="7500" w:type="dxa"/>
            <w:vAlign w:val="bottom"/>
          </w:tcPr>
          <w:p>
            <w:pPr>
              <w:ind w:left="700"/>
              <w:spacing w:after="0"/>
              <w:rPr>
                <w:sz w:val="20"/>
                <w:szCs w:val="20"/>
                <w:color w:val="auto"/>
              </w:rPr>
            </w:pPr>
            <w:r>
              <w:rPr>
                <w:rFonts w:ascii="Arial" w:cs="Arial" w:eastAsia="Arial" w:hAnsi="Arial"/>
                <w:sz w:val="16"/>
                <w:szCs w:val="16"/>
                <w:color w:val="auto"/>
              </w:rPr>
              <w:t>Total stockholders' equity</w:t>
            </w: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257,908</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315,621</w:t>
            </w:r>
          </w:p>
        </w:tc>
      </w:tr>
      <w:tr>
        <w:trPr>
          <w:trHeight w:val="33"/>
        </w:trPr>
        <w:tc>
          <w:tcPr>
            <w:tcW w:w="7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 and stockholders' equity</w:t>
            </w: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495,220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463,070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11 for further information concerning our purchases from related party vendors.</w:t>
      </w:r>
    </w:p>
    <w:p>
      <w:pPr>
        <w:spacing w:after="0" w:line="86"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type w:val="continuous"/>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18" w:right="25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602,833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529,354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436,084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377,892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151,462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102,861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29,174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Universal Electronics Inc.: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29,173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Universal Electronics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24,893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54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3"/>
          </w:tcPr>
          <w:p>
            <w:pPr>
              <w:jc w:val="right"/>
              <w:ind w:right="297"/>
              <w:spacing w:after="0" w:line="144" w:lineRule="exact"/>
              <w:rPr>
                <w:sz w:val="20"/>
                <w:szCs w:val="20"/>
                <w:color w:val="auto"/>
              </w:rPr>
            </w:pPr>
            <w:r>
              <w:rPr>
                <w:rFonts w:ascii="Arial" w:cs="Arial" w:eastAsia="Arial" w:hAnsi="Arial"/>
                <w:sz w:val="13"/>
                <w:szCs w:val="13"/>
                <w:b w:val="1"/>
                <w:bCs w:val="1"/>
                <w:color w:val="auto"/>
                <w:w w:val="82"/>
              </w:rPr>
              <w:t>Issued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2012</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21,491</w:t>
            </w:r>
          </w:p>
        </w:tc>
        <w:tc>
          <w:tcPr>
            <w:tcW w:w="72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(6,516)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(101,793)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180,607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170,569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250,650</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22,963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22,963</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12,364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w w:val="99"/>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5,342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5,342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from exercise of non-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22,344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223</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(6,639)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(104,980)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199,513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193,532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291,270</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32,534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32,534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(7,428)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(16,168)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(16,168)</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8,122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6,444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6,444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22,910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(7,008)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(120,938)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214,710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226,066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315,621</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29,173</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(11,353)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(11,353)</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(89,395)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(89,395)</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7,913</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Tax benefit from exercise of non-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3,069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combination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w w:val="98"/>
              </w:rPr>
              <w:t>Distribution to noncontrolling interest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74"/>
        </w:trPr>
        <w:tc>
          <w:tcPr>
            <w:tcW w:w="230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23,176</w:t>
            </w:r>
          </w:p>
        </w:tc>
        <w:tc>
          <w:tcPr>
            <w:tcW w:w="72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(8,825)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(210,333)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228,269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(15,799)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255,240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257,908</w:t>
            </w:r>
          </w:p>
        </w:tc>
        <w:tc>
          <w:tcPr>
            <w:tcW w:w="0" w:type="dxa"/>
            <w:vAlign w:val="bottom"/>
          </w:tcPr>
          <w:p>
            <w:pPr>
              <w:spacing w:after="0"/>
              <w:rPr>
                <w:sz w:val="1"/>
                <w:szCs w:val="1"/>
                <w:color w:val="auto"/>
              </w:rPr>
            </w:pPr>
          </w:p>
        </w:tc>
      </w:tr>
      <w:tr>
        <w:trPr>
          <w:trHeight w:val="60"/>
        </w:trPr>
        <w:tc>
          <w:tcPr>
            <w:tcW w:w="23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720" w:type="dxa"/>
            <w:vAlign w:val="bottom"/>
            <w:gridSpan w:val="3"/>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11 for further information concerning our purchases from related party vendors.</w:t>
      </w:r>
    </w:p>
    <w:p>
      <w:pPr>
        <w:spacing w:after="0" w:line="167"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29,173</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32,534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22,963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20,452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18,244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18,363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Provision for inventory write-downs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3,680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874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Shares issued for employee benefit plan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747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5,342</w:t>
            </w:r>
          </w:p>
        </w:tc>
      </w:tr>
      <w:tr>
        <w:trPr>
          <w:trHeight w:val="224"/>
        </w:trPr>
        <w:tc>
          <w:tcPr>
            <w:tcW w:w="674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(4,509)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(15,353)</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2,285</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Accrued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30,694</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Cash used for investing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net assets of Ecolink Intelligent Technology, Inc.,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(10,355)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(47,649)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(18,419)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19,500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12,371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Distribution to noncontrolling interest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1,274</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for)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(35,142)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10,038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(59,555)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36,347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31,581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44,593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52,966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112,521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76,174</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7,793</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18" w:right="25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Universal Electronics Inc. ("UEI"), based in Southern California, develops and manufactures a broad line of easy-to-use, pre-programmed universal wireless control products, audio-video accessories and intelligent wireless automation components as well as software designed to enable consumers to wirelessly connect, control and interact with an increasingly complex home entertainment and automation environment. In addition, over the past 28 years we have developed a broad portfolio of patented technologies and a database of home connectivity software that we license to our customers, including many leading Fortune 500 companies.</w:t>
      </w:r>
    </w:p>
    <w:p>
      <w:pPr>
        <w:spacing w:after="0" w:line="13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 xml:space="preserve">Our primary markets include cable and satellite television service provider, original equipment manufacturer ("OEM"), retail, private label, pro-security installation and personal computing companies. We sell directly to our customers, and for retail we also sell through distributors in Europe, Australia, New Zealand, South Africa, the Middle East, Mexico, and selected countries in Asia and Latin America under the </w:t>
      </w:r>
      <w:r>
        <w:rPr>
          <w:rFonts w:ascii="Arial" w:cs="Arial" w:eastAsia="Arial" w:hAnsi="Arial"/>
          <w:sz w:val="16"/>
          <w:szCs w:val="16"/>
          <w:i w:val="1"/>
          <w:iCs w:val="1"/>
          <w:color w:val="auto"/>
        </w:rPr>
        <w:t>One For 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Nevo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and jointly owned entities in which we have a controlling interest.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and stock-based compensation expense. Actual results may differ from these assumptions and estimates, and they may be adjusted as more information becomes available. Any adjustment may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services have been provided, customer acceptance documentation has been obtained, the sales price is fixed or determinable, and collectability is reasonably assured.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exists (such as when a signed agreement is received from the customer), the sales price is fixed or determinable, and collectability is reasonably assured.</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positions taken or expected to be taken in a tax return. For those benefits to be recognized, a tax position must be more likely than not to be sustained upon examination by taxing authorities, or else a full reserve is established against the tax asset or a liability is recorded. A "more likely than not" tax position is measured as the largest amount of benefit that is greater than fifty percent likely of being realized upon ultimate settlement. See Note 9 for further information concerning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$1.1 million, $1.2 million, and $1.2 million for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$12.7 million, $11.3 million and $11.3 million for the years ended December 31, 2015, 2014 and 2013,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and expected life in years. The risk-free interest rate over the expected term is equal to the prevailing U.S. Treasury note rate over the same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16 for further information regarding stock-based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computation of diluted earnings per common share we exclude stock options with exercise prices greater than the average market price of the underlying common stock because their inclusion would be anti-dilutive. Furthermore, we exclude shares of restricted stock whose combined unamortized fair value and excess tax benefits are greater than the average market price of the underlying common stock during the period, as their effect would be anti-dilutive.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consist primarily of cash and cash equivalents, restricted cash,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allowance for doubtful accounts.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market value. These estimates are based upon management's judgment about future demand and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excluding computer equipment, must have a useful life greater than one year and a cost equal to or greater than $5,000 for individual assets or $5,000 for assets purchased in bulk. To qualify for capitalization, computer equipment, must have a useful life of greater than one year and a cost equal to or greater than $1,000 for individual assets or $5,000 for assets purchased in bulk.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25-33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900" w:type="dxa"/>
            <w:vAlign w:val="bottom"/>
          </w:tcPr>
          <w:p>
            <w:pPr>
              <w:ind w:left="600"/>
              <w:spacing w:after="0"/>
              <w:rPr>
                <w:sz w:val="20"/>
                <w:szCs w:val="20"/>
                <w:color w:val="auto"/>
              </w:rPr>
            </w:pPr>
            <w:r>
              <w:rPr>
                <w:rFonts w:ascii="Arial" w:cs="Arial" w:eastAsia="Arial" w:hAnsi="Arial"/>
                <w:sz w:val="18"/>
                <w:szCs w:val="18"/>
                <w:color w:val="auto"/>
              </w:rPr>
              <w:t>2-7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Software</w:t>
            </w:r>
          </w:p>
        </w:tc>
        <w:tc>
          <w:tcPr>
            <w:tcW w:w="4900" w:type="dxa"/>
            <w:vAlign w:val="bottom"/>
          </w:tcPr>
          <w:p>
            <w:pPr>
              <w:ind w:left="600"/>
              <w:spacing w:after="0"/>
              <w:rPr>
                <w:sz w:val="20"/>
                <w:szCs w:val="20"/>
                <w:color w:val="auto"/>
              </w:rPr>
            </w:pPr>
            <w:r>
              <w:rPr>
                <w:rFonts w:ascii="Arial" w:cs="Arial" w:eastAsia="Arial" w:hAnsi="Arial"/>
                <w:sz w:val="18"/>
                <w:szCs w:val="18"/>
                <w:color w:val="auto"/>
              </w:rPr>
              <w:t>3-7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5-8 Years</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900" w:type="dxa"/>
            <w:vAlign w:val="bottom"/>
          </w:tcPr>
          <w:p>
            <w:pPr>
              <w:ind w:left="60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 for the application, maintenance and extension of the useful life of patents. Intangible assets are amortized using the straight-line method over their estimated period of benefit, ranging from one to fifteen years.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Notes 6 and 15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expense until technological feasibility has been established. We have determined that technological feasibility for our products is typically established when a working prototype is complete. Once technological feasibility is established, software development costs are capitalized until the product is available for general release to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of the amounts computed using:</w:t>
      </w:r>
    </w:p>
    <w:p>
      <w:pPr>
        <w:spacing w:after="0" w:line="116"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 is generally two years.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written off. The net realizable value is the estimated future gross revenues of a product reduced by its estimated completion and disposal costs. Any remaining amount of capitalized software development costs are considered to be the cost for subsequent accounting periods and the amount of the write-down is not subsequently restored. See Note 7 for further information concerning capitalized software development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0"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Note 21 for further information concerning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exposures are primarily concentrated in the Argentinian Peso, Brazilian Real, British Pound, Chinese Yuan Renminbi, Euro, Hong Kong Dollar, Indian Rupee, Japanese Yen and Mexican Peso.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60" w:right="60" w:hanging="1025"/>
        <w:spacing w:after="0" w:line="264" w:lineRule="auto"/>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do not expect to early adopt ASU 2014-09. We have not yet selected a transition method and are currently evaluating the impact that ASU 2014-09 will have on our consolidated financial statements.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amends Accounting Standards Codification ("ASC") 350, "Intangibles - Goodwill and Other". The amendments provide guidance as to whether a cloud computing arrangement includes a software license, and based on that determination, how to account for such arrangements. ASU 2015-05 is effective for fiscal periods beginning after December 15, 2015 and permits the use of either the prospective or retrospective transition method. Early adoption is not permitted. We are currently evaluating the impact that ASU 2015-05 will have on our consolidated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Early adoption is permitted. We are currently evaluating the impact that ASU 2015-11 will have on our consolidated financial statements.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September 2015, the FASB issued ASU 2015-16, "Simplifying the Accounting for Measurement-period Adjustments." This new guidance requires an acquirer in a business combination to recognize adjustments to the provisional amounts that are identified during the measurement period to be reported in the period in which the adjustment amounts are determined. In addition, the effect on earnings of changes in depreciation, amortization and other items as a result of the change to the provisional amounts, calculated as if the accounting had been complete as of the acquisition date, must be recorded in the reporting period in which the adjustment amounts are determined. ASU 2015-16 is effective for fiscal periods beginning after December 15, 2015 and must be applied prospectively. Early adoption is permitted. We have not yet adopted ASU 2015-16 and do not expect the adoption of this guidance to have a material impact on our consolidated financial position or results of operations.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Early adoption is permitted. We have not yet selected a transition method and are currently evaluating the impact that ASU 2015-17 will have on our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43,546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28,681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45,283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12,912</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5,264</w:t>
            </w:r>
          </w:p>
        </w:tc>
      </w:tr>
      <w:tr>
        <w:trPr>
          <w:trHeight w:val="257"/>
        </w:trPr>
        <w:tc>
          <w:tcPr>
            <w:tcW w:w="77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52,966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112,521</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connection with the court order issued on September 4, 2015, we placed $4.6 million of cash into a collateralized surety bond. This bond has certain restrictions for liquidation and has therefore been classified as restricted cash. Refer to Note 13 for further information about this ongoing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1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119,090</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91,605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117,761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90,372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4,040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121,801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97,989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4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14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(Write-offs)/FX effects</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vMerge w:val="restart"/>
          </w:tcPr>
          <w:p>
            <w:pPr>
              <w:jc w:val="right"/>
              <w:ind w:right="850"/>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sales returns at December 31, 2015 and 2014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$0.3 million and $0.4 million on December 31, 2015 and 2014, respectively. The value of these returned goods was included in our inventory balance at December 31, 2015 and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spacing w:after="0"/>
              <w:rPr>
                <w:sz w:val="22"/>
                <w:szCs w:val="22"/>
                <w:color w:val="auto"/>
              </w:rPr>
            </w:pPr>
          </w:p>
        </w:tc>
      </w:tr>
      <w:tr>
        <w:trPr>
          <w:trHeight w:val="152"/>
        </w:trPr>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right"/>
              <w:ind w:right="840"/>
              <w:spacing w:after="0" w:line="153" w:lineRule="exact"/>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9"/>
              </w:rPr>
              <w:t>% of Net</w:t>
            </w:r>
          </w:p>
        </w:tc>
        <w:tc>
          <w:tcPr>
            <w:tcW w:w="160" w:type="dxa"/>
            <w:vAlign w:val="bottom"/>
          </w:tcPr>
          <w:p>
            <w:pPr>
              <w:spacing w:after="0"/>
              <w:rPr>
                <w:sz w:val="13"/>
                <w:szCs w:val="13"/>
                <w:color w:val="auto"/>
              </w:rPr>
            </w:pPr>
          </w:p>
        </w:tc>
        <w:tc>
          <w:tcPr>
            <w:tcW w:w="1480" w:type="dxa"/>
            <w:vAlign w:val="bottom"/>
            <w:gridSpan w:val="3"/>
          </w:tcPr>
          <w:p>
            <w:pPr>
              <w:jc w:val="center"/>
              <w:ind w:right="700"/>
              <w:spacing w:after="0" w:line="153" w:lineRule="exact"/>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6"/>
              </w:rPr>
              <w:t>% of Net</w:t>
            </w:r>
          </w:p>
        </w:tc>
        <w:tc>
          <w:tcPr>
            <w:tcW w:w="180" w:type="dxa"/>
            <w:vAlign w:val="bottom"/>
          </w:tcPr>
          <w:p>
            <w:pPr>
              <w:spacing w:after="0"/>
              <w:rPr>
                <w:sz w:val="13"/>
                <w:szCs w:val="13"/>
                <w:color w:val="auto"/>
              </w:rPr>
            </w:pPr>
          </w:p>
        </w:tc>
        <w:tc>
          <w:tcPr>
            <w:tcW w:w="1480" w:type="dxa"/>
            <w:vAlign w:val="bottom"/>
            <w:gridSpan w:val="3"/>
          </w:tcPr>
          <w:p>
            <w:pPr>
              <w:jc w:val="center"/>
              <w:ind w:right="700"/>
              <w:spacing w:after="0" w:line="153" w:lineRule="exact"/>
              <w:rPr>
                <w:sz w:val="20"/>
                <w:szCs w:val="20"/>
                <w:color w:val="auto"/>
              </w:rPr>
            </w:pPr>
            <w:r>
              <w:rPr>
                <w:rFonts w:ascii="Arial" w:cs="Arial" w:eastAsia="Arial" w:hAnsi="Arial"/>
                <w:sz w:val="14"/>
                <w:szCs w:val="14"/>
                <w:b w:val="1"/>
                <w:bCs w:val="1"/>
                <w:color w:val="auto"/>
                <w:w w:val="94"/>
              </w:rPr>
              <w:t>Amount</w:t>
            </w:r>
          </w:p>
        </w:tc>
        <w:tc>
          <w:tcPr>
            <w:tcW w:w="1360" w:type="dxa"/>
            <w:vAlign w:val="bottom"/>
          </w:tcPr>
          <w:p>
            <w:pPr>
              <w:jc w:val="center"/>
              <w:ind w:right="447"/>
              <w:spacing w:after="0" w:line="153" w:lineRule="exact"/>
              <w:rPr>
                <w:sz w:val="20"/>
                <w:szCs w:val="20"/>
                <w:color w:val="auto"/>
              </w:rPr>
            </w:pPr>
            <w:r>
              <w:rPr>
                <w:rFonts w:ascii="Arial" w:cs="Arial" w:eastAsia="Arial" w:hAnsi="Arial"/>
                <w:sz w:val="14"/>
                <w:szCs w:val="14"/>
                <w:b w:val="1"/>
                <w:bCs w:val="1"/>
                <w:color w:val="auto"/>
                <w:w w:val="99"/>
              </w:rPr>
              <w:t>% of Net</w:t>
            </w:r>
          </w:p>
        </w:tc>
      </w:tr>
      <w:tr>
        <w:trPr>
          <w:trHeight w:val="192"/>
        </w:trPr>
        <w:tc>
          <w:tcPr>
            <w:tcW w:w="2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2"/>
              </w:rPr>
              <w:t>(thousands)</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Sales</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9"/>
              </w:rPr>
              <w:t>(thousands)</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47"/>
              <w:spacing w:after="0"/>
              <w:rPr>
                <w:sz w:val="20"/>
                <w:szCs w:val="20"/>
                <w:color w:val="auto"/>
              </w:rPr>
            </w:pPr>
            <w:r>
              <w:rPr>
                <w:rFonts w:ascii="Arial" w:cs="Arial" w:eastAsia="Arial" w:hAnsi="Arial"/>
                <w:sz w:val="14"/>
                <w:szCs w:val="14"/>
                <w:b w:val="1"/>
                <w:bCs w:val="1"/>
                <w:color w:val="auto"/>
                <w:w w:val="87"/>
              </w:rPr>
              <w:t>Sales</w:t>
            </w:r>
          </w:p>
        </w:tc>
      </w:tr>
      <w:tr>
        <w:trPr>
          <w:trHeight w:val="270"/>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129,475</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21.5%</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6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360" w:type="dxa"/>
            <w:vAlign w:val="bottom"/>
            <w:gridSpan w:val="2"/>
            <w:shd w:val="clear" w:color="auto" w:fill="CCEEFF"/>
          </w:tcPr>
          <w:p>
            <w:pPr>
              <w:ind w:left="6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3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360" w:type="dxa"/>
            <w:vAlign w:val="bottom"/>
            <w:shd w:val="clear" w:color="auto" w:fill="CCEEFF"/>
          </w:tcPr>
          <w:p>
            <w:pPr>
              <w:jc w:val="right"/>
              <w:ind w:right="87"/>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DIRECTV</w:t>
            </w: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74,857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47"/>
              <w:spacing w:after="0"/>
              <w:rPr>
                <w:sz w:val="20"/>
                <w:szCs w:val="20"/>
                <w:color w:val="auto"/>
              </w:rPr>
            </w:pPr>
            <w:r>
              <w:rPr>
                <w:rFonts w:ascii="Arial" w:cs="Arial" w:eastAsia="Arial" w:hAnsi="Arial"/>
                <w:sz w:val="18"/>
                <w:szCs w:val="18"/>
                <w:color w:val="auto"/>
              </w:rPr>
              <w:t>58,622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7"/>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7"/>
              <w:spacing w:after="0"/>
              <w:rPr>
                <w:sz w:val="20"/>
                <w:szCs w:val="20"/>
                <w:color w:val="auto"/>
              </w:rPr>
            </w:pPr>
            <w:r>
              <w:rPr>
                <w:rFonts w:ascii="Arial" w:cs="Arial" w:eastAsia="Arial" w:hAnsi="Arial"/>
                <w:sz w:val="18"/>
                <w:szCs w:val="18"/>
                <w:color w:val="auto"/>
              </w:rPr>
              <w:t>82,679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447"/>
              <w:spacing w:after="0"/>
              <w:rPr>
                <w:sz w:val="20"/>
                <w:szCs w:val="20"/>
                <w:color w:val="auto"/>
              </w:rPr>
            </w:pPr>
            <w:r>
              <w:rPr>
                <w:rFonts w:ascii="Arial" w:cs="Arial" w:eastAsia="Arial" w:hAnsi="Arial"/>
                <w:sz w:val="18"/>
                <w:szCs w:val="18"/>
                <w:color w:val="auto"/>
              </w:rPr>
              <w:t>15.6</w:t>
            </w:r>
          </w:p>
        </w:tc>
      </w:tr>
    </w:tbl>
    <w:p>
      <w:pPr>
        <w:spacing w:after="0" w:line="6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prior period.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Trade receivables associated with Comcast Corporation accounted for $29.4 million, or 24.1% of our accounts receivable, net at December 31, 2015. We had no other customers with trade receivables greater than 10% of our accounts receivable, net at December 31, 2015 or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12,228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16,170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78,222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56,458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122,366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97,474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2,714</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3,181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2,539</w:t>
            </w:r>
          </w:p>
        </w:tc>
        <w:tc>
          <w:tcPr>
            <w:tcW w:w="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$0.3 million, $0.3 million, and $0.3 million for the years ended December 31, 2015, 2014, and 2013,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ind w:left="660" w:hanging="328"/>
        <w:spacing w:after="0" w:line="180"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purchase integrated circuits, components and finished goods from multiple sources. Maxim Integrated Products International Limited provided $31.2 million or 10.7% of total inventory purchases during the year ended December 31, 2014. No single supplier provided more than 10% of our total inventory purchases during the years ended December 31, 2015 and 2013.</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Manufacturing owns 40% of this supplier.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30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Amount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Amount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Amount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accounts payable to this supplier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Amount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Amount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payable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51,046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60,078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52,449</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19,926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18,344</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3,899</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4,421</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175,908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163,674</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(96,365)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(90,048)</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79,543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73,626</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90,015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76,135</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$15.6 million, $14.1 million and $14.2 million for the years ended December 31, 2015, 2014, and 2013, respectively.</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net book value of property, plant, and equipment located within the PRC was $79.4 million and $66.0 million on December 31,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in progress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2016. We will begin to depreciate the cost of these assets under construction once they are placed into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FX effects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w:t>
            </w:r>
          </w:p>
        </w:tc>
      </w:tr>
      <w:tr>
        <w:trPr>
          <w:trHeight w:val="270"/>
        </w:trPr>
        <w:tc>
          <w:tcPr>
            <w:tcW w:w="99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12,564</w:t>
            </w: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FX effects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43,116</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During 2015, we recognized $12.6 million of goodwill related to the Ecolink Intelligent Technology, Inc. acquisition. Please refer to Note 21 for further information about this acquisition.</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conducted annual goodwill impairment reviews on December 31, 2015, 2014, and 2013 utilizing significant unobservable inputs (level 3). Based on the analysis performed, we determined that our goodwill was not impaired.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28"/>
                <w:szCs w:val="28"/>
                <w:b w:val="1"/>
                <w:bCs w:val="1"/>
                <w:color w:val="auto"/>
                <w:vertAlign w:val="subscript"/>
              </w:rPr>
              <w:t>Net</w:t>
            </w:r>
            <w:r>
              <w:rPr>
                <w:rFonts w:ascii="Arial" w:cs="Arial" w:eastAsia="Arial" w:hAnsi="Arial"/>
                <w:sz w:val="9"/>
                <w:szCs w:val="9"/>
                <w:b w:val="1"/>
                <w:bCs w:val="1"/>
                <w:color w:val="auto"/>
              </w:rPr>
              <w:t xml:space="preserve"> (1)</w:t>
            </w:r>
          </w:p>
        </w:tc>
        <w:tc>
          <w:tcPr>
            <w:tcW w:w="38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356"/>
              <w:spacing w:after="0"/>
              <w:rPr>
                <w:sz w:val="20"/>
                <w:szCs w:val="20"/>
                <w:color w:val="auto"/>
              </w:rPr>
            </w:pPr>
            <w:r>
              <w:rPr>
                <w:rFonts w:ascii="Arial" w:cs="Arial" w:eastAsia="Arial" w:hAnsi="Arial"/>
                <w:sz w:val="28"/>
                <w:szCs w:val="28"/>
                <w:b w:val="1"/>
                <w:bCs w:val="1"/>
                <w:color w:val="auto"/>
                <w:vertAlign w:val="subscript"/>
              </w:rPr>
              <w:t>Net</w:t>
            </w:r>
            <w:r>
              <w:rPr>
                <w:rFonts w:ascii="Arial" w:cs="Arial" w:eastAsia="Arial" w:hAnsi="Arial"/>
                <w:sz w:val="9"/>
                <w:szCs w:val="9"/>
                <w:b w:val="1"/>
                <w:bCs w:val="1"/>
                <w:color w:val="auto"/>
              </w:rPr>
              <w:t xml:space="preserve"> (1)</w:t>
            </w:r>
          </w:p>
        </w:tc>
        <w:tc>
          <w:tcPr>
            <w:tcW w:w="0" w:type="dxa"/>
            <w:vAlign w:val="bottom"/>
          </w:tcPr>
          <w:p>
            <w:pPr>
              <w:spacing w:after="0"/>
              <w:rPr>
                <w:sz w:val="1"/>
                <w:szCs w:val="1"/>
                <w:color w:val="auto"/>
              </w:rPr>
            </w:pPr>
          </w:p>
        </w:tc>
      </w:tr>
      <w:tr>
        <w:trPr>
          <w:trHeight w:val="198"/>
        </w:trPr>
        <w:tc>
          <w:tcPr>
            <w:tcW w:w="3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 (10 years)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 (10 years)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(10 years)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 (5-15</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years) </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(10-15 years)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14,161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$9.0 million and $7.9 million on December 31, 2015 and 2014, respectively.</w:t>
      </w:r>
    </w:p>
    <w:p>
      <w:pPr>
        <w:spacing w:after="0" w:line="203" w:lineRule="exact"/>
        <w:rPr>
          <w:rFonts w:ascii="Arial" w:cs="Arial" w:eastAsia="Arial" w:hAnsi="Arial"/>
          <w:sz w:val="25"/>
          <w:szCs w:val="25"/>
          <w:color w:val="auto"/>
          <w:vertAlign w:val="superscript"/>
        </w:rPr>
      </w:pPr>
    </w:p>
    <w:p>
      <w:pPr>
        <w:jc w:val="both"/>
        <w:ind w:left="660" w:hanging="328"/>
        <w:spacing w:after="0" w:line="232"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2015, we purchased a trade name valued at $0.4 million, which is being amortized ratably over seven years; developed technology valued at $9.1 million, which is being amortized over a weighted average period of approximately five years; and customer relationships valued at $1.3 million, which are being amortized ratably over five years. Refer to Note 21 for further information regarding our purchase of these intangible assets.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3,914</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4,842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720" w:type="dxa"/>
            <w:vAlign w:val="bottom"/>
            <w:gridSpan w:val="2"/>
          </w:tcPr>
          <w:p>
            <w:pPr>
              <w:spacing w:after="0"/>
              <w:rPr>
                <w:sz w:val="20"/>
                <w:szCs w:val="20"/>
                <w:color w:val="auto"/>
              </w:rPr>
            </w:pPr>
            <w:r>
              <w:rPr>
                <w:rFonts w:ascii="Arial" w:cs="Arial" w:eastAsia="Arial" w:hAnsi="Arial"/>
                <w:sz w:val="18"/>
                <w:szCs w:val="18"/>
                <w:color w:val="auto"/>
                <w:w w:val="90"/>
              </w:rPr>
              <w:t>Estimated future amortization expense related to our intangible assets at December 31, 2015, is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2017</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6,204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6,170</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2,706</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5.5 years.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9, 2014, we extended the term of our Amended and Restated Credit Agreement ("Amended Credit Agreement") with U.S. Bank National Association ("U.S. Bank") to November 1, 2017. The Amended Credit Agreement provided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On November 10, 2015, we entered into the Third Amendment to the Amended Credit Agreement in which the Credit Line was increased to $85.0 million. On February 3, 2016, we entered into the Fourth Amendment to the Amended Credit Agreement in which the Credit Line was temporarily increased to $105.0 million through March 15, 2016, after which the Credit Line will revert back to $85.0 million. Amounts available for borrowing under the Credit Line are reduced by the balance of any outstanding letters of credit, of which there were $13 thousand at December 31, 2015.</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December 31, 2015, we were in compliance with the covenants and conditions of the Amended Credit Agreement.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we had $50.0 million outstanding under the Credit Line. Our total interest expense on borrowings was $0.3 million, $23 thousand and $0.2 million during the years ended December 31, 2015,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Pre-tax income was attributed to the following jurisdictions: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3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43,244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26,611</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35,975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29,036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4"/>
              </w:rPr>
              <w:t>Year Ended December 31,</w:t>
            </w: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2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18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8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2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7,917</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assets were comprised of the following:</w:t>
            </w:r>
          </w:p>
        </w:tc>
        <w:tc>
          <w:tcPr>
            <w:tcW w:w="1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research costs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Capitalized inventory costs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losses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Acquired intangible assets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Income tax credits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57</w:t>
            </w: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12,232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Nondeductible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deductibility of social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permanent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we had foreign tax credit carryforwards of approximately $2.1 million, and federal and state Research and Experimentation ("R&amp;E") income tax credit carryforwards of approximately $2.3 million and $6.7 million, respectively. The foreign tax credits begin to expire in 2024. The federal R&amp;E credits begin to expire in 2032. The state R&amp;E income tax credits do not have an expiration date.</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2015, we had federal, state and foreign net operating loss carryforwards of approximately $1.2 million, $2.9 million and $35 thousand, respectively. Included in the Company's U.S. net operating loss deferred tax assets above is approximately $2.2 million of unrealized gross deferred tax assets attributable to excess tax benefits associated with stock-based compensation that will impact stockholders' equity if and when such excess benefits are ultimately realized. Of the federal and state net operating loss carryforwards above, $1.2 million and $2.9 million, respectively, were acquired as part of our 2004 acquisition of SimpleDevices. The federal, state, and foreign net operating loss carryforwards begin to expire during 2024, 2018, and 2022, respectively.</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carryforwards that may be utilized if certain changes to a company’s ownership occur. Our 2004 acquisition of SimpleDevices was a change in ownership pursuant to Section 382 of the Internal Revenue Code, and the federal and state net operating loss carryforwards of SimpleDevices are limited but considered realizable in future periods. The annual federal limitation is approximately $0.6 million for 2015 and thereafter.</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2015,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the Company’s deferred tax assets, primarily related to state R&amp;E income tax credits generated during prior years and the current year, the Company established a valuation allowance against its deferred tax assets. When recognized, the tax benefits relating to any reversal of this valuation allowance will be recorded as a reduction of income tax expense. The total valuation allowance increased by $1.0 million and $0.9 million as of December 31, 2015 and 2014, respectively.</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we recognized an increase to paid-in capital and a decrease to income taxes payable of $3.1 million, related to the tax benefit from the exercise of non-qualified stock options and vesting of restricted stock under our stock-based incentive plans. During the year ended December 31, 2013 we recognized an increase to paid-in capital and a decrease to income taxes payable of $0.9 million, related to the tax benefit from the exercise of non-qualified stock options and vesting of restricted stock under our stock-based incentive plans.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complexities associated with its hypothetical calculation; however, unrecognized foreign tax credits would be available to reduce some portion of the U.S. liability.</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2012, China's State Administration of Taxation issued Circular 15 which required us to reevaluate our foreign deferred tax assets relating to our Chinese subsidiaries. These subsidiaries have recorded a deferred tax asset for social insurance and housing funds with the intent of being able to deduct these expenses once such liabilities have been settled. Circular 15 stipulates that payments into the aforementioned funds must be made within five years of recording the initial accrual or the tax deduction for these expenses will be forfeited. At December 31, 2015, we evaluated fund payments made prior to the preceding five years and determined that $0.6 million of our foreign deferred tax assets would not provide a future tax benefit due to the change in Chinese law. In adhering to the new law, we recorded increases to income tax expense of $0.6 million, $0.7 million and $0.2 million for the years ended December 31, 2015, 2014 and 2013, respectively, relating to decreases in the deferred tax assets of our Chinese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2015 and 2014, we had unrecognized tax benefits of approximately $3.7 million and $3.6 million, including interest and penalties, respectively. We classify interest and penalties as components of tax expense. Interest and penalties were $0.2 million, $0.2 million, and $0.1 million for the years ended December 31, 2015, 2014 and 2013, respectively. Interest and penalties are included in the unrecognized tax benefits.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3,486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5,006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$3.3 million, $3.2 million and $3.2 million of the total amount of gross unrecognized tax benefits at December 31, 2015, 2014 and 2013, respectively, if not for the state Research and Experimentation income tax credit valuation allowance, would affect the annual effective tax rate, if recognized. We are unaware of any positions for which it is reasonably possible that the total amounts of unrecognized tax benefits will significantly change within the next twelve months. We anticipate a decrease in gross unrecognized tax benefits of approximately $0.1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At December 31, 2015, the open statutes of limitations for our significant tax jurisdictions are the following: federal are 2012 through 2014, state are 2011 through 2014 and foreign are 2009 through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18,923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19,941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6,114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Accrued bonus</w:t>
            </w:r>
            <w:r>
              <w:rPr>
                <w:rFonts w:ascii="Arial" w:cs="Arial" w:eastAsia="Arial" w:hAnsi="Arial"/>
                <w:sz w:val="25"/>
                <w:szCs w:val="25"/>
                <w:color w:val="auto"/>
                <w:vertAlign w:val="superscript"/>
              </w:rPr>
              <w:t>(2)</w:t>
            </w:r>
          </w:p>
        </w:tc>
        <w:tc>
          <w:tcPr>
            <w:tcW w:w="4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8,492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37,452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40,656</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8"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2015 and 2014.</w:t>
      </w:r>
    </w:p>
    <w:p>
      <w:pPr>
        <w:spacing w:after="0" w:line="73" w:lineRule="exact"/>
        <w:rPr>
          <w:rFonts w:ascii="Arial" w:cs="Arial" w:eastAsia="Arial" w:hAnsi="Arial"/>
          <w:sz w:val="22"/>
          <w:szCs w:val="22"/>
          <w:color w:val="auto"/>
          <w:vertAlign w:val="superscript"/>
        </w:rPr>
      </w:pPr>
    </w:p>
    <w:p>
      <w:pPr>
        <w:jc w:val="both"/>
        <w:ind w:left="660" w:hanging="328"/>
        <w:spacing w:after="0" w:line="220"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$0.7 million and $0.6 million at December 31, 2015 and 2014,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1,522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court order (Notes 3 and 13)</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Utilities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21,466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13,358</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18" w:right="2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obtained certain engineering support services for our India subsidiary from JAP Techno Solutions ("JAP"). The owner of JAP is the spouse of the managing director of our India operations. Total fees paid to JAP for the years ended December 31, 2015 and 2014 were $77 thousand and $39 thousand, respectively. No amounts were paid to this vendor during the year ended December 31,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$3.6 million, $3.7 million and $3.5 million for the years ended December 31, 2015, 2014 and 2013,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minimum non-cancelable operating lease payments at December 31, 2015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2,767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1,281</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2,389</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commitments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48 months to 125 months. The related short term liability is recorded in other accrued expenses (see Note 11) and the related long term liability is recorded in other long term liabilities. The total liability related to rent escalations was $1.1 million and $1.1 million at December 31, 2015 and 2014,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lease agreement for our corporate headquarters contains an allowance for moving expenses and tenant improvements of $1.5 million. These moving and tenant improvement allowances are recorded within other accrued expenses and other long term liabilities, depending on the short term or long term nature, and are being amortized as a reduction of rent expense over the 125-month term of the lease, which began on May 15,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operating leases incurred during a construction period are expensed.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two factories within the PRC on which the land is leased from the government as of December 31, 2015. These land leases were prepaid to the PRC government at the time our subsidiary occupied the land. We have obtained land-use right certificates for the land pertaining to these factories.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first factory is located in the city of Guangzhou in the Guangdong province. The remaining net book value of this prepaid lease was $1.2 million on December 31, 2015, and will be amortized on a straight-line basis over approximately 15 years. The buildings located on this land had a net book value of $12.4 million on December 31, 2015 and will be depreciated over a remaining weighted average period of 16 years.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factory is located in the city of Yangzhou in the Jiangsu province. The remaining net book value of this prepaid lease was $2.7 million on December 31, 2015, and will be amortized on a straight-line basis over the remaining term of approximately 43 years. The buildings located on this land had a net book value of $22.3 million on December 31, 2015 and will be depreciated over a remaining weighted average period of 24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net book value of prepaid land leases is included within prepaid expenses and other current assets and other assets, depending on the short term or long term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416</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Following a jury verdict in favor of URC, on September 4, 2015 the District Court awarded URC $4.6 million in attorneys’ fees and costs, approximately 50% of the attorneys’ fees and costs URC claims it incurred. Both parties filed Notices of Appeal. URC is appealing various portions of the judgment and the District Court’s decision to award less than the full amount of attorneys’ fees. We have elected not to appeal the award of attorneys’ fees. URC has filed its opening appellate brief and we filed our response on February 26, 2016. We expect oral arguments in the summer of 2016, with a decision approximately six months later. As a result of the District Court's order, we accrued $4.6 million within selling, general and administrative expenses for the year ended December 31, 2015. Additionally, as described in Note 3, we placed $4.6 million into a surety bond as collateral for this court order.</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28, 2013, we filed a second lawsuit against URC, also in the United States District Court, Central District of California (Universal Electronics Inc. v. Universal Remote Control, Inc., SACV13-00987 JAK (SHx)) claiming that URC has violated ten patents not implicated in our first lawsuit against it. Of the ten patents, four of them have expired. In mid-November 2013, we filed a motion to add affiliated URC suppliers, Ohsung Electronics Co, Ltd., a South Korean entity, and Ohsung Electronics USA, Inc., a California entity, (collectively "Ohsung"), to the lawsuit. In late June and early July of 2014, URC and Ohsung requested inter partes review ("IPR") with the US Patent and Trademark Office Appeal Board ("PTAB") for each of the ten patents pending in the second URC lawsuit. On July 9, 2014, the Court entered stipulated stay, pending the IPR outcome. In January 2016, the PTAB issued its decisions in all of the IPR proceedings, sustaining most of the claims of the six unexpired patents and invalidating the majority of the claims of the four expired patents. URC has filed a notice of appeal with respect to the PTAB’s ruling against it. We have elected to not appeal the PTAB’s rulings. On March 21, 2016, a status conference is scheduled with the Court.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the appeal and on February 15, 2016, the appellate court heard oral arguments. We expect the appellate court’s ruling on the motion in the next three to six months. In addition, in September 2015, UEBV filed an Opposition with the European Patent Office seeking to invalidate the one utility patent asserted against UEBV and Telenet by Ruwido. Finally, on or about February 9, 2016, Ruwido filed a writ of summons for proceeding on the merits with respect to asserted patents. UEBV and Telenet intend to vigorously defend against Ruwido's claims.</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2015 based on its latest actuarial report. The India Plan has an independent external manager that advises us of the appropriate funding contribution requirements to which we comply. At December 31, 2015, approximately 45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December 31, 2015 and 2014 for the India Plan was not material. During the years ended December 31, 2015, 2014, and 2013, the net periodic benefit costs were also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2015, we had 300,000 shares available for repurchase under the Board's authorizations. On February 10, 2016, our Board increased these share repurchase authorizations by 100,000 shares bringing the total authorization as of the approval date to 400,000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89,395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3,607</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years ended December 31, 2014, and 2013, we issued 15,000, and 30,000 shares from treasury, respectively, to outside directors for services performed (see Note 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287,678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195,308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109,960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129,614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107,886</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89,918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65,579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70,663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72,852</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35,179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23,504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28,211</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602,833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562,329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529,354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70,619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95,380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81,606</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5,342</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2,366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1,575</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8"/>
                <w:szCs w:val="18"/>
                <w:color w:val="auto"/>
                <w:w w:val="88"/>
              </w:rPr>
              <w:t>13.64</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9.26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0.95%</w:t>
            </w:r>
          </w:p>
        </w:tc>
      </w:tr>
      <w:tr>
        <w:trPr>
          <w:trHeight w:val="27"/>
        </w:trPr>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44.84%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53.39%</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4.57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gridSpan w:val="3"/>
          </w:tcPr>
          <w:p>
            <w:pPr>
              <w:jc w:val="right"/>
              <w:ind w:right="146"/>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115"/>
              <w:spacing w:after="0"/>
              <w:rPr>
                <w:sz w:val="20"/>
                <w:szCs w:val="20"/>
                <w:color w:val="auto"/>
              </w:rPr>
            </w:pPr>
            <w:r>
              <w:rPr>
                <w:rFonts w:ascii="Arial" w:cs="Arial" w:eastAsia="Arial" w:hAnsi="Arial"/>
                <w:sz w:val="18"/>
                <w:szCs w:val="18"/>
                <w:color w:val="auto"/>
              </w:rPr>
              <w:t>5.20</w:t>
            </w:r>
          </w:p>
        </w:tc>
      </w:tr>
      <w:tr>
        <w:trPr>
          <w:trHeight w:val="675"/>
        </w:trPr>
        <w:tc>
          <w:tcPr>
            <w:tcW w:w="3220" w:type="dxa"/>
            <w:vAlign w:val="bottom"/>
            <w:gridSpan w:val="2"/>
          </w:tcPr>
          <w:p>
            <w:pPr>
              <w:spacing w:after="0"/>
              <w:rPr>
                <w:sz w:val="20"/>
                <w:szCs w:val="20"/>
                <w:color w:val="auto"/>
              </w:rPr>
            </w:pPr>
            <w:r>
              <w:rPr>
                <w:rFonts w:ascii="Arial" w:cs="Arial" w:eastAsia="Arial" w:hAnsi="Arial"/>
                <w:sz w:val="18"/>
                <w:szCs w:val="18"/>
                <w:color w:val="auto"/>
              </w:rPr>
              <w:t>Stock option activity was as follows: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9"/>
        </w:trPr>
        <w:tc>
          <w:tcPr>
            <w:tcW w:w="25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3"/>
                <w:szCs w:val="13"/>
                <w:color w:val="auto"/>
              </w:rPr>
              <w:t>2015</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3"/>
                <w:szCs w:val="13"/>
                <w:color w:val="auto"/>
              </w:rPr>
              <w:t>2014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3"/>
                <w:szCs w:val="13"/>
                <w:color w:val="auto"/>
                <w:w w:val="82"/>
              </w:rPr>
              <w:t>2013</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39"/>
        </w:trPr>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ind w:left="18"/>
              <w:spacing w:after="0"/>
              <w:rPr>
                <w:sz w:val="20"/>
                <w:szCs w:val="20"/>
                <w:color w:val="auto"/>
              </w:rPr>
            </w:pPr>
            <w:r>
              <w:rPr>
                <w:rFonts w:ascii="Arial" w:cs="Arial" w:eastAsia="Arial" w:hAnsi="Arial"/>
                <w:sz w:val="11"/>
                <w:szCs w:val="11"/>
                <w:color w:val="auto"/>
                <w:w w:val="91"/>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2"/>
              </w:rPr>
              <w:t>Average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color w:val="auto"/>
                <w:w w:val="87"/>
              </w:rPr>
              <w:t>Remaining</w:t>
            </w:r>
          </w:p>
        </w:tc>
        <w:tc>
          <w:tcPr>
            <w:tcW w:w="220" w:type="dxa"/>
            <w:vAlign w:val="bottom"/>
          </w:tcPr>
          <w:p>
            <w:pPr>
              <w:spacing w:after="0"/>
              <w:rPr>
                <w:sz w:val="10"/>
                <w:szCs w:val="10"/>
                <w:color w:val="auto"/>
              </w:rPr>
            </w:pPr>
          </w:p>
        </w:tc>
        <w:tc>
          <w:tcPr>
            <w:tcW w:w="680" w:type="dxa"/>
            <w:vAlign w:val="bottom"/>
            <w:gridSpan w:val="5"/>
          </w:tcPr>
          <w:p>
            <w:pPr>
              <w:jc w:val="right"/>
              <w:ind w:right="220"/>
              <w:spacing w:after="0" w:line="122" w:lineRule="exact"/>
              <w:rPr>
                <w:sz w:val="20"/>
                <w:szCs w:val="20"/>
                <w:color w:val="auto"/>
              </w:rPr>
            </w:pPr>
            <w:r>
              <w:rPr>
                <w:rFonts w:ascii="Arial" w:cs="Arial" w:eastAsia="Arial" w:hAnsi="Arial"/>
                <w:sz w:val="11"/>
                <w:szCs w:val="11"/>
                <w:color w:val="auto"/>
                <w:w w:val="86"/>
              </w:rPr>
              <w:t>Aggregate</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6"/>
          </w:tcPr>
          <w:p>
            <w:pPr>
              <w:jc w:val="center"/>
              <w:ind w:right="15"/>
              <w:spacing w:after="0" w:line="122" w:lineRule="exact"/>
              <w:rPr>
                <w:sz w:val="20"/>
                <w:szCs w:val="20"/>
                <w:color w:val="auto"/>
              </w:rPr>
            </w:pPr>
            <w:r>
              <w:rPr>
                <w:rFonts w:ascii="Arial" w:cs="Arial" w:eastAsia="Arial" w:hAnsi="Arial"/>
                <w:sz w:val="11"/>
                <w:szCs w:val="11"/>
                <w:color w:val="auto"/>
                <w:w w:val="96"/>
              </w:rPr>
              <w:t>Weighted-   Weighted-Average   Aggregate</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60" w:type="dxa"/>
            <w:vAlign w:val="bottom"/>
          </w:tcPr>
          <w:p>
            <w:pPr>
              <w:jc w:val="right"/>
              <w:ind w:right="125"/>
              <w:spacing w:after="0" w:line="122" w:lineRule="exact"/>
              <w:rPr>
                <w:sz w:val="20"/>
                <w:szCs w:val="20"/>
                <w:color w:val="auto"/>
              </w:rPr>
            </w:pPr>
            <w:r>
              <w:rPr>
                <w:rFonts w:ascii="Arial" w:cs="Arial" w:eastAsia="Arial" w:hAnsi="Arial"/>
                <w:sz w:val="11"/>
                <w:szCs w:val="11"/>
                <w:color w:val="auto"/>
                <w:w w:val="91"/>
              </w:rPr>
              <w:t>Weighted-</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color w:val="auto"/>
                <w:w w:val="90"/>
              </w:rPr>
              <w:t>Aggregate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87"/>
              </w:rPr>
              <w:t>Weighted-</w:t>
            </w: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color w:val="auto"/>
                <w:w w:val="88"/>
              </w:rPr>
              <w:t>Contractual</w:t>
            </w:r>
          </w:p>
        </w:tc>
        <w:tc>
          <w:tcPr>
            <w:tcW w:w="220" w:type="dxa"/>
            <w:vAlign w:val="bottom"/>
          </w:tcPr>
          <w:p>
            <w:pPr>
              <w:spacing w:after="0"/>
              <w:rPr>
                <w:sz w:val="10"/>
                <w:szCs w:val="10"/>
                <w:color w:val="auto"/>
              </w:rPr>
            </w:pPr>
          </w:p>
        </w:tc>
        <w:tc>
          <w:tcPr>
            <w:tcW w:w="680" w:type="dxa"/>
            <w:vAlign w:val="bottom"/>
            <w:gridSpan w:val="5"/>
          </w:tcPr>
          <w:p>
            <w:pPr>
              <w:jc w:val="center"/>
              <w:ind w:right="200"/>
              <w:spacing w:after="0" w:line="122" w:lineRule="exact"/>
              <w:rPr>
                <w:sz w:val="20"/>
                <w:szCs w:val="20"/>
                <w:color w:val="auto"/>
              </w:rPr>
            </w:pPr>
            <w:r>
              <w:rPr>
                <w:rFonts w:ascii="Arial" w:cs="Arial" w:eastAsia="Arial" w:hAnsi="Arial"/>
                <w:sz w:val="11"/>
                <w:szCs w:val="11"/>
                <w:color w:val="auto"/>
                <w:w w:val="94"/>
              </w:rPr>
              <w:t>Intrinsic</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1"/>
              </w:rPr>
              <w:t>Remaining</w:t>
            </w:r>
          </w:p>
        </w:tc>
        <w:tc>
          <w:tcPr>
            <w:tcW w:w="120" w:type="dxa"/>
            <w:vAlign w:val="bottom"/>
          </w:tcPr>
          <w:p>
            <w:pPr>
              <w:spacing w:after="0"/>
              <w:rPr>
                <w:sz w:val="10"/>
                <w:szCs w:val="10"/>
                <w:color w:val="auto"/>
              </w:rPr>
            </w:pPr>
          </w:p>
        </w:tc>
        <w:tc>
          <w:tcPr>
            <w:tcW w:w="560" w:type="dxa"/>
            <w:vAlign w:val="bottom"/>
          </w:tcPr>
          <w:p>
            <w:pPr>
              <w:jc w:val="center"/>
              <w:ind w:right="55"/>
              <w:spacing w:after="0" w:line="122" w:lineRule="exact"/>
              <w:rPr>
                <w:sz w:val="20"/>
                <w:szCs w:val="20"/>
                <w:color w:val="auto"/>
              </w:rPr>
            </w:pPr>
            <w:r>
              <w:rPr>
                <w:rFonts w:ascii="Arial" w:cs="Arial" w:eastAsia="Arial" w:hAnsi="Arial"/>
                <w:sz w:val="11"/>
                <w:szCs w:val="11"/>
                <w:color w:val="auto"/>
                <w:w w:val="94"/>
              </w:rPr>
              <w:t>Intrinsic</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60" w:type="dxa"/>
            <w:vAlign w:val="bottom"/>
          </w:tcPr>
          <w:p>
            <w:pPr>
              <w:jc w:val="right"/>
              <w:ind w:right="165"/>
              <w:spacing w:after="0" w:line="122" w:lineRule="exact"/>
              <w:rPr>
                <w:sz w:val="20"/>
                <w:szCs w:val="20"/>
                <w:color w:val="auto"/>
              </w:rPr>
            </w:pPr>
            <w:r>
              <w:rPr>
                <w:rFonts w:ascii="Arial" w:cs="Arial" w:eastAsia="Arial" w:hAnsi="Arial"/>
                <w:sz w:val="11"/>
                <w:szCs w:val="11"/>
                <w:color w:val="auto"/>
              </w:rPr>
              <w:t>Average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3"/>
              </w:rPr>
              <w:t>Terms</w:t>
            </w: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Intrinsic Value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87"/>
              </w:rPr>
              <w:t>Average</w:t>
            </w: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color w:val="auto"/>
                <w:w w:val="83"/>
              </w:rPr>
              <w:t>Terms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4"/>
          </w:tcPr>
          <w:p>
            <w:pPr>
              <w:jc w:val="center"/>
              <w:ind w:right="300"/>
              <w:spacing w:after="0" w:line="122" w:lineRule="exact"/>
              <w:rPr>
                <w:sz w:val="20"/>
                <w:szCs w:val="20"/>
                <w:color w:val="auto"/>
              </w:rPr>
            </w:pPr>
            <w:r>
              <w:rPr>
                <w:rFonts w:ascii="Arial" w:cs="Arial" w:eastAsia="Arial" w:hAnsi="Arial"/>
                <w:sz w:val="11"/>
                <w:szCs w:val="11"/>
                <w:color w:val="auto"/>
                <w:w w:val="85"/>
              </w:rPr>
              <w:t>Value</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5"/>
              </w:rPr>
              <w:t>Exercise</w:t>
            </w:r>
          </w:p>
        </w:tc>
        <w:tc>
          <w:tcPr>
            <w:tcW w:w="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 Terms</w:t>
            </w:r>
          </w:p>
        </w:tc>
        <w:tc>
          <w:tcPr>
            <w:tcW w:w="120" w:type="dxa"/>
            <w:vAlign w:val="bottom"/>
          </w:tcPr>
          <w:p>
            <w:pPr>
              <w:spacing w:after="0"/>
              <w:rPr>
                <w:sz w:val="10"/>
                <w:szCs w:val="10"/>
                <w:color w:val="auto"/>
              </w:rPr>
            </w:pPr>
          </w:p>
        </w:tc>
        <w:tc>
          <w:tcPr>
            <w:tcW w:w="560" w:type="dxa"/>
            <w:vAlign w:val="bottom"/>
          </w:tcPr>
          <w:p>
            <w:pPr>
              <w:jc w:val="center"/>
              <w:ind w:right="35"/>
              <w:spacing w:after="0" w:line="122" w:lineRule="exact"/>
              <w:rPr>
                <w:sz w:val="20"/>
                <w:szCs w:val="20"/>
                <w:color w:val="auto"/>
              </w:rPr>
            </w:pPr>
            <w:r>
              <w:rPr>
                <w:rFonts w:ascii="Arial" w:cs="Arial" w:eastAsia="Arial" w:hAnsi="Arial"/>
                <w:sz w:val="11"/>
                <w:szCs w:val="11"/>
                <w:color w:val="auto"/>
                <w:w w:val="92"/>
              </w:rPr>
              <w:t>Value</w:t>
            </w:r>
          </w:p>
        </w:tc>
      </w:tr>
      <w:tr>
        <w:trPr>
          <w:trHeight w:val="136"/>
        </w:trPr>
        <w:tc>
          <w:tcPr>
            <w:tcW w:w="2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60" w:type="dxa"/>
            <w:vAlign w:val="bottom"/>
            <w:gridSpan w:val="2"/>
          </w:tcPr>
          <w:p>
            <w:pPr>
              <w:ind w:left="40"/>
              <w:spacing w:after="0"/>
              <w:rPr>
                <w:sz w:val="20"/>
                <w:szCs w:val="20"/>
                <w:color w:val="auto"/>
              </w:rPr>
            </w:pPr>
            <w:r>
              <w:rPr>
                <w:rFonts w:ascii="Arial" w:cs="Arial" w:eastAsia="Arial" w:hAnsi="Arial"/>
                <w:sz w:val="11"/>
                <w:szCs w:val="11"/>
                <w:color w:val="auto"/>
                <w:w w:val="99"/>
              </w:rPr>
              <w:t>Exercise Price</w:t>
            </w: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6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(in 000's)</w:t>
            </w: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40" w:type="dxa"/>
            <w:vAlign w:val="bottom"/>
            <w:gridSpan w:val="3"/>
          </w:tcPr>
          <w:p>
            <w:pPr>
              <w:ind w:left="40"/>
              <w:spacing w:after="0"/>
              <w:rPr>
                <w:sz w:val="20"/>
                <w:szCs w:val="20"/>
                <w:color w:val="auto"/>
              </w:rPr>
            </w:pPr>
            <w:r>
              <w:rPr>
                <w:rFonts w:ascii="Arial" w:cs="Arial" w:eastAsia="Arial" w:hAnsi="Arial"/>
                <w:sz w:val="11"/>
                <w:szCs w:val="11"/>
                <w:color w:val="auto"/>
                <w:w w:val="96"/>
              </w:rPr>
              <w:t>Exercise Price</w:t>
            </w:r>
          </w:p>
        </w:tc>
        <w:tc>
          <w:tcPr>
            <w:tcW w:w="620" w:type="dxa"/>
            <w:vAlign w:val="bottom"/>
          </w:tcPr>
          <w:p>
            <w:pPr>
              <w:jc w:val="center"/>
              <w:ind w:left="18"/>
              <w:spacing w:after="0"/>
              <w:rPr>
                <w:sz w:val="20"/>
                <w:szCs w:val="20"/>
                <w:color w:val="auto"/>
              </w:rPr>
            </w:pPr>
            <w:r>
              <w:rPr>
                <w:rFonts w:ascii="Arial" w:cs="Arial" w:eastAsia="Arial" w:hAnsi="Arial"/>
                <w:sz w:val="11"/>
                <w:szCs w:val="11"/>
                <w:color w:val="auto"/>
                <w:w w:val="91"/>
              </w:rPr>
              <w:t>(in years)</w:t>
            </w:r>
          </w:p>
        </w:tc>
        <w:tc>
          <w:tcPr>
            <w:tcW w:w="220" w:type="dxa"/>
            <w:vAlign w:val="bottom"/>
          </w:tcPr>
          <w:p>
            <w:pPr>
              <w:spacing w:after="0"/>
              <w:rPr>
                <w:sz w:val="11"/>
                <w:szCs w:val="11"/>
                <w:color w:val="auto"/>
              </w:rPr>
            </w:pPr>
          </w:p>
        </w:tc>
        <w:tc>
          <w:tcPr>
            <w:tcW w:w="680" w:type="dxa"/>
            <w:vAlign w:val="bottom"/>
            <w:gridSpan w:val="5"/>
          </w:tcPr>
          <w:p>
            <w:pPr>
              <w:jc w:val="center"/>
              <w:ind w:right="200"/>
              <w:spacing w:after="0"/>
              <w:rPr>
                <w:sz w:val="20"/>
                <w:szCs w:val="20"/>
                <w:color w:val="auto"/>
              </w:rPr>
            </w:pPr>
            <w:r>
              <w:rPr>
                <w:rFonts w:ascii="Arial" w:cs="Arial" w:eastAsia="Arial" w:hAnsi="Arial"/>
                <w:sz w:val="11"/>
                <w:szCs w:val="11"/>
                <w:color w:val="auto"/>
                <w:w w:val="88"/>
              </w:rPr>
              <w:t>(in 000's)</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20" w:type="dxa"/>
            <w:vAlign w:val="bottom"/>
          </w:tcPr>
          <w:p>
            <w:pPr>
              <w:spacing w:after="0"/>
              <w:rPr>
                <w:sz w:val="11"/>
                <w:szCs w:val="11"/>
                <w:color w:val="auto"/>
              </w:rPr>
            </w:pPr>
          </w:p>
        </w:tc>
        <w:tc>
          <w:tcPr>
            <w:tcW w:w="560" w:type="dxa"/>
            <w:vAlign w:val="bottom"/>
          </w:tcPr>
          <w:p>
            <w:pPr>
              <w:jc w:val="center"/>
              <w:ind w:right="35"/>
              <w:spacing w:after="0"/>
              <w:rPr>
                <w:sz w:val="20"/>
                <w:szCs w:val="20"/>
                <w:color w:val="auto"/>
              </w:rPr>
            </w:pPr>
            <w:r>
              <w:rPr>
                <w:rFonts w:ascii="Arial" w:cs="Arial" w:eastAsia="Arial" w:hAnsi="Arial"/>
                <w:sz w:val="11"/>
                <w:szCs w:val="11"/>
                <w:color w:val="auto"/>
                <w:w w:val="93"/>
              </w:rPr>
              <w:t>(in 000's)</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650</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25.56</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924</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22.04</w:t>
            </w: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1,412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Granted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64.81</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1"/>
                <w:szCs w:val="11"/>
                <w:color w:val="auto"/>
              </w:rPr>
              <w:t>35.28</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1"/>
                <w:szCs w:val="11"/>
                <w:color w:val="auto"/>
              </w:rPr>
              <w:t>201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23.97</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20.76</w:t>
            </w: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10,651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1"/>
                <w:szCs w:val="11"/>
                <w:color w:val="auto"/>
              </w:rPr>
              <w:t>8,355</w:t>
            </w: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Forfeited/canceled/expired</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20.64</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1"/>
                <w:szCs w:val="11"/>
                <w:color w:val="auto"/>
              </w:rPr>
              <w:t>20.77</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gridSpan w:val="2"/>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r>
      <w:tr>
        <w:trPr>
          <w:trHeight w:val="23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8"/>
                <w:szCs w:val="8"/>
                <w:color w:val="auto"/>
              </w:rPr>
              <w:t>(1)</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30.50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3"/>
              </w:rPr>
              <w:t>4.85</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14,556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650</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25.56</w:t>
            </w:r>
          </w:p>
        </w:tc>
        <w:tc>
          <w:tcPr>
            <w:tcW w:w="62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1"/>
                <w:szCs w:val="11"/>
                <w:color w:val="auto"/>
                <w:w w:val="83"/>
              </w:rPr>
              <w:t>5.59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25,653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924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22.04</w:t>
            </w:r>
          </w:p>
        </w:tc>
        <w:tc>
          <w:tcPr>
            <w:tcW w:w="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1"/>
                <w:szCs w:val="11"/>
                <w:color w:val="auto"/>
                <w:w w:val="83"/>
              </w:rPr>
              <w:t>6.09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1"/>
                <w:szCs w:val="11"/>
                <w:color w:val="auto"/>
              </w:rPr>
              <w:t>14,854</w:t>
            </w: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1"/>
                <w:szCs w:val="11"/>
                <w:color w:val="auto"/>
                <w:w w:val="95"/>
              </w:rPr>
              <w:t xml:space="preserve">Vested and expected to vest at the end of the year </w:t>
            </w:r>
            <w:r>
              <w:rPr>
                <w:rFonts w:ascii="Arial" w:cs="Arial" w:eastAsia="Arial" w:hAnsi="Arial"/>
                <w:sz w:val="8"/>
                <w:szCs w:val="8"/>
                <w:color w:val="auto"/>
                <w:w w:val="95"/>
              </w:rPr>
              <w:t>(1)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648</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30.50</w:t>
            </w:r>
          </w:p>
        </w:tc>
        <w:tc>
          <w:tcPr>
            <w:tcW w:w="700" w:type="dxa"/>
            <w:vAlign w:val="bottom"/>
          </w:tcPr>
          <w:p>
            <w:pPr>
              <w:jc w:val="center"/>
              <w:spacing w:after="0"/>
              <w:rPr>
                <w:sz w:val="20"/>
                <w:szCs w:val="20"/>
                <w:color w:val="auto"/>
              </w:rPr>
            </w:pPr>
            <w:r>
              <w:rPr>
                <w:rFonts w:ascii="Arial" w:cs="Arial" w:eastAsia="Arial" w:hAnsi="Arial"/>
                <w:sz w:val="11"/>
                <w:szCs w:val="11"/>
                <w:color w:val="auto"/>
                <w:w w:val="83"/>
              </w:rPr>
              <w:t>4.85</w:t>
            </w:r>
          </w:p>
        </w:tc>
        <w:tc>
          <w:tcPr>
            <w:tcW w:w="160" w:type="dxa"/>
            <w:vAlign w:val="bottom"/>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14,551</w:t>
            </w:r>
          </w:p>
        </w:tc>
        <w:tc>
          <w:tcPr>
            <w:tcW w:w="12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649</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ind w:left="240"/>
              <w:spacing w:after="0"/>
              <w:rPr>
                <w:sz w:val="20"/>
                <w:szCs w:val="20"/>
                <w:color w:val="auto"/>
              </w:rPr>
            </w:pPr>
            <w:r>
              <w:rPr>
                <w:rFonts w:ascii="Arial" w:cs="Arial" w:eastAsia="Arial" w:hAnsi="Arial"/>
                <w:sz w:val="11"/>
                <w:szCs w:val="11"/>
                <w:color w:val="auto"/>
              </w:rPr>
              <w:t>25.57</w:t>
            </w:r>
          </w:p>
        </w:tc>
        <w:tc>
          <w:tcPr>
            <w:tcW w:w="620" w:type="dxa"/>
            <w:vAlign w:val="bottom"/>
          </w:tcPr>
          <w:p>
            <w:pPr>
              <w:jc w:val="center"/>
              <w:ind w:left="18"/>
              <w:spacing w:after="0"/>
              <w:rPr>
                <w:sz w:val="20"/>
                <w:szCs w:val="20"/>
                <w:color w:val="auto"/>
              </w:rPr>
            </w:pPr>
            <w:r>
              <w:rPr>
                <w:rFonts w:ascii="Arial" w:cs="Arial" w:eastAsia="Arial" w:hAnsi="Arial"/>
                <w:sz w:val="11"/>
                <w:szCs w:val="11"/>
                <w:color w:val="auto"/>
                <w:w w:val="83"/>
              </w:rPr>
              <w:t>5.58</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1"/>
                <w:szCs w:val="11"/>
                <w:color w:val="auto"/>
              </w:rPr>
              <w:t>25,618</w:t>
            </w:r>
          </w:p>
        </w:tc>
        <w:tc>
          <w:tcPr>
            <w:tcW w:w="12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1"/>
                <w:szCs w:val="11"/>
                <w:color w:val="auto"/>
              </w:rPr>
              <w:t>921</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22.05</w:t>
            </w:r>
          </w:p>
        </w:tc>
        <w:tc>
          <w:tcPr>
            <w:tcW w:w="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1"/>
                <w:szCs w:val="11"/>
                <w:color w:val="auto"/>
                <w:w w:val="83"/>
              </w:rPr>
              <w:t>6.08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35"/>
              <w:spacing w:after="0"/>
              <w:rPr>
                <w:sz w:val="20"/>
                <w:szCs w:val="20"/>
                <w:color w:val="auto"/>
              </w:rPr>
            </w:pPr>
            <w:r>
              <w:rPr>
                <w:rFonts w:ascii="Arial" w:cs="Arial" w:eastAsia="Arial" w:hAnsi="Arial"/>
                <w:sz w:val="11"/>
                <w:szCs w:val="11"/>
                <w:color w:val="auto"/>
              </w:rPr>
              <w:t>14,791</w:t>
            </w: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8"/>
        </w:trPr>
        <w:tc>
          <w:tcPr>
            <w:tcW w:w="252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493</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25.03</w:t>
            </w:r>
          </w:p>
        </w:tc>
        <w:tc>
          <w:tcPr>
            <w:tcW w:w="7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4.51</w:t>
            </w:r>
          </w:p>
        </w:tc>
        <w:tc>
          <w:tcPr>
            <w:tcW w:w="1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12,979</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421</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23.84</w:t>
            </w:r>
          </w:p>
        </w:tc>
        <w:tc>
          <w:tcPr>
            <w:tcW w:w="620" w:type="dxa"/>
            <w:vAlign w:val="bottom"/>
            <w:shd w:val="clear" w:color="auto" w:fill="CCEEFF"/>
          </w:tcPr>
          <w:p>
            <w:pPr>
              <w:jc w:val="center"/>
              <w:ind w:left="18"/>
              <w:spacing w:after="0"/>
              <w:rPr>
                <w:sz w:val="20"/>
                <w:szCs w:val="20"/>
                <w:color w:val="auto"/>
              </w:rPr>
            </w:pPr>
            <w:r>
              <w:rPr>
                <w:rFonts w:ascii="Arial" w:cs="Arial" w:eastAsia="Arial" w:hAnsi="Arial"/>
                <w:sz w:val="11"/>
                <w:szCs w:val="11"/>
                <w:color w:val="auto"/>
                <w:w w:val="83"/>
              </w:rPr>
              <w:t>4.87</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17,345</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671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22.62</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3"/>
              </w:rPr>
              <w:t>5.14</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1"/>
                <w:szCs w:val="11"/>
                <w:color w:val="auto"/>
              </w:rPr>
              <w:t>10,388</w:t>
            </w:r>
          </w:p>
        </w:tc>
      </w:tr>
      <w:tr>
        <w:trPr>
          <w:trHeight w:val="22"/>
        </w:trPr>
        <w:tc>
          <w:tcPr>
            <w:tcW w:w="2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2"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2015, 2014, and 2013 and the exercise price, multiplied by the number of in-the-money options) that would have been received by the option holders had they all exercised their options on December 31, 2015, 2014, and 2013. This amount will change based on the fair market value of our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2015, 2014, and 2013, there were no modifications made to outstanding stock options.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Cash received from option exercises for the years ended December 31, 2015, 2014, and 2013 was $1.7 million, $8.1 million, and $12.4 million, respectively. The actual tax benefit realized from option exercises was $0.5 million, $3.1 million and $2.3 million for the years ended December 31, 2015, 2014, and 2013,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2015 and the related weighted average exercise price and life information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17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$17.60 to $21.95</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24.91 to 29.25</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35.28 to 35.35</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51.38 to 65.54</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78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64.81</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493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2015, we expect to recognize $2.1 million of total unrecognized pre-tax stock-based compensation expense related to non-vested stock options over a remaining weighted-average life of 1.8 years.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18" w:right="2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2016, certain executive employees were granted 93,135 stock options in connection with the 2015 annual review cycle. The options were granted as part of long-term incentive compensation to assist us in meeting our performance and retention objectives and are subject to a three-year vesting period (33.33% on January 1, 2017 and 8.33% each quarter thereafter). The total grant date fair value of these awards was $1.8 million.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10, 2016, members of the board of directors were granted 150,000 stock options. The options are subject to a three-year vesting period (33.33% per year beginning on February 10, 2017). The total grant date fair value of these awards was $2.6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Weighted-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Granted</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beginning of the year</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280" w:type="dxa"/>
            <w:vAlign w:val="bottom"/>
            <w:gridSpan w:val="3"/>
          </w:tcPr>
          <w:p>
            <w:pPr>
              <w:jc w:val="right"/>
              <w:ind w:right="48"/>
              <w:spacing w:after="0"/>
              <w:rPr>
                <w:sz w:val="20"/>
                <w:szCs w:val="20"/>
                <w:color w:val="auto"/>
              </w:rPr>
            </w:pPr>
            <w:r>
              <w:rPr>
                <w:rFonts w:ascii="Arial" w:cs="Arial" w:eastAsia="Arial" w:hAnsi="Arial"/>
                <w:sz w:val="18"/>
                <w:szCs w:val="18"/>
                <w:color w:val="auto"/>
              </w:rPr>
              <w:t>24.64</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51.29</w:t>
            </w: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280" w:type="dxa"/>
            <w:vAlign w:val="bottom"/>
            <w:gridSpan w:val="3"/>
          </w:tcPr>
          <w:p>
            <w:pPr>
              <w:jc w:val="right"/>
              <w:ind w:right="48"/>
              <w:spacing w:after="0"/>
              <w:rPr>
                <w:sz w:val="20"/>
                <w:szCs w:val="20"/>
                <w:color w:val="auto"/>
              </w:rPr>
            </w:pPr>
            <w:r>
              <w:rPr>
                <w:rFonts w:ascii="Arial" w:cs="Arial" w:eastAsia="Arial" w:hAnsi="Arial"/>
                <w:sz w:val="18"/>
                <w:szCs w:val="18"/>
                <w:color w:val="auto"/>
              </w:rPr>
              <w:t>25.78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63.19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37.78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end of the year</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51.31</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0" w:type="dxa"/>
            <w:vAlign w:val="bottom"/>
            <w:tcBorders>
              <w:top w:val="single" w:sz="8" w:color="auto"/>
            </w:tcBorders>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39.28</w:t>
            </w:r>
          </w:p>
        </w:tc>
        <w:tc>
          <w:tcPr>
            <w:tcW w:w="11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2015, we expect to recognize $10.7 million of total unrecognized pre-tax stock-based compensation expense related to non-vested restricted stock awards over a weighted-average life of 2.1 years.</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 2016, certain executive employees were granted 34,060 restricted stock awards in connection with the 2015 annual review cycle. The awards were granted as part of long-term incentive compensation to assist us in meeting our performance and retention objectives and are subject to a three-year vesting period (33.33% on January 1, 2017 and 8.33% each quarter thereafter). The total grant date fair value of these awards was $1.8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1998, 1999, 2002, 2003, 2006, 2010 and 2014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four-year time frame. Stock options have a maximum ten-year term. Restricted stock awards vest in various proportions over a one- to three-year time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Initial Shares</w:t>
            </w:r>
          </w:p>
        </w:tc>
        <w:tc>
          <w:tcPr>
            <w:tcW w:w="22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1"/>
              </w:rPr>
              <w:t>Remaining Shares</w:t>
            </w: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vMerge w:val="restart"/>
          </w:tcPr>
          <w:p>
            <w:pPr>
              <w:spacing w:after="0"/>
              <w:rPr>
                <w:sz w:val="12"/>
                <w:szCs w:val="12"/>
                <w:color w:val="auto"/>
              </w:rPr>
            </w:pPr>
          </w:p>
        </w:tc>
        <w:tc>
          <w:tcPr>
            <w:tcW w:w="1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220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1998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5/27/1998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630,000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1999A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10/7/1999</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2002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2/5/2002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2003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6/18/2003</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2006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6/13/2006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2010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6/15/2010</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379,673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6/12/2014</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821,820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209,180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835,039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872,831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17 — Other Income (Expense), Net</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w w:val="98"/>
              </w:rPr>
              <w:t>Other income (expense), net consisted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Net gain (loss) on foreign currency exchange contracts</w:t>
            </w:r>
            <w:r>
              <w:rPr>
                <w:rFonts w:ascii="Arial" w:cs="Arial" w:eastAsia="Arial" w:hAnsi="Arial"/>
                <w:sz w:val="25"/>
                <w:szCs w:val="25"/>
                <w:color w:val="auto"/>
                <w:w w:val="94"/>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294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w w:val="93"/>
              </w:rPr>
              <w:t>Net gain (loss) on foreign currency exchange transactions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19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29,174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32,534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22,963</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29,174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32,534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22,963</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18" w:right="23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Japanese Yen and Mexican Peso.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2015</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2014</w:t>
            </w:r>
          </w:p>
        </w:tc>
        <w:tc>
          <w:tcPr>
            <w:tcW w:w="74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gridSpan w:val="2"/>
          </w:tcPr>
          <w:p>
            <w:pPr>
              <w:spacing w:after="0"/>
              <w:rPr>
                <w:sz w:val="22"/>
                <w:szCs w:val="22"/>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Balance</w:t>
            </w:r>
          </w:p>
        </w:tc>
      </w:tr>
      <w:tr>
        <w:trPr>
          <w:trHeight w:val="22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futures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(1,146)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$0.3 million, a net pre-tax loss of $0.5 million, and a net pre-tax gain of $0.9 million for the years ended December 31, 2015, 2014, and 2013,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Gain/(Loss) Recorded</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Forward Rate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6.2565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15, 2016</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Brazilian Real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3.7461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15, 2016</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3.9503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15, 2016</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2014</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1.2450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23, 2015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2014</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6.2757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16, 2015</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2014</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2.3401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16, 2015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Brazilian Real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2.5442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January 16, 2015</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540" w:hanging="328"/>
        <w:spacing w:after="0" w:line="216"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$0.9 million, $0.8 million and $0.7 million of expense for company contributions for the years ended December 31, 2015, 2014, and 2013, respectively.</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18"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purchase price of $24.1 million was comprised of $12.9 million in cash and $11.2 million of contingent consideration. Additionally, we incurred $0.2 million in acquisition costs, consisting primarily of legal and accounting expenses, which are included within selling, general and administrative expenses for the year ended December 31, 2015. The acquisition of these assets will allow us to extend our product offerings to include home security and automation products previously marketed by Ecolink and to sell these products to our existing customers.</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has determined that we are the primary beneficiary of Encore due to our ability to direct the activities that most significantly impact the economic performance of Encore, and thus we have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 The carrying amount of Encore's assets and liabilities consolidated at December 31, 2015 did not materially change from the opening balances at the acquisition date. The operations of Encore are financed through cash flows from operations, and we do not intend to provide support to Encore beyond our respective ownership obligation. Furthermore, the creditors of Encore do not have any recourse to our general credit.</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consolidated income statement for the the year ended December 31, 2015 includes net sales of $1.6 million and a net loss of $1.0 million attributable to Ecolink for the period commencing on August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required to make additional earnout payments upon the achievement of certain operating income levels attributable to Ecolink over each of the next 5 years. The amount of contingent consideration has no upper limit and is calculated at the end of each calendar year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During the period subsequent to the acquisition date, the fair value of the earnout contingent consideration was increased by $0.6 million to $11.8 million, primarily to reflect accretion driven by the time value of money, and this adjustment was recorded within selling, general and administrative expenses for the year ended December 31, 2015. The fair value of the earnout consideration liability is presented as long-term contingent consideration in our consolidated balance sheet at December 31,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7"/>
              </w:rPr>
              <w:t>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7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0" w:type="dxa"/>
            <w:vAlign w:val="bottom"/>
            <w:tcBorders>
              <w:bottom w:val="single" w:sz="8" w:color="CCEEFF"/>
            </w:tcBorders>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89"/>
              </w:rPr>
              <w:t>4-14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5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7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12,949</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Ecolink’s trade name.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133"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color w:val="auto"/>
        </w:rPr>
        <w:t xml:space="preserve">The trade name, developed technology and customer relationships intangible assets are expected to be deductible for income tax purposes. </w:t>
      </w:r>
      <w:r>
        <w:rPr>
          <w:rFonts w:ascii="Arial" w:cs="Arial" w:eastAsia="Arial" w:hAnsi="Arial"/>
          <w:sz w:val="18"/>
          <w:szCs w:val="18"/>
          <w:i w:val="1"/>
          <w:iCs w:val="1"/>
          <w:color w:val="auto"/>
        </w:rPr>
        <w:t>Pro Forma Results (Unaudited)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Ecolink as if this transaction had occurred on January 1, 2014. This unaudited pro forma financial information is not intended to represent or be indicative of the consolidated results of operations that would have been achieved had the acquisition actually been completed as of January 1, 2014, and should not be taken as a projection of the future consolidated results of our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606,872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569,804</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28,947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31,861</w:t>
            </w:r>
          </w:p>
        </w:tc>
      </w:tr>
      <w:tr>
        <w:trPr>
          <w:trHeight w:val="27"/>
        </w:trPr>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31,456</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1.99</w:t>
            </w:r>
          </w:p>
        </w:tc>
      </w:tr>
      <w:tr>
        <w:trPr>
          <w:trHeight w:val="27"/>
        </w:trPr>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r>
      <w:tr>
        <w:trPr>
          <w:trHeight w:val="27"/>
        </w:trPr>
        <w:tc>
          <w:tcPr>
            <w:tcW w:w="7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purposes of determining pro forma net income attributable to Universal Electronics Inc., adjustments were made to each period presented in the table above. The pro forma net income and net income attributable to Universal Electronics Inc. assumes that amortization of acquired intangible assets and of fair value adjustments related to inventories began at January 1, 2014 rather than on September 1, 2015. The result is a net increase in amortization expense of $1.3 million and $2.3 million for the years ended December 31, 2015 and 2014, respectively. Additionally, acquisition costs totaling $0.2 million are excluded from pro forma net income attributable to Universal Electronics Inc. All adjustments have been made net of their related tax effects.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2015</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147,551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162,110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42,809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46,251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9,335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9,339</w:t>
            </w: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attributable to Universal Electronics Inc.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0.65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r>
      <w:tr>
        <w:trPr>
          <w:trHeight w:val="521"/>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2014</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146,315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138,389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41,681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8,902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8,902</w:t>
            </w: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Earnings per share attributable to Universal Electronics Inc.</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0.56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20" w:hanging="328"/>
        <w:spacing w:after="0" w:line="227" w:lineRule="auto"/>
        <w:tabs>
          <w:tab w:leader="none" w:pos="66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issued common stock purchase warrants to Comcast Corporation ("Comcast") to purchase up to 725,000 shares of our common stock at a price of $54.55 per share. The right to exercise the warrants under this agreement is subject to vesting over three successive two-year periods (with the first two-year period commencing on January 1, 2016) based on the level of purchases of goods and services from us by Comcast and its affiliates, as defined in the warrant agreement. The table below presents the purchase levels and number of warrants that will vest in each period based upon achieving these purchase levels.</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2015.</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Universal Electronics Inc. (a Delaware corporation) (the "Company") as of December 31, 2015,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Company as of and for the year ended December 31, 2015, and our report dated March 11, 2016 expressed an unqualified opinion on those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2016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2016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2016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2016 Annual Meeting of Stockholders to be filed pursuant to Regulation 14A promulgated by the Securities and Exchange Commission under the Exchange Act.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2016 Annual Meeting of Stockholders to be filed pursuant to Regulation 14A promulgated by the Securities and Exchange Commission under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627,123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835,039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20,980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20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648,103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835,039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16" for a description of each of our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2016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2016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9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94"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in this Report on Form 10-K may obtain one from us upon request at a charge that reflects the reproduction cost of such Exhibits. Requests should be made to the Secretary, Universal Electronics Inc., 201 E. Sandpointe Avenue, 8th Floor, Santa Ana, California 92707.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Santa Ana, State of California.</w:t>
      </w: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2016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320" w:type="dxa"/>
            <w:vAlign w:val="bottom"/>
          </w:tcPr>
          <w:p>
            <w:pPr>
              <w:spacing w:after="0"/>
              <w:rPr>
                <w:sz w:val="16"/>
                <w:szCs w:val="16"/>
                <w:color w:val="auto"/>
              </w:rPr>
            </w:pPr>
          </w:p>
        </w:tc>
        <w:tc>
          <w:tcPr>
            <w:tcW w:w="2860" w:type="dxa"/>
            <w:vAlign w:val="bottom"/>
          </w:tcPr>
          <w:p>
            <w:pPr>
              <w:ind w:left="1000"/>
              <w:spacing w:after="0"/>
              <w:rPr>
                <w:sz w:val="20"/>
                <w:szCs w:val="20"/>
                <w:color w:val="auto"/>
              </w:rPr>
            </w:pPr>
            <w:r>
              <w:rPr>
                <w:rFonts w:ascii="Arial" w:cs="Arial" w:eastAsia="Arial" w:hAnsi="Arial"/>
                <w:sz w:val="14"/>
                <w:szCs w:val="14"/>
                <w:b w:val="1"/>
                <w:bCs w:val="1"/>
                <w:color w:val="auto"/>
              </w:rPr>
              <w:t>SIGNATURE</w:t>
            </w:r>
          </w:p>
        </w:tc>
        <w:tc>
          <w:tcPr>
            <w:tcW w:w="1740" w:type="dxa"/>
            <w:vAlign w:val="bottom"/>
          </w:tcPr>
          <w:p>
            <w:pPr>
              <w:jc w:val="center"/>
              <w:ind w:left="53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0"/>
                <w:szCs w:val="20"/>
                <w:color w:val="auto"/>
              </w:rPr>
            </w:pPr>
            <w:r>
              <w:rPr>
                <w:rFonts w:ascii="Arial" w:cs="Arial" w:eastAsia="Arial" w:hAnsi="Arial"/>
                <w:sz w:val="18"/>
                <w:szCs w:val="18"/>
                <w:color w:val="auto"/>
              </w:rPr>
              <w:t>Paul D. Arling</w:t>
            </w: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740" w:type="dxa"/>
            <w:vAlign w:val="bottom"/>
          </w:tcPr>
          <w:p>
            <w:pPr>
              <w:jc w:val="center"/>
              <w:ind w:left="532"/>
              <w:spacing w:after="0"/>
              <w:rPr>
                <w:sz w:val="20"/>
                <w:szCs w:val="20"/>
                <w:color w:val="auto"/>
              </w:rPr>
            </w:pPr>
            <w:r>
              <w:rPr>
                <w:rFonts w:ascii="Arial" w:cs="Arial" w:eastAsia="Arial" w:hAnsi="Arial"/>
                <w:sz w:val="18"/>
                <w:szCs w:val="18"/>
                <w:color w:val="auto"/>
                <w:w w:val="89"/>
              </w:rPr>
              <w:t>March 11, 2016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color w:val="auto"/>
              </w:rPr>
              <w:t>77</w:t>
            </w:r>
          </w:p>
        </w:tc>
        <w:tc>
          <w:tcPr>
            <w:tcW w:w="28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140" w:type="dxa"/>
            <w:vAlign w:val="bottom"/>
            <w:gridSpan w:val="2"/>
          </w:tcPr>
          <w:p>
            <w:pPr>
              <w:ind w:left="4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7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47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180" w:right="20" w:hanging="591"/>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w:t>
      </w:r>
    </w:p>
    <w:p>
      <w:pPr>
        <w:spacing w:after="0" w:line="130" w:lineRule="exact"/>
        <w:rPr>
          <w:sz w:val="20"/>
          <w:szCs w:val="20"/>
          <w:color w:val="auto"/>
        </w:rPr>
      </w:pPr>
    </w:p>
    <w:p>
      <w:pPr>
        <w:jc w:val="both"/>
        <w:ind w:left="1180" w:right="20" w:hanging="591"/>
        <w:spacing w:after="0" w:line="277" w:lineRule="auto"/>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Universal Electronics Inc. (Incorporated by reference to Exhibit 3.2 to the Company's Form S-1 Registration filed on or about December 24, 1992 (File No. 33-56358))</w:t>
      </w:r>
    </w:p>
    <w:p>
      <w:pPr>
        <w:spacing w:after="0" w:line="130" w:lineRule="exact"/>
        <w:rPr>
          <w:sz w:val="20"/>
          <w:szCs w:val="20"/>
          <w:color w:val="auto"/>
        </w:rPr>
      </w:pPr>
    </w:p>
    <w:p>
      <w:pPr>
        <w:jc w:val="both"/>
        <w:ind w:left="1180" w:right="20" w:hanging="591"/>
        <w:spacing w:after="0" w:line="308" w:lineRule="auto"/>
        <w:tabs>
          <w:tab w:leader="none" w:pos="11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Certificate of Amendment to Restated Certificate of Incorporation of Universal Electronics Inc. (Incorporated by reference to Exhibit 3.3 to the Company's Annual Report on Form 10-K for the year ended December 31, 1995 filed on April 1, 1996 (File No. 0-21044))</w:t>
      </w:r>
    </w:p>
    <w:p>
      <w:pPr>
        <w:spacing w:after="0" w:line="106" w:lineRule="exact"/>
        <w:rPr>
          <w:sz w:val="20"/>
          <w:szCs w:val="20"/>
          <w:color w:val="auto"/>
        </w:rPr>
      </w:pPr>
    </w:p>
    <w:p>
      <w:pPr>
        <w:jc w:val="both"/>
        <w:ind w:left="1180" w:hanging="591"/>
        <w:spacing w:after="0" w:line="25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w:t>
      </w:r>
    </w:p>
    <w:p>
      <w:pPr>
        <w:spacing w:after="0" w:line="148"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10.25 to the Company's Annual Report on Form 10-K for the year ended December 31, 1997, filed on March 30, 1998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w:t>
      </w:r>
    </w:p>
    <w:p>
      <w:pPr>
        <w:spacing w:after="0" w:line="141" w:lineRule="exact"/>
        <w:rPr>
          <w:sz w:val="20"/>
          <w:szCs w:val="20"/>
          <w:color w:val="auto"/>
        </w:rPr>
      </w:pPr>
    </w:p>
    <w:p>
      <w:pPr>
        <w:jc w:val="both"/>
        <w:ind w:left="1180" w:right="20" w:hanging="803"/>
        <w:spacing w:after="0" w:line="308"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Universal Electronics Inc. 1998 Stock Incentive Plan (Incorporated by reference to Exhibit A to the Company's Definitive Proxy Materials for the 1998 Annual Meeting of Stockholders of Universal Electronics Inc. filed on April 20, 1998 (File No. 0-21044))</w:t>
      </w:r>
    </w:p>
    <w:p>
      <w:pPr>
        <w:spacing w:after="0" w:line="106" w:lineRule="exact"/>
        <w:rPr>
          <w:sz w:val="20"/>
          <w:szCs w:val="20"/>
          <w:color w:val="auto"/>
        </w:rPr>
      </w:pPr>
    </w:p>
    <w:p>
      <w:pPr>
        <w:jc w:val="both"/>
        <w:ind w:left="1180" w:hanging="803"/>
        <w:spacing w:after="0" w:line="312"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1998 Stock Incentive Plan (Incorporated by reference to Exhibit 10.24 to the Company's Annual Report on Form 10-K for the year ended December 31, 1998 filed on March 31, 1999 (File No. 0-21044))</w:t>
      </w:r>
    </w:p>
    <w:p>
      <w:pPr>
        <w:spacing w:after="0" w:line="106"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Universal Electronics Inc. 1999A Nonqualified Stock Plan effective October 7, 1999 and subsequently amended February 1, 2000 (Incorporated by reference to Exhibit 10.42 to the Company's Annual Report on Form 10-K for the year ended December 31, 1999 filed on March 30, 2000 (File No. 0-21044))</w:t>
      </w:r>
    </w:p>
    <w:p>
      <w:pPr>
        <w:spacing w:after="0" w:line="141" w:lineRule="exact"/>
        <w:rPr>
          <w:sz w:val="20"/>
          <w:szCs w:val="20"/>
          <w:color w:val="auto"/>
        </w:rPr>
      </w:pPr>
    </w:p>
    <w:p>
      <w:pPr>
        <w:jc w:val="both"/>
        <w:ind w:left="1180" w:right="20" w:hanging="803"/>
        <w:spacing w:after="0" w:line="312"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w:t>
      </w:r>
    </w:p>
    <w:p>
      <w:pPr>
        <w:spacing w:after="0" w:line="106" w:lineRule="exact"/>
        <w:rPr>
          <w:sz w:val="20"/>
          <w:szCs w:val="20"/>
          <w:color w:val="auto"/>
        </w:rPr>
      </w:pPr>
    </w:p>
    <w:p>
      <w:pPr>
        <w:jc w:val="both"/>
        <w:ind w:left="1180" w:right="20" w:hanging="803"/>
        <w:spacing w:after="0" w:line="277" w:lineRule="auto"/>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Universal Electronics Inc. 2002 Stock Incentive Plan (Incorporated by reference to Exhibit 10.49 to the Company's Quarterly Report on Form 10-Q for the quarter ended June 30, 2002 filed on August 14, 2002 (File No. 0-21044))</w:t>
      </w:r>
    </w:p>
    <w:p>
      <w:pPr>
        <w:spacing w:after="0" w:line="130" w:lineRule="exact"/>
        <w:rPr>
          <w:sz w:val="20"/>
          <w:szCs w:val="20"/>
          <w:color w:val="auto"/>
        </w:rPr>
      </w:pPr>
    </w:p>
    <w:p>
      <w:pPr>
        <w:jc w:val="both"/>
        <w:ind w:left="1180" w:hanging="803"/>
        <w:spacing w:after="0" w:line="259" w:lineRule="auto"/>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Stock Option Agreement by and between Universal Electronics Inc. and certain directors, officers and other employees used in connection with options granted to the employees pursuant to the Universal Electronics Inc. 2002 Stock Incentive Plan (Incorporated by reference to Exhibit 10.50 to the Company's Quarterly Report on Form 10-Q for the quarter ended June 30, 2002 filed on August 14, 2002 (File No. 0-21044))</w:t>
      </w:r>
    </w:p>
    <w:p>
      <w:pPr>
        <w:spacing w:after="0" w:line="146" w:lineRule="exact"/>
        <w:rPr>
          <w:sz w:val="20"/>
          <w:szCs w:val="20"/>
          <w:color w:val="auto"/>
        </w:rPr>
      </w:pPr>
    </w:p>
    <w:p>
      <w:pPr>
        <w:jc w:val="both"/>
        <w:ind w:left="1180" w:hanging="848"/>
        <w:spacing w:after="0" w:line="308" w:lineRule="auto"/>
        <w:tabs>
          <w:tab w:leader="none" w:pos="11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Form of Universal Electronics Inc. 2003 Stock Incentive Plan (Incorporated by reference to Appendix B to the Company's Definitive Proxy Materials for the 2003 Annual Meeting of Stockholders of Universal Electronics Inc. filed on April 28, 2003 (File No. 0-21044))</w:t>
      </w:r>
    </w:p>
    <w:p>
      <w:pPr>
        <w:spacing w:after="0" w:line="106" w:lineRule="exact"/>
        <w:rPr>
          <w:sz w:val="20"/>
          <w:szCs w:val="20"/>
          <w:color w:val="auto"/>
        </w:rPr>
      </w:pPr>
    </w:p>
    <w:p>
      <w:pPr>
        <w:jc w:val="both"/>
        <w:ind w:left="1180" w:hanging="844"/>
        <w:spacing w:after="0" w:line="264" w:lineRule="auto"/>
        <w:tabs>
          <w:tab w:leader="none" w:pos="11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p>
    <w:p>
      <w:pPr>
        <w:sectPr>
          <w:pgSz w:w="11900" w:h="16838" w:orient="portrait"/>
          <w:cols w:equalWidth="0" w:num="1">
            <w:col w:w="11400"/>
          </w:cols>
          <w:pgMar w:left="240" w:top="118" w:right="25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18" w:right="25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3340" w:type="dxa"/>
            <w:vAlign w:val="bottom"/>
          </w:tcPr>
          <w:p>
            <w:pPr>
              <w:jc w:val="center"/>
              <w:ind w:right="208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108"/>
              <w:spacing w:after="0"/>
              <w:rPr>
                <w:sz w:val="20"/>
                <w:szCs w:val="20"/>
                <w:color w:val="auto"/>
              </w:rPr>
            </w:pPr>
            <w:r>
              <w:rPr>
                <w:rFonts w:ascii="Arial" w:cs="Arial" w:eastAsia="Arial" w:hAnsi="Arial"/>
                <w:sz w:val="14"/>
                <w:szCs w:val="14"/>
                <w:b w:val="1"/>
                <w:bCs w:val="1"/>
                <w:u w:val="single" w:color="auto"/>
                <w:color w:val="auto"/>
                <w:w w:val="98"/>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w:t>
      </w:r>
    </w:p>
    <w:p>
      <w:pPr>
        <w:spacing w:after="0" w:line="141" w:lineRule="exact"/>
        <w:rPr>
          <w:sz w:val="20"/>
          <w:szCs w:val="20"/>
          <w:color w:val="auto"/>
        </w:rPr>
      </w:pPr>
    </w:p>
    <w:p>
      <w:pPr>
        <w:jc w:val="both"/>
        <w:ind w:left="1180" w:hanging="848"/>
        <w:spacing w:after="0" w:line="308" w:lineRule="auto"/>
        <w:tabs>
          <w:tab w:leader="none" w:pos="11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Form of Universal Electronics Inc. 2006 Stock Incentive Plan (Incorporated by reference to Appendix C to the Company's Definitive Proxy Materials for the 2006 Annual Meeting of Stockholders of Universal Electronics Inc. filed on April 26, 2006 (File No. 0-21044))</w:t>
      </w:r>
    </w:p>
    <w:p>
      <w:pPr>
        <w:spacing w:after="0" w:line="106" w:lineRule="exact"/>
        <w:rPr>
          <w:sz w:val="20"/>
          <w:szCs w:val="20"/>
          <w:color w:val="auto"/>
        </w:rPr>
      </w:pPr>
    </w:p>
    <w:p>
      <w:pPr>
        <w:jc w:val="both"/>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Lease dated January 31, 2007 between FirstCal Industrial 2 Acquisition, LLC and Universal Electronics Inc. (Incorporated by reference to Exhibit 10.26 to the Company's Annual Report on Form 10-K for the year ended December 31, 2006 filed on March 16, 2007 (File No. 0-21044))</w:t>
      </w:r>
    </w:p>
    <w:p>
      <w:pPr>
        <w:spacing w:after="0" w:line="141" w:lineRule="exact"/>
        <w:rPr>
          <w:sz w:val="20"/>
          <w:szCs w:val="20"/>
          <w:color w:val="auto"/>
        </w:rPr>
      </w:pPr>
    </w:p>
    <w:p>
      <w:pPr>
        <w:jc w:val="both"/>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0-21044))</w:t>
      </w:r>
    </w:p>
    <w:p>
      <w:pPr>
        <w:spacing w:after="0" w:line="141" w:lineRule="exact"/>
        <w:rPr>
          <w:sz w:val="20"/>
          <w:szCs w:val="20"/>
          <w:color w:val="auto"/>
        </w:rPr>
      </w:pPr>
    </w:p>
    <w:p>
      <w:pPr>
        <w:jc w:val="both"/>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Restricted Stock Unit Agreement (Incorporated herein by reference to Exhibit 4.5 to the Company's Form S-8 Registration Statement filed on March 27, 2008 (File No. 333-149926))</w:t>
      </w:r>
    </w:p>
    <w:p>
      <w:pPr>
        <w:spacing w:after="0" w:line="130"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Pledge Agreement dated November 1, 2010 between UEI Hong Kong Private Limited and Enson Assets Limited to U.S. Bank National Association (Incorporated by reference to Exhibit 10.30 to the Company's Annual Report on Form 10-K for the year ended December 31, 2010 filed on March 16, 2011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Security Agreement dated November 1, 2010 from Universal Electronics Inc. to U.S. Bank National Association (Incorporated by reference to Exhibit 10.31 to the Company's Annual Report on Form 10-K for the year ended December 31, 2010 filed on March 16, 2011 (File No. 0-21044))</w:t>
      </w:r>
    </w:p>
    <w:p>
      <w:pPr>
        <w:spacing w:after="0" w:line="141"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Universal Electronics Inc. 2010 Stock Incentive Plan (Incorporated by reference to Appendix C to the Company's Proxy Statement for its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2010 Annual Meeting of Stockholders filed on April 30, 2010 (File No. 0-21044))</w:t>
      </w:r>
    </w:p>
    <w:p>
      <w:pPr>
        <w:spacing w:after="0" w:line="170" w:lineRule="exact"/>
        <w:rPr>
          <w:sz w:val="20"/>
          <w:szCs w:val="20"/>
          <w:color w:val="auto"/>
        </w:rPr>
      </w:pPr>
    </w:p>
    <w:p>
      <w:pPr>
        <w:jc w:val="both"/>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Option Agreement used in connection with the Universal Electronics Inc. 2010 Stock Incentive Plan (Incorporated by reference to Exhibit 4.6 to the Company's Registration Statement on Form S-8 filed on July 5, 2011 (File No. 333-175345))</w:t>
      </w:r>
    </w:p>
    <w:p>
      <w:pPr>
        <w:spacing w:after="0" w:line="130" w:lineRule="exact"/>
        <w:rPr>
          <w:sz w:val="20"/>
          <w:szCs w:val="20"/>
          <w:color w:val="auto"/>
        </w:rPr>
      </w:pPr>
    </w:p>
    <w:p>
      <w:pPr>
        <w:jc w:val="both"/>
        <w:ind w:left="1180" w:right="20" w:hanging="848"/>
        <w:spacing w:after="0" w:line="342" w:lineRule="auto"/>
        <w:tabs>
          <w:tab w:leader="none" w:pos="11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Restricted Stock Unit Agreement used in connection with the Universal Electronics Inc. 2010 Stock Incentive Plan (Incorporated by reference to Exhibit 4.7 to the Company's Registration Statement on Form S-8 filed on July 5, 2011 (File No. 333-175345))</w:t>
      </w:r>
    </w:p>
    <w:p>
      <w:pPr>
        <w:spacing w:after="0" w:line="97" w:lineRule="exact"/>
        <w:rPr>
          <w:sz w:val="20"/>
          <w:szCs w:val="20"/>
          <w:color w:val="auto"/>
        </w:rPr>
      </w:pPr>
    </w:p>
    <w:p>
      <w:pPr>
        <w:jc w:val="both"/>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Second Amendment to Executive Officer Employment Agreement dated February 29, 2008 by and between Universal Electronics Inc. and Paul D. Arling (Incorporated by reference to Exhibit 10.31 to the Company's Annual Report on Form 10-K for the year ended December 31, 2012 filed on March 14, 2013 (File No. 0-21044))</w:t>
      </w:r>
    </w:p>
    <w:p>
      <w:pPr>
        <w:spacing w:after="0" w:line="141" w:lineRule="exact"/>
        <w:rPr>
          <w:sz w:val="20"/>
          <w:szCs w:val="20"/>
          <w:color w:val="auto"/>
        </w:rPr>
      </w:pPr>
    </w:p>
    <w:p>
      <w:pPr>
        <w:jc w:val="both"/>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Acknowledgment and Agreement of Pledgor dated October 26, 2011 from UEI Hong Kong Private Limited (Incorporated by reference to Exhibit 10.36 to the Company's Annual Report on Form 10-K for the year ended December 31, 2011 filed on March 14, 2012 (File No. 0-21044))</w:t>
      </w:r>
    </w:p>
    <w:p>
      <w:pPr>
        <w:spacing w:after="0" w:line="141" w:lineRule="exact"/>
        <w:rPr>
          <w:sz w:val="20"/>
          <w:szCs w:val="20"/>
          <w:color w:val="auto"/>
        </w:rPr>
      </w:pPr>
    </w:p>
    <w:p>
      <w:pPr>
        <w:jc w:val="both"/>
        <w:ind w:left="1180" w:right="20" w:hanging="803"/>
        <w:spacing w:after="0" w:line="342" w:lineRule="auto"/>
        <w:tabs>
          <w:tab w:leader="none" w:pos="11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Standard Office Lease between Universal Electronics Inc. and The Realty Associates Fund VIII, L.P., dated May 11, 2012 (Incorporated by references to Exhibit 10.1 to the Company's Current Report on Form 8-K dated May 11, 2012 filed on May 18, 2012 (File No. 0-21044))</w:t>
      </w:r>
    </w:p>
    <w:p>
      <w:pPr>
        <w:spacing w:after="0" w:line="83"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Credit Agreement dated October 2, 2012 between Universal Electronics Inc. and U.S. Bank National Association (Incorporated by reference to Exhibit 10.36 to the Company's Annual Report on Form 10-K for the year ended December 31, 2012 filed on March 14, 2013 (File No. 0-21044))</w:t>
      </w:r>
    </w:p>
    <w:p>
      <w:pPr>
        <w:spacing w:after="0" w:line="141" w:lineRule="exact"/>
        <w:rPr>
          <w:sz w:val="20"/>
          <w:szCs w:val="20"/>
          <w:color w:val="auto"/>
        </w:rPr>
      </w:pPr>
    </w:p>
    <w:p>
      <w:pPr>
        <w:jc w:val="both"/>
        <w:ind w:left="1180" w:right="20" w:hanging="848"/>
        <w:spacing w:after="0" w:line="277" w:lineRule="auto"/>
        <w:tabs>
          <w:tab w:leader="none" w:pos="11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Summary of Universal Electronics Inc. 2013 Director Compensation (Incorporated by reference to Exhibit 10.34 to the Company's Annual Report on 10-K for the year ended December 31, 2013 filed on March 12, 2014 (File No. 0-21044))</w:t>
      </w:r>
    </w:p>
    <w:p>
      <w:pPr>
        <w:spacing w:after="0" w:line="130" w:lineRule="exact"/>
        <w:rPr>
          <w:sz w:val="20"/>
          <w:szCs w:val="20"/>
          <w:color w:val="auto"/>
        </w:rPr>
      </w:pPr>
    </w:p>
    <w:p>
      <w:pPr>
        <w:jc w:val="both"/>
        <w:ind w:left="1180" w:hanging="848"/>
        <w:spacing w:after="0" w:line="264" w:lineRule="auto"/>
        <w:tabs>
          <w:tab w:leader="none" w:pos="11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Universal Electronics Inc. 2003 Stock Incentive Plan, Universal Electronics Inc. Compensation Plan for Outside Members of the Board of Directors (2001), and Universal Electronics Inc. 2004 Directors' Compensation Plan (Incorporated by reference to the Company's Registration Statement on Form S-8 filed on March 12, 2014 (File No. 333-194511))</w:t>
      </w:r>
    </w:p>
    <w:p>
      <w:pPr>
        <w:spacing w:after="0" w:line="141" w:lineRule="exact"/>
        <w:rPr>
          <w:sz w:val="20"/>
          <w:szCs w:val="20"/>
          <w:color w:val="auto"/>
        </w:rPr>
      </w:pPr>
    </w:p>
    <w:p>
      <w:pPr>
        <w:jc w:val="both"/>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Universal Electronics Inc. 2014 Stock Incentive Plan (Incorporated by reference to Exhibit 4.5 to the Company's Registration Statement on Form S-8 filed on August 12, 2014 (File No. 333-198083))</w:t>
      </w:r>
    </w:p>
    <w:p>
      <w:pPr>
        <w:sectPr>
          <w:pgSz w:w="11900" w:h="16838" w:orient="portrait"/>
          <w:cols w:equalWidth="0" w:num="1">
            <w:col w:w="11400"/>
          </w:cols>
          <w:pgMar w:left="240" w:top="118" w:right="25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118" w:right="2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320" w:type="dxa"/>
            <w:vAlign w:val="bottom"/>
          </w:tcPr>
          <w:p>
            <w:pPr>
              <w:spacing w:after="0"/>
              <w:rPr>
                <w:sz w:val="24"/>
                <w:szCs w:val="2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4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00" w:type="dxa"/>
            <w:vAlign w:val="bottom"/>
            <w:gridSpan w:val="2"/>
          </w:tcPr>
          <w:p>
            <w:pPr>
              <w:spacing w:after="0"/>
              <w:rPr>
                <w:sz w:val="13"/>
                <w:szCs w:val="13"/>
                <w:color w:val="auto"/>
              </w:rPr>
            </w:pPr>
          </w:p>
        </w:tc>
        <w:tc>
          <w:tcPr>
            <w:tcW w:w="44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4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2"/>
              </w:rPr>
              <w:t>*10.29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3"/>
              </w:rPr>
              <w:t>Form of Option Agreement used in connection with the Universal Electronics Inc. 2014 Stock Incentive Plan (Incorporated by reference to</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Exhibit 4.6 to the Company's Registration Statement on Form S-8 filed on August 12, 2014 (File No. 333-198083))</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2"/>
              </w:rPr>
              <w:t>*10.30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2"/>
              </w:rPr>
              <w:t>Form of Restricted Stock Unit Agreement used in connection with the Universal Electronics Inc. 2014 Stock Incentive Plan (Incorporated by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reference to Exhibit 4.7 to the Company's Registration Statement on Form S-8 filed on August 12, 2014 (File No. 333-198083))</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2"/>
              </w:rPr>
              <w:t>*10.31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4"/>
              </w:rPr>
              <w:t>First Amendment to Amended and Restated Credit Agreement dated October 9, 2014 between Universal Electronics Inc. and U.S. Bank</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8"/>
              </w:rPr>
              <w:t>National Association (Incorporated by reference to Exhibit 10.31 to the Company's Annual Report on Form 10-K for the year ended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December 31, 2014 filed on March 5, 2015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0"/>
              </w:rPr>
              <w:t>Second Amendment to Amended and Restated Credit Agreement dated September 3, 2015 between Universal Electronics Inc. and U.S. Bank</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5"/>
              </w:rPr>
              <w:t>National Association (Incorporated by reference to Exhibit 10.1 to the Company's Quarterly Report on Form 10-Q for the quarter ended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September 30, 2015 filed on November 6, 2015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1"/>
              </w:rPr>
              <w:t>Third Amendment to Amended and Restated Credit Agreement dated as of November 10, 2015 between Universal Electronics Inc. and U.S.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Bank National Association (filed herewith)</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10.34</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2"/>
              </w:rPr>
              <w:t>Fourth Amendment to Amended and Restated Credit Agreement dated as of February 3, 2016 between Universal Electronics Inc. and U.S.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Bank National Association (filed herewith)</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10.35</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5"/>
              </w:rPr>
              <w:t>Common Stock Purchase Warrant dated March 9, 2016 between Universal Electronics Inc. and Comcast Corporation (Incorporated by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5"/>
              </w:rPr>
              <w:t>references to Exhibit 4.1 to the Company's Current Report on Form 8-K dated March 9, 2016 filed on March 9, 2016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10.36</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7"/>
              </w:rPr>
              <w:t>Registration Rights Agreement dated March 9, 2016 between Universal Electronics Inc. and Comcast Corporation (Incorporated by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4"/>
              </w:rPr>
              <w:t>references to Exhibit 10.1 to the Company's Current Report on Form 8-K dated March 9, 2016 filed on March 9, 2016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14.1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 31,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2003 filed on March 14, 2004 (File No. 0-21044)</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21.1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23.1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Consent of Independent Registered Public Accounting Firm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24.1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31.2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7"/>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Section 1350 Certifications of the Chief Executive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32.2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8"/>
              </w:rPr>
              <w:t>Section 1350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2"/>
              </w:rPr>
              <w:t>101.INS</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3"/>
              </w:rPr>
              <w:t>101.SCH</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7"/>
              </w:rPr>
              <w:t>101.CAL</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0"/>
              </w:rPr>
              <w:t>101.DEF</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8"/>
              </w:rPr>
              <w:t>101.LAB</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88"/>
              </w:rPr>
              <w:t>101.PRE</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620" w:right="1780" w:hanging="4919"/>
        <w:spacing w:after="0" w:line="590" w:lineRule="auto"/>
        <w:tabs>
          <w:tab w:leader="none" w:pos="8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80</w:t>
      </w:r>
    </w:p>
    <w:p>
      <w:pPr>
        <w:sectPr>
          <w:pgSz w:w="11900" w:h="16838" w:orient="portrait"/>
          <w:cols w:equalWidth="0" w:num="1">
            <w:col w:w="11400"/>
          </w:cols>
          <w:pgMar w:left="240" w:top="114" w:right="2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Third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November 10, 2015,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59" w:lineRule="auto"/>
        <w:tabs>
          <w:tab w:leader="none" w:pos="10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and the Lender have entered into an Amended and Restated Credit Agreement dated as of October 2, 2012, as amended by the First Amendment to Amended and Restated Credit Agreement dated as of October 9, 2014 and the Second Amendment to Amended and Restated Credit Agreement dated as of September 3, 2015 (together, as amended, restated, supplemented, or otherwise modified prior to the date hereof,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7" w:lineRule="exact"/>
        <w:rPr>
          <w:sz w:val="20"/>
          <w:szCs w:val="20"/>
          <w:color w:val="auto"/>
        </w:rPr>
      </w:pPr>
    </w:p>
    <w:p>
      <w:pPr>
        <w:ind w:firstLine="656"/>
        <w:spacing w:after="0" w:line="277" w:lineRule="auto"/>
        <w:tabs>
          <w:tab w:leader="none" w:pos="10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the Credit Agreement, unless the context shall otherwise require.</w:t>
      </w:r>
    </w:p>
    <w:p>
      <w:pPr>
        <w:spacing w:after="0" w:line="16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Credit Agreement is hereby amended as follows:</w:t>
      </w:r>
    </w:p>
    <w:p>
      <w:pPr>
        <w:spacing w:after="0" w:line="239"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Section 1.1 of the Credit Agreement is amended by amending and restating the definition of “</w:t>
      </w:r>
      <w:r>
        <w:rPr>
          <w:rFonts w:ascii="Arial" w:cs="Arial" w:eastAsia="Arial" w:hAnsi="Arial"/>
          <w:sz w:val="18"/>
          <w:szCs w:val="18"/>
          <w:u w:val="single" w:color="auto"/>
          <w:color w:val="auto"/>
        </w:rPr>
        <w:t>Revolving Commitment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contained therein, to read in its entirety as follows:</w:t>
      </w:r>
    </w:p>
    <w:p>
      <w:pPr>
        <w:spacing w:after="0" w:line="166"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Amount</w:t>
      </w:r>
      <w:r>
        <w:rPr>
          <w:rFonts w:ascii="Arial" w:cs="Arial" w:eastAsia="Arial" w:hAnsi="Arial"/>
          <w:sz w:val="18"/>
          <w:szCs w:val="18"/>
          <w:color w:val="auto"/>
        </w:rPr>
        <w:t>”: $85,000,000, or such increased amount as agreed to between the Borrower and the Bank from time to time pursuant to Section 2.22 of this Agreement.</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and Effectiveness</w:t>
      </w:r>
      <w:r>
        <w:rPr>
          <w:rFonts w:ascii="Arial" w:cs="Arial" w:eastAsia="Arial" w:hAnsi="Arial"/>
          <w:sz w:val="18"/>
          <w:szCs w:val="18"/>
          <w:color w:val="auto"/>
        </w:rPr>
        <w:t>. This Amendment shall become effective only upon satisfaction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The Borrower shall have duly executed and delivered to the Lender this Amendment.</w:t>
      </w:r>
    </w:p>
    <w:p>
      <w:pPr>
        <w:spacing w:after="0" w:line="26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Borrower shall have delivered to the Lender a certification by the Secretary or Assistant Secretary of the Borrower certifying as to</w:t>
      </w:r>
    </w:p>
    <w:p>
      <w:pPr>
        <w:spacing w:after="0" w:line="54" w:lineRule="exact"/>
        <w:rPr>
          <w:sz w:val="20"/>
          <w:szCs w:val="20"/>
          <w:color w:val="auto"/>
        </w:rPr>
      </w:pPr>
    </w:p>
    <w:p>
      <w:pPr>
        <w:jc w:val="both"/>
        <w:ind w:firstLine="8"/>
        <w:spacing w:after="0" w:line="306" w:lineRule="auto"/>
        <w:tabs>
          <w:tab w:leader="none" w:pos="2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8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Borrower shall have satisfied any other conditions as specified by the Lender, including payment of all unpaid legal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Lender through the date of this Amendment in connection with the Credit Agreement.</w:t>
      </w:r>
    </w:p>
    <w:p>
      <w:pPr>
        <w:spacing w:after="0" w:line="16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Representations, Warranties, Authority, No Adverse Claim</w:t>
      </w:r>
      <w:r>
        <w:rPr>
          <w:rFonts w:ascii="Arial" w:cs="Arial" w:eastAsia="Arial" w:hAnsi="Arial"/>
          <w:sz w:val="16"/>
          <w:szCs w:val="16"/>
          <w:b w:val="1"/>
          <w:bCs w:val="1"/>
          <w:color w:val="auto"/>
        </w:rPr>
        <w:t>.</w:t>
      </w:r>
    </w:p>
    <w:p>
      <w:pPr>
        <w:spacing w:after="0" w:line="2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hereby represents that on and as of the date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pacing w:after="0" w:line="15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Authority, No Conflict, No Consent Required,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represents and warrants that the Borrower has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legal right and authority to enter into this Amendment and any other instrument or agreement executed by the Borrower in connection with this Amendment (collectively, the “</w:t>
      </w:r>
      <w:r>
        <w:rPr>
          <w:rFonts w:ascii="Arial" w:cs="Arial" w:eastAsia="Arial" w:hAnsi="Arial"/>
          <w:sz w:val="18"/>
          <w:szCs w:val="18"/>
          <w:u w:val="single" w:color="auto"/>
          <w:color w:val="auto"/>
        </w:rPr>
        <w:t>Amendment Documents</w:t>
      </w:r>
      <w:r>
        <w:rPr>
          <w:rFonts w:ascii="Arial" w:cs="Arial" w:eastAsia="Arial" w:hAnsi="Arial"/>
          <w:sz w:val="18"/>
          <w:szCs w:val="18"/>
          <w:color w:val="auto"/>
        </w:rPr>
        <w:t>”) and has duly authorized as appropriate the execution and delivery of the Amendment Documents and other agreements and documents executed and</w:t>
      </w:r>
    </w:p>
    <w:p>
      <w:pPr>
        <w:sectPr>
          <w:pgSz w:w="11900" w:h="16838" w:orient="portrait"/>
          <w:cols w:equalWidth="0" w:num="1">
            <w:col w:w="11420"/>
          </w:cols>
          <w:pgMar w:left="240" w:top="580" w:right="239" w:bottom="1440" w:gutter="0" w:footer="0" w:header="0"/>
        </w:sectPr>
      </w:pPr>
    </w:p>
    <w:bookmarkStart w:id="82" w:name="page83"/>
    <w:bookmarkEnd w:id="82"/>
    <w:p>
      <w:pPr>
        <w:jc w:val="both"/>
        <w:spacing w:after="0" w:line="340" w:lineRule="auto"/>
        <w:rPr>
          <w:sz w:val="20"/>
          <w:szCs w:val="20"/>
          <w:color w:val="auto"/>
        </w:rPr>
      </w:pPr>
      <w:r>
        <w:rPr>
          <w:rFonts w:ascii="Arial" w:cs="Arial" w:eastAsia="Arial" w:hAnsi="Arial"/>
          <w:sz w:val="16"/>
          <w:szCs w:val="16"/>
          <w:color w:val="auto"/>
        </w:rPr>
        <w:t>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6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Adverse Claim</w:t>
      </w:r>
      <w:r>
        <w:rPr>
          <w:rFonts w:ascii="Arial" w:cs="Arial" w:eastAsia="Arial" w:hAnsi="Arial"/>
          <w:sz w:val="18"/>
          <w:szCs w:val="18"/>
          <w:color w:val="auto"/>
        </w:rPr>
        <w:t>. The Borrower warrants, acknowledges and agrees that no events have taken place and no circumstances exist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which would give the Borrower a basis to assert a defense, offset or counterclaim to any claim of the Lender with respect to the Borrower’s obligations under the Credit Agreement as amended by this Amendment.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Affirmation of Credit Agreement, Further References, Affirmation of Security Interest</w:t>
      </w:r>
      <w:r>
        <w:rPr>
          <w:rFonts w:ascii="Arial" w:cs="Arial" w:eastAsia="Arial" w:hAnsi="Arial"/>
          <w:sz w:val="18"/>
          <w:szCs w:val="18"/>
          <w:color w:val="auto"/>
        </w:rPr>
        <w:t>. The Lender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8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Merger and Integration, Superseding Effect</w:t>
      </w:r>
      <w:r>
        <w:rPr>
          <w:rFonts w:ascii="Arial" w:cs="Arial" w:eastAsia="Arial" w:hAnsi="Arial"/>
          <w:sz w:val="17"/>
          <w:szCs w:val="17"/>
          <w:color w:val="auto"/>
        </w:rPr>
        <w:t>. This Amendment, from and after the date hereof, embodies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6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Whenever possible, each provision of this Amendment and any other statement, instrument or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7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the Borrower and the Lender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Legal Expenses</w:t>
      </w:r>
      <w:r>
        <w:rPr>
          <w:rFonts w:ascii="Arial" w:cs="Arial" w:eastAsia="Arial" w:hAnsi="Arial"/>
          <w:sz w:val="16"/>
          <w:szCs w:val="16"/>
          <w:color w:val="auto"/>
        </w:rPr>
        <w:t>. As provided in Section 8.2 of the Credit Agreement, the Borrower agrees to pay or reimburse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ectPr>
          <w:pgSz w:w="11900" w:h="16838" w:orient="portrait"/>
          <w:cols w:equalWidth="0" w:num="1">
            <w:col w:w="11420"/>
          </w:cols>
          <w:pgMar w:left="240" w:top="61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10.</w:t>
            </w:r>
          </w:p>
        </w:tc>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various sections of this Amendment have been inserted for reference</w:t>
            </w:r>
          </w:p>
        </w:tc>
      </w:tr>
      <w:tr>
        <w:trPr>
          <w:trHeight w:val="20"/>
        </w:trPr>
        <w:tc>
          <w:tcPr>
            <w:tcW w:w="2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50"/>
        </w:trPr>
        <w:tc>
          <w:tcPr>
            <w:tcW w:w="11400" w:type="dxa"/>
            <w:vAlign w:val="bottom"/>
            <w:gridSpan w:val="4"/>
          </w:tcPr>
          <w:p>
            <w:pPr>
              <w:spacing w:after="0"/>
              <w:rPr>
                <w:sz w:val="20"/>
                <w:szCs w:val="20"/>
                <w:color w:val="auto"/>
              </w:rPr>
            </w:pPr>
            <w:r>
              <w:rPr>
                <w:rFonts w:ascii="Arial" w:cs="Arial" w:eastAsia="Arial" w:hAnsi="Arial"/>
                <w:sz w:val="18"/>
                <w:szCs w:val="18"/>
                <w:color w:val="auto"/>
              </w:rPr>
              <w:t>only and shall not be deemed to be a part of this Amendment.</w:t>
            </w:r>
          </w:p>
        </w:tc>
      </w:tr>
      <w:tr>
        <w:trPr>
          <w:trHeight w:val="419"/>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11.</w:t>
            </w:r>
          </w:p>
        </w:tc>
        <w:tc>
          <w:tcPr>
            <w:tcW w:w="8600" w:type="dxa"/>
            <w:vAlign w:val="bottom"/>
            <w:gridSpan w:val="3"/>
          </w:tcPr>
          <w:p>
            <w:pPr>
              <w:spacing w:after="0"/>
              <w:rPr>
                <w:sz w:val="20"/>
                <w:szCs w:val="20"/>
                <w:color w:val="auto"/>
              </w:rPr>
            </w:pPr>
            <w:r>
              <w:rPr>
                <w:rFonts w:ascii="Arial" w:cs="Arial" w:eastAsia="Arial" w:hAnsi="Arial"/>
                <w:sz w:val="18"/>
                <w:szCs w:val="18"/>
                <w:b w:val="1"/>
                <w:bCs w:val="1"/>
                <w:color w:val="auto"/>
                <w:w w:val="90"/>
              </w:rPr>
              <w:t>Counterparts</w:t>
            </w:r>
            <w:r>
              <w:rPr>
                <w:rFonts w:ascii="Arial" w:cs="Arial" w:eastAsia="Arial" w:hAnsi="Arial"/>
                <w:sz w:val="18"/>
                <w:szCs w:val="18"/>
                <w:color w:val="auto"/>
                <w:w w:val="90"/>
              </w:rPr>
              <w:t>. This Amendment may be executed in several counterparts as deemed necessary or convenient, each of</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 DOCUMENTS SHALL BE GOVERNED BY THE INTERNAL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CALIFORNIA, WITHOUT GIVING EFFECT TO CONFLICT OF LAW PRINCIPLES THEREOF, BUT GIVING EFFECT TO FEDERAL LAWS APPLICABLE TO NATIONAL BANKS, THEIR HOLDING COMPANIES AND THEIR AFFILIATES.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594" w:right="239" w:bottom="1440" w:gutter="0" w:footer="0" w:header="0"/>
        </w:sectPr>
      </w:pPr>
    </w:p>
    <w:bookmarkStart w:id="84" w:name="page85"/>
    <w:bookmarkEnd w:id="84"/>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200" w:lineRule="exact"/>
        <w:rPr>
          <w:sz w:val="20"/>
          <w:szCs w:val="20"/>
          <w:color w:val="auto"/>
        </w:rPr>
      </w:pPr>
    </w:p>
    <w:p>
      <w:pPr>
        <w:spacing w:after="0" w:line="34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240"/>
          </w:cols>
          <w:pgMar w:left="240" w:top="584" w:right="4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Fourth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3, 2016,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79" w:lineRule="auto"/>
        <w:tabs>
          <w:tab w:leader="none" w:pos="10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Borrower and the Lender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and the Third Amendment to Amended and Restated Credit Agreement dated as of November 10, 2015 (together, as amended, restated, supplemented, or otherwise modified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1" w:lineRule="exact"/>
        <w:rPr>
          <w:sz w:val="20"/>
          <w:szCs w:val="20"/>
          <w:color w:val="auto"/>
        </w:rPr>
      </w:pPr>
    </w:p>
    <w:p>
      <w:pPr>
        <w:ind w:firstLine="656"/>
        <w:spacing w:after="0" w:line="277" w:lineRule="auto"/>
        <w:tabs>
          <w:tab w:leader="none" w:pos="10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the Credit Agreement, unless the context shall otherwise require.</w:t>
      </w:r>
    </w:p>
    <w:p>
      <w:pPr>
        <w:spacing w:after="0" w:line="16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Credit Agreement is hereby amended as follows:</w:t>
      </w:r>
    </w:p>
    <w:p>
      <w:pPr>
        <w:spacing w:after="0" w:line="239"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Section 1.1 of the Credit Agreement is amended by amending and restating the definition of “</w:t>
      </w:r>
      <w:r>
        <w:rPr>
          <w:rFonts w:ascii="Arial" w:cs="Arial" w:eastAsia="Arial" w:hAnsi="Arial"/>
          <w:sz w:val="18"/>
          <w:szCs w:val="18"/>
          <w:u w:val="single" w:color="auto"/>
          <w:color w:val="auto"/>
        </w:rPr>
        <w:t>Revolving Commitment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contained therein, to read in its entirety as follows:</w:t>
      </w:r>
    </w:p>
    <w:p>
      <w:pPr>
        <w:spacing w:after="0" w:line="166"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Amount</w:t>
      </w:r>
      <w:r>
        <w:rPr>
          <w:rFonts w:ascii="Arial" w:cs="Arial" w:eastAsia="Arial" w:hAnsi="Arial"/>
          <w:sz w:val="18"/>
          <w:szCs w:val="18"/>
          <w:color w:val="auto"/>
        </w:rPr>
        <w:t>”: (i) for such period through and until March 15, 2016, $105,000,000; (ii) for such period beginning March 16, 2016 and continuing thereafter, $85,000,000, or such increased amount as agreed to between the Borrower and the Bank from time to time pursuant to Section 2.22 of this Agreement.</w:t>
      </w:r>
    </w:p>
    <w:p>
      <w:pPr>
        <w:spacing w:after="0" w:line="204"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and Effectiveness</w:t>
      </w:r>
      <w:r>
        <w:rPr>
          <w:rFonts w:ascii="Arial" w:cs="Arial" w:eastAsia="Arial" w:hAnsi="Arial"/>
          <w:sz w:val="18"/>
          <w:szCs w:val="18"/>
          <w:color w:val="auto"/>
        </w:rPr>
        <w:t>. This Amendment shall become effective only upon satisfaction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The Borrower shall have duly executed and delivered to the Lender this Amendment.</w:t>
      </w:r>
    </w:p>
    <w:p>
      <w:pPr>
        <w:spacing w:after="0" w:line="26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Borrower shall have delivered to the Lender a certification by the Secretary or Assistant Secretary of the Borrower certifying as to</w:t>
      </w:r>
    </w:p>
    <w:p>
      <w:pPr>
        <w:spacing w:after="0" w:line="54" w:lineRule="exact"/>
        <w:rPr>
          <w:sz w:val="20"/>
          <w:szCs w:val="20"/>
          <w:color w:val="auto"/>
        </w:rPr>
      </w:pPr>
    </w:p>
    <w:p>
      <w:pPr>
        <w:jc w:val="both"/>
        <w:ind w:firstLine="8"/>
        <w:spacing w:after="0" w:line="306" w:lineRule="auto"/>
        <w:tabs>
          <w:tab w:leader="none" w:pos="2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8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Borrower shall have satisfied any other conditions as specified by the Lender, including payment of all unpaid legal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Lender through the date of this Amendment in connection with the Credit Agreement.</w:t>
      </w:r>
    </w:p>
    <w:p>
      <w:pPr>
        <w:spacing w:after="0" w:line="16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Representations, Warranties, Authority, No Adverse Claim</w:t>
      </w:r>
      <w:r>
        <w:rPr>
          <w:rFonts w:ascii="Arial" w:cs="Arial" w:eastAsia="Arial" w:hAnsi="Arial"/>
          <w:sz w:val="16"/>
          <w:szCs w:val="16"/>
          <w:b w:val="1"/>
          <w:bCs w:val="1"/>
          <w:color w:val="auto"/>
        </w:rPr>
        <w:t>.</w:t>
      </w:r>
    </w:p>
    <w:p>
      <w:pPr>
        <w:spacing w:after="0" w:line="2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hereby represents that on and as of the date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ectPr>
          <w:pgSz w:w="11900" w:h="16838" w:orient="portrait"/>
          <w:cols w:equalWidth="0" w:num="1">
            <w:col w:w="11420"/>
          </w:cols>
          <w:pgMar w:left="240" w:top="580" w:right="239" w:bottom="1440" w:gutter="0" w:footer="0" w:header="0"/>
        </w:sectPr>
      </w:pPr>
    </w:p>
    <w:bookmarkStart w:id="86" w:name="page87"/>
    <w:bookmarkEnd w:id="86"/>
    <w:p>
      <w:pPr>
        <w:jc w:val="both"/>
        <w:ind w:firstLine="648"/>
        <w:spacing w:after="0" w:line="318"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Authority, No Conflict, No Consent Required, 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represents and warrants that the Borrower has the power</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right and authority to enter into this Amendment and any other instrument or agreement executed by the Borrower in connection with this Amendment (collectively, the “</w:t>
      </w:r>
      <w:r>
        <w:rPr>
          <w:rFonts w:ascii="Arial" w:cs="Arial" w:eastAsia="Arial" w:hAnsi="Arial"/>
          <w:sz w:val="17"/>
          <w:szCs w:val="17"/>
          <w:u w:val="single" w:color="auto"/>
          <w:color w:val="auto"/>
        </w:rPr>
        <w:t>Amendment Documents</w:t>
      </w:r>
      <w:r>
        <w:rPr>
          <w:rFonts w:ascii="Arial" w:cs="Arial" w:eastAsia="Arial" w:hAnsi="Arial"/>
          <w:sz w:val="17"/>
          <w:szCs w:val="17"/>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8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Adverse Claim</w:t>
      </w:r>
      <w:r>
        <w:rPr>
          <w:rFonts w:ascii="Arial" w:cs="Arial" w:eastAsia="Arial" w:hAnsi="Arial"/>
          <w:sz w:val="18"/>
          <w:szCs w:val="18"/>
          <w:color w:val="auto"/>
        </w:rPr>
        <w:t>. The Borrower warrants, acknowledges and agrees that no events have taken place and no circumstances exist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which would give the Borrower a basis to assert a defense, offset or counterclaim to any claim of the Lender with respect to the Borrower’s obligations under the Credit Agreement as amended by this Amendment.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Affirmation of Credit Agreement, Further References, Affirmation of Security Interest</w:t>
      </w:r>
      <w:r>
        <w:rPr>
          <w:rFonts w:ascii="Arial" w:cs="Arial" w:eastAsia="Arial" w:hAnsi="Arial"/>
          <w:sz w:val="18"/>
          <w:szCs w:val="18"/>
          <w:color w:val="auto"/>
        </w:rPr>
        <w:t>. The Lender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8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Merger and Integration, Superseding Effect</w:t>
      </w:r>
      <w:r>
        <w:rPr>
          <w:rFonts w:ascii="Arial" w:cs="Arial" w:eastAsia="Arial" w:hAnsi="Arial"/>
          <w:sz w:val="17"/>
          <w:szCs w:val="17"/>
          <w:color w:val="auto"/>
        </w:rPr>
        <w:t>. This Amendment, from and after the date hereof, embodies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6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Whenever possible, each provision of this Amendment and any other statement, instrument or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7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the Borrower and the Lender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Legal Expenses</w:t>
      </w:r>
      <w:r>
        <w:rPr>
          <w:rFonts w:ascii="Arial" w:cs="Arial" w:eastAsia="Arial" w:hAnsi="Arial"/>
          <w:sz w:val="16"/>
          <w:szCs w:val="16"/>
          <w:color w:val="auto"/>
        </w:rPr>
        <w:t>. As provided in Section 8.2 of the Credit Agreement, the Borrower agrees to pay or reimburse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w:t>
      </w:r>
    </w:p>
    <w:p>
      <w:pPr>
        <w:sectPr>
          <w:pgSz w:w="11900" w:h="16838" w:orient="portrait"/>
          <w:cols w:equalWidth="0" w:num="1">
            <w:col w:w="11420"/>
          </w:cols>
          <w:pgMar w:left="240" w:top="607" w:right="239" w:bottom="1440" w:gutter="0" w:footer="0" w:header="0"/>
        </w:sectPr>
      </w:pPr>
    </w:p>
    <w:bookmarkStart w:id="87" w:name="page88"/>
    <w:bookmarkEnd w:id="87"/>
    <w:p>
      <w:pPr>
        <w:jc w:val="both"/>
        <w:spacing w:after="0" w:line="324" w:lineRule="auto"/>
        <w:rPr>
          <w:sz w:val="20"/>
          <w:szCs w:val="20"/>
          <w:color w:val="auto"/>
        </w:rPr>
      </w:pPr>
      <w:r>
        <w:rPr>
          <w:rFonts w:ascii="Arial" w:cs="Arial" w:eastAsia="Arial" w:hAnsi="Arial"/>
          <w:sz w:val="18"/>
          <w:szCs w:val="18"/>
          <w:color w:val="auto"/>
        </w:rPr>
        <w:t>payable with respect to the execution or delivery of the Amendment Documents, which obligations of the Borrower shall survive any termination of the Credit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10.</w:t>
            </w:r>
          </w:p>
        </w:tc>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various sections of this Amendment have been inserted for reference</w:t>
            </w:r>
          </w:p>
        </w:tc>
      </w:tr>
      <w:tr>
        <w:trPr>
          <w:trHeight w:val="20"/>
        </w:trPr>
        <w:tc>
          <w:tcPr>
            <w:tcW w:w="2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50"/>
        </w:trPr>
        <w:tc>
          <w:tcPr>
            <w:tcW w:w="11400" w:type="dxa"/>
            <w:vAlign w:val="bottom"/>
            <w:gridSpan w:val="4"/>
          </w:tcPr>
          <w:p>
            <w:pPr>
              <w:spacing w:after="0"/>
              <w:rPr>
                <w:sz w:val="20"/>
                <w:szCs w:val="20"/>
                <w:color w:val="auto"/>
              </w:rPr>
            </w:pPr>
            <w:r>
              <w:rPr>
                <w:rFonts w:ascii="Arial" w:cs="Arial" w:eastAsia="Arial" w:hAnsi="Arial"/>
                <w:sz w:val="18"/>
                <w:szCs w:val="18"/>
                <w:color w:val="auto"/>
              </w:rPr>
              <w:t>only and shall not be deemed to be a part of this Amendment.</w:t>
            </w:r>
          </w:p>
        </w:tc>
      </w:tr>
      <w:tr>
        <w:trPr>
          <w:trHeight w:val="419"/>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11.</w:t>
            </w:r>
          </w:p>
        </w:tc>
        <w:tc>
          <w:tcPr>
            <w:tcW w:w="8600" w:type="dxa"/>
            <w:vAlign w:val="bottom"/>
            <w:gridSpan w:val="3"/>
          </w:tcPr>
          <w:p>
            <w:pPr>
              <w:spacing w:after="0"/>
              <w:rPr>
                <w:sz w:val="20"/>
                <w:szCs w:val="20"/>
                <w:color w:val="auto"/>
              </w:rPr>
            </w:pPr>
            <w:r>
              <w:rPr>
                <w:rFonts w:ascii="Arial" w:cs="Arial" w:eastAsia="Arial" w:hAnsi="Arial"/>
                <w:sz w:val="18"/>
                <w:szCs w:val="18"/>
                <w:b w:val="1"/>
                <w:bCs w:val="1"/>
                <w:color w:val="auto"/>
                <w:w w:val="90"/>
              </w:rPr>
              <w:t>Counterparts</w:t>
            </w:r>
            <w:r>
              <w:rPr>
                <w:rFonts w:ascii="Arial" w:cs="Arial" w:eastAsia="Arial" w:hAnsi="Arial"/>
                <w:sz w:val="18"/>
                <w:szCs w:val="18"/>
                <w:color w:val="auto"/>
                <w:w w:val="90"/>
              </w:rPr>
              <w:t>. This Amendment may be executed in several counterparts as deemed necessary or convenient, each of</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 DOCUMENTS SHALL BE GOVERNED BY THE INTERNAL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CALIFORNIA, WITHOUT GIVING EFFECT TO CONFLICT OF LAW PRINCIPLES THEREOF, BUT GIVING EFFECT TO FEDERAL LAWS APPLICABLE TO NATIONAL BANKS, THEIR HOLDING COMPANIES AND THEIR AFFILIATES.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611" w:right="239" w:bottom="1440" w:gutter="0" w:footer="0" w:header="0"/>
        </w:sectPr>
      </w:pPr>
    </w:p>
    <w:bookmarkStart w:id="88" w:name="page89"/>
    <w:bookmarkEnd w:id="88"/>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200" w:lineRule="exact"/>
        <w:rPr>
          <w:sz w:val="20"/>
          <w:szCs w:val="20"/>
          <w:color w:val="auto"/>
        </w:rPr>
      </w:pPr>
    </w:p>
    <w:p>
      <w:pPr>
        <w:spacing w:after="0" w:line="34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240"/>
          </w:cols>
          <w:pgMar w:left="240" w:top="1440" w:right="4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Encore Controls LLC (organized under the laws of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Limited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Limited (organized under the laws of the People's Republic of China)</w:t>
      </w:r>
    </w:p>
    <w:p>
      <w:pPr>
        <w:sectPr>
          <w:pgSz w:w="11900" w:h="16838" w:orient="portrait"/>
          <w:cols w:equalWidth="0" w:num="1">
            <w:col w:w="11420"/>
          </w:cols>
          <w:pgMar w:left="240" w:top="580" w:right="239" w:bottom="1440" w:gutter="0" w:footer="0" w:header="0"/>
        </w:sectPr>
      </w:pPr>
    </w:p>
    <w:bookmarkStart w:id="90" w:name="page91"/>
    <w:bookmarkEnd w:id="90"/>
    <w:p>
      <w:pPr>
        <w:ind w:left="10480"/>
        <w:spacing w:after="0"/>
        <w:rPr>
          <w:sz w:val="20"/>
          <w:szCs w:val="20"/>
          <w:color w:val="auto"/>
        </w:rPr>
      </w:pPr>
      <w:r>
        <w:rPr>
          <w:rFonts w:ascii="Arial" w:cs="Arial" w:eastAsia="Arial" w:hAnsi="Arial"/>
          <w:sz w:val="16"/>
          <w:szCs w:val="16"/>
          <w:b w:val="1"/>
          <w:bCs w:val="1"/>
          <w:u w:val="single" w:color="auto"/>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issued our reports dated March 11, 2016, with respect to the consolidated financial statements and internal control over financial reporting in the Annual Report of Universal Electronics Inc. on Form 10-K for the year ended December 31, 2015. We hereby consent to the incorporation by reference of said reports in the Registration Statements of Universal Electronics Inc. on Forms S-8 (File No. 333-91101, effective November 17, 1999; File No. 333-47378, effective October 5, 2000; File No. 333-103038, effective February 7, 2003; File No. 333-117782, effective July 30, 2004; File No. 333-149926, effective March 27, 2008; File No. 333-175345, effective July 5, 2011; File No. 333-194511, effective March 12, 2014; and File No. 333-198093, effective August 12,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11, 2016</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upperLetter"/>
      <w:start w:val="1"/>
    </w:lvl>
  </w:abstractNum>
  <w:abstractNum w:abstractNumId="34">
    <w:nsid w:val="5E884ADC"/>
    <w:multiLevelType w:val="hybridMultilevel"/>
    <w:lvl w:ilvl="0">
      <w:lvlJc w:val="left"/>
      <w:lvlText w:val="%1."/>
      <w:numFmt w:val="upperLetter"/>
      <w:start w:val="3"/>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upperLetter"/>
      <w:start w:val="1"/>
    </w:lvl>
  </w:abstractNum>
  <w:abstractNum w:abstractNumId="37">
    <w:nsid w:val="580BD78F"/>
    <w:multiLevelType w:val="hybridMultilevel"/>
    <w:lvl w:ilvl="0">
      <w:lvlJc w:val="left"/>
      <w:lvlText w:val="%1."/>
      <w:numFmt w:val="upperLetter"/>
      <w:start w:val="3"/>
    </w:lvl>
  </w:abstractNum>
  <w:abstractNum w:abstractNumId="38">
    <w:nsid w:val="153EA438"/>
    <w:multiLevelType w:val="hybridMultilevel"/>
    <w:lvl w:ilvl="0">
      <w:lvlJc w:val="left"/>
      <w:lvlText w:val="(%1)"/>
      <w:numFmt w:val="lowerRoman"/>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2019-12-29T12:11:27Z</dcterms:created>
  <dcterms:modified xsi:type="dcterms:W3CDTF">2019-12-29T12:11:27Z</dcterms:modified>
</cp:coreProperties>
</file>