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0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13,693,970 shares of Common Stock, par value $0.01 per share, of the registrant were outstanding on November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80" w:type="dxa"/>
            <w:vAlign w:val="bottom"/>
            <w:gridSpan w:val="4"/>
          </w:tcPr>
          <w:p>
            <w:pPr>
              <w:jc w:val="center"/>
              <w:ind w:right="3400"/>
              <w:spacing w:after="0"/>
              <w:rPr>
                <w:sz w:val="20"/>
                <w:szCs w:val="20"/>
                <w:color w:val="auto"/>
              </w:rPr>
            </w:pPr>
            <w:r>
              <w:rPr>
                <w:rFonts w:ascii="Arial" w:cs="Arial" w:eastAsia="Arial" w:hAnsi="Arial"/>
                <w:sz w:val="18"/>
                <w:szCs w:val="18"/>
                <w:b w:val="1"/>
                <w:bCs w:val="1"/>
                <w:color w:val="auto"/>
              </w:rPr>
              <w:t>UNIVERSAL ELECTRONICS INC.</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960" w:type="dxa"/>
            <w:vAlign w:val="bottom"/>
            <w:gridSpan w:val="7"/>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96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88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8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85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86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82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926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59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6.</w:t>
              </w:r>
            </w:hyperlink>
          </w:p>
        </w:tc>
        <w:tc>
          <w:tcPr>
            <w:tcW w:w="10320" w:type="dxa"/>
            <w:vAlign w:val="bottom"/>
            <w:gridSpan w:val="16"/>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70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Exhibit Index</w:t>
              </w:r>
            </w:hyperlink>
          </w:p>
        </w:tc>
        <w:tc>
          <w:tcPr>
            <w:tcW w:w="986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49,125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55,961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43,628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183,553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9,399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11,821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227,071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39,692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2,761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60,723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62,440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$0.01 par value, 50,000,000 shares authorized; 19,040,652 and 18,715,833 shares issued at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September 30, 2009 and December 31, 2008, respectively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126,768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113,149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242,043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Less cost of common stock in treasury, 5,340,021 and 5,070,319 shares at September 30, 2009 and December 31,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 respectively</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(77,412)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164,631</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227,071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83,182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76,532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232,611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57,112</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51,604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159,609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137,532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26,070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24,928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73,002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70,875</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17,175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17,033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51,623</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6,644</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13,867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(2,556)</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13,687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13,919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13,656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14,008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14,420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8,835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Benefit for deferred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(49,125)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assets from Zilog, Inc.</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(63,757)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(20,245)</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(45,139)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(10,750)</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75,238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30,099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results of operations for the three and nine months ended September 30, 2009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1 to the consolidated financial statements included in our Annual Report on Form 10-K for the year ended December 31, 2008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October 2009, the FASB issued an Accounting Standards Update (“ASU”)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does not always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2009, the FASB issued an ASU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does not always appropriately reflect the economics of the underlying transactions because sometimes no revenue is recognized for products for which the vendor has already completed the related performance. As a result of this amendment, multiple element arrangements will be separated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2007, the FASB issued guidance that established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to enable the evaluation of the nature and financial effects of the business combination. The adoption of this guidance will affect the total purchase price of future acquisitions, as acquisition costs will now be expensed, and the allocation of fair value to specific assets and liabilities will be different. This guidance was effective for us January 1, 2009. As a result of adopting this guidance we recognized $0 and $1.1 million of acquisition costs during the three and nine months ended September 30, 2009, respectively, related to our purchase of assets from Zilog, Inc. The acquisition costs recognized during the nine months ended September 30, 2009 included $0.1 million of acquisition costs that were capitalized at December 31, 2008.</w:t>
      </w:r>
    </w:p>
    <w:p>
      <w:pPr>
        <w:spacing w:after="0" w:line="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recently adopted accounting standard above, we adopted the following accounting standards during the first nine months of 2009, none of which had a material effect on our consolidated financial position and results of operations:</w:t>
      </w:r>
    </w:p>
    <w:p>
      <w:pPr>
        <w:spacing w:after="0" w:line="62" w:lineRule="exact"/>
        <w:rPr>
          <w:sz w:val="20"/>
          <w:szCs w:val="20"/>
          <w:color w:val="auto"/>
        </w:rPr>
      </w:pPr>
    </w:p>
    <w:p>
      <w:pPr>
        <w:ind w:left="220" w:right="200" w:hanging="212"/>
        <w:spacing w:after="0" w:line="27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September 2009, the FASB issued an ASU to address the need for additional implementation guidance on accounting for uncertainty in income taxes. We adopted this guidance during the quarter ended September 30, 2009.</w:t>
      </w:r>
    </w:p>
    <w:p>
      <w:pPr>
        <w:spacing w:after="0" w:line="75" w:lineRule="exact"/>
        <w:rPr>
          <w:rFonts w:ascii="Arial" w:cs="Arial" w:eastAsia="Arial" w:hAnsi="Arial"/>
          <w:sz w:val="18"/>
          <w:szCs w:val="18"/>
          <w:b w:val="1"/>
          <w:bCs w:val="1"/>
          <w:color w:val="auto"/>
        </w:rPr>
      </w:pPr>
    </w:p>
    <w:p>
      <w:pPr>
        <w:ind w:left="220" w:right="120" w:hanging="212"/>
        <w:spacing w:after="0" w:line="308" w:lineRule="auto"/>
        <w:tabs>
          <w:tab w:leader="none" w:pos="2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In August 2009, the FASB issued an ASU addressing the measurement of liabilities at fair value and reaffirmed the practice of measuring fair value using quoted market prices when a liability is traded as an asset. We adopted this guidance during the quarter ended September 30, 2009.</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20" w:right="38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June 2009, the FASB issued new guidance establishing the FASB Accounting Standards Codification as the source of authoritative U.S. GAAP and identified the framework for selecting the principles to utilize in the preparation of financial statements for nongovernmental entities. We adopted this guidance during the quarter ended September 30, 2009.</w:t>
      </w:r>
    </w:p>
    <w:p>
      <w:pPr>
        <w:spacing w:after="0" w:line="86" w:lineRule="exact"/>
        <w:rPr>
          <w:rFonts w:ascii="Arial" w:cs="Arial" w:eastAsia="Arial" w:hAnsi="Arial"/>
          <w:sz w:val="18"/>
          <w:szCs w:val="18"/>
          <w:b w:val="1"/>
          <w:bCs w:val="1"/>
          <w:color w:val="auto"/>
        </w:rPr>
      </w:pPr>
    </w:p>
    <w:p>
      <w:pPr>
        <w:ind w:left="220" w:right="2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May 2009, the FASB issued guidance establishing general accounting standards and disclosure for subsequent events. We adopted this standard during the second quarter of 2009. In accordance with this guidance, we have evaluated subsequent events through the date and time the financial statements were issued on November 9, 2009.</w:t>
      </w:r>
    </w:p>
    <w:p>
      <w:pPr>
        <w:spacing w:after="0" w:line="86" w:lineRule="exact"/>
        <w:rPr>
          <w:rFonts w:ascii="Arial" w:cs="Arial" w:eastAsia="Arial" w:hAnsi="Arial"/>
          <w:sz w:val="18"/>
          <w:szCs w:val="18"/>
          <w:b w:val="1"/>
          <w:bCs w:val="1"/>
          <w:color w:val="auto"/>
        </w:rPr>
      </w:pPr>
    </w:p>
    <w:p>
      <w:pPr>
        <w:ind w:left="220" w:right="6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April 2009, the FASB issued additional guidance for estimating fair value when the volume and level of activity for an asset or liability have significantly decreased and identifying circumstances that indicate a transaction is not orderly. We adopted this guidance during the quarter ended June 30, 2009.</w:t>
      </w:r>
    </w:p>
    <w:p>
      <w:pPr>
        <w:spacing w:after="0" w:line="86" w:lineRule="exact"/>
        <w:rPr>
          <w:rFonts w:ascii="Arial" w:cs="Arial" w:eastAsia="Arial" w:hAnsi="Arial"/>
          <w:sz w:val="18"/>
          <w:szCs w:val="18"/>
          <w:b w:val="1"/>
          <w:bCs w:val="1"/>
          <w:color w:val="auto"/>
        </w:rPr>
      </w:pPr>
    </w:p>
    <w:p>
      <w:pPr>
        <w:ind w:left="220" w:right="220" w:hanging="212"/>
        <w:spacing w:after="0" w:line="308" w:lineRule="auto"/>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In April 2009, the FASB issued new guidance requiring disclosures about the fair value of financial instruments for interim reporting periods of publicly traded companies as well as in annual financial statements. We adopted this guidance during the quarter ended June 30, 2009.</w:t>
      </w:r>
    </w:p>
    <w:p>
      <w:pPr>
        <w:spacing w:after="0" w:line="51" w:lineRule="exact"/>
        <w:rPr>
          <w:rFonts w:ascii="Arial" w:cs="Arial" w:eastAsia="Arial" w:hAnsi="Arial"/>
          <w:sz w:val="17"/>
          <w:szCs w:val="17"/>
          <w:b w:val="1"/>
          <w:bCs w:val="1"/>
          <w:color w:val="auto"/>
        </w:rPr>
      </w:pPr>
    </w:p>
    <w:p>
      <w:pPr>
        <w:jc w:val="both"/>
        <w:ind w:left="220" w:right="30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April 2009, the FASB issued new guidance to address application issues raised by preparers, auditors, and members of the legal profession on initial recognition and measurement, subsequent measurement and accounting, and disclosure of assets and liabilities arising from contingencies in a business combination. We adopted this guidance during the quarter ended March 31, 2009.</w:t>
      </w:r>
    </w:p>
    <w:p>
      <w:pPr>
        <w:spacing w:after="0" w:line="86" w:lineRule="exact"/>
        <w:rPr>
          <w:rFonts w:ascii="Arial" w:cs="Arial" w:eastAsia="Arial" w:hAnsi="Arial"/>
          <w:sz w:val="18"/>
          <w:szCs w:val="18"/>
          <w:b w:val="1"/>
          <w:bCs w:val="1"/>
          <w:color w:val="auto"/>
        </w:rPr>
      </w:pPr>
    </w:p>
    <w:p>
      <w:pPr>
        <w:ind w:left="220" w:right="20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December 2008, the FASB issued guidance requiring employers to disclose certain information about plan assets of a defined benefit pension or other postretirement plan. We adopted this guidance during the quarter ended March 31, 2009.</w:t>
      </w:r>
    </w:p>
    <w:p>
      <w:pPr>
        <w:spacing w:after="0" w:line="75" w:lineRule="exact"/>
        <w:rPr>
          <w:rFonts w:ascii="Arial" w:cs="Arial" w:eastAsia="Arial" w:hAnsi="Arial"/>
          <w:sz w:val="18"/>
          <w:szCs w:val="18"/>
          <w:b w:val="1"/>
          <w:bCs w:val="1"/>
          <w:color w:val="auto"/>
        </w:rPr>
      </w:pPr>
    </w:p>
    <w:p>
      <w:pPr>
        <w:ind w:left="22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November 2008, the FASB issued guidance clarifying how to account for defensive intangible assets subsequent to initial measurement. We adopted this guidance during the quarter ended March 31, 2009.</w:t>
      </w:r>
    </w:p>
    <w:p>
      <w:pPr>
        <w:spacing w:after="0" w:line="75" w:lineRule="exact"/>
        <w:rPr>
          <w:rFonts w:ascii="Arial" w:cs="Arial" w:eastAsia="Arial" w:hAnsi="Arial"/>
          <w:sz w:val="18"/>
          <w:szCs w:val="18"/>
          <w:b w:val="1"/>
          <w:bCs w:val="1"/>
          <w:color w:val="auto"/>
        </w:rPr>
      </w:pPr>
    </w:p>
    <w:p>
      <w:pPr>
        <w:ind w:left="220" w:right="4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June 2008, the FASB issued new guidance addressing whether instruments granted in share-based payment transactions are participating securities prior to vesting and, therefore, need to be included in the earnings allocation in computing earnings per share. We adopted this guidance during the quarter ended March 31, 2009.</w:t>
      </w:r>
    </w:p>
    <w:p>
      <w:pPr>
        <w:spacing w:after="0" w:line="86" w:lineRule="exact"/>
        <w:rPr>
          <w:rFonts w:ascii="Arial" w:cs="Arial" w:eastAsia="Arial" w:hAnsi="Arial"/>
          <w:sz w:val="18"/>
          <w:szCs w:val="18"/>
          <w:b w:val="1"/>
          <w:bCs w:val="1"/>
          <w:color w:val="auto"/>
        </w:rPr>
      </w:pPr>
    </w:p>
    <w:p>
      <w:pPr>
        <w:ind w:left="220" w:right="40" w:hanging="212"/>
        <w:spacing w:after="0" w:line="308" w:lineRule="auto"/>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In April 2008, the FASB issued guidance amending the factors that should be considered while developing renewal or extension assumptions to be utilized when determining the useful life of a recognized intangible asset. We adopted this guidance during the quarter ended March 31, 2009.</w:t>
      </w:r>
    </w:p>
    <w:p>
      <w:pPr>
        <w:spacing w:after="0" w:line="51" w:lineRule="exact"/>
        <w:rPr>
          <w:rFonts w:ascii="Arial" w:cs="Arial" w:eastAsia="Arial" w:hAnsi="Arial"/>
          <w:sz w:val="17"/>
          <w:szCs w:val="17"/>
          <w:b w:val="1"/>
          <w:bCs w:val="1"/>
          <w:color w:val="auto"/>
        </w:rPr>
      </w:pPr>
    </w:p>
    <w:p>
      <w:pPr>
        <w:ind w:left="220" w:right="360" w:hanging="212"/>
        <w:spacing w:after="0" w:line="342" w:lineRule="auto"/>
        <w:tabs>
          <w:tab w:leader="none" w:pos="2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March 2008, the FASB issued guidance that amended and expanded the disclosure requirements for derivative instruments and hedging activities to provide improved transparency into their uses and financial statement impact. We adopted this guidance during the quarter ended March 31, 2009.</w:t>
      </w:r>
    </w:p>
    <w:p>
      <w:pPr>
        <w:spacing w:after="0" w:line="29" w:lineRule="exact"/>
        <w:rPr>
          <w:rFonts w:ascii="Arial" w:cs="Arial" w:eastAsia="Arial" w:hAnsi="Arial"/>
          <w:sz w:val="16"/>
          <w:szCs w:val="16"/>
          <w:b w:val="1"/>
          <w:bCs w:val="1"/>
          <w:color w:val="auto"/>
        </w:rPr>
      </w:pPr>
    </w:p>
    <w:p>
      <w:pPr>
        <w:ind w:left="220" w:right="4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December 2007, the FASB issued new guidance changing the accounting for, and the financial statement presentation of, noncontrolling equity interests in a consolidated subsidiary. We adopted this guidance during the quarter ended March 31, 2009.</w:t>
      </w:r>
    </w:p>
    <w:p>
      <w:pPr>
        <w:spacing w:after="0" w:line="75" w:lineRule="exact"/>
        <w:rPr>
          <w:rFonts w:ascii="Arial" w:cs="Arial" w:eastAsia="Arial" w:hAnsi="Arial"/>
          <w:sz w:val="18"/>
          <w:szCs w:val="18"/>
          <w:b w:val="1"/>
          <w:bCs w:val="1"/>
          <w:color w:val="auto"/>
        </w:rPr>
      </w:pPr>
    </w:p>
    <w:p>
      <w:pPr>
        <w:ind w:left="220" w:right="40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November 2007, the FASB issued guidance defining collaborative arrangements and establishing reporting requirements for transactions between participants in a collaborative arrangement and between participants in the arrangement and third parties. We adopted this guidance during the quarter ended March 31, 2009.</w:t>
      </w:r>
    </w:p>
    <w:p>
      <w:pPr>
        <w:spacing w:after="0" w:line="86" w:lineRule="exact"/>
        <w:rPr>
          <w:rFonts w:ascii="Arial" w:cs="Arial" w:eastAsia="Arial" w:hAnsi="Arial"/>
          <w:sz w:val="18"/>
          <w:szCs w:val="18"/>
          <w:b w:val="1"/>
          <w:bCs w:val="1"/>
          <w:color w:val="auto"/>
        </w:rPr>
      </w:pPr>
    </w:p>
    <w:p>
      <w:pPr>
        <w:ind w:left="220" w:right="100" w:hanging="212"/>
        <w:spacing w:after="0" w:line="302" w:lineRule="auto"/>
        <w:tabs>
          <w:tab w:leader="none" w:pos="2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September 2006, the FASB issued new guidance on fair value measurements. This guidance clarifies the definition of fair value, establishes a framework for measuring fair value and expands the disclosures of fair value measurements. In February 2008, the FASB delayed the effective date of the fair value measurements guidance for certain non-financial assets and liabilities. We adopted this new guidance for financial assets and liabilities during the quarter ended March 31, 2008. We adopted this new guidance for non-financial assets and liabilities during the quarter ended March 31,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We recorded $1.1 million and $1.0 million of pre-tax stock-based compensation expense during the three months ended September 30, 2009 and 2008, respectively. During the nine months ended September 30, 2009 and 2008, we recorded $3.2 million and $3.3 million, respectively, of pre-tax stock-based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by income statement caption for the three and nine months ended September 30, 2009 and 2008 was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Selling, general and administrative expense (“SG&amp;A”) includes stock-based compensation related to restricted stock awards granted to outside directors of $0.1 million for the three months ended September 30, 2009 and 2008. During the nine months ended September 30, 2009 and 2008, stock-based compensation related to restricted stock awards granted to outside directors was $0.4 million and $0.5 million, respectively.</w:t>
      </w:r>
    </w:p>
    <w:p>
      <w:pPr>
        <w:spacing w:after="0" w:line="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SG&amp;A also includes pre-tax stock-based compensation related to stock option awards granted to outside directors of $0.1 million for the three months ended September 30, 2009 and 2008. During the nine months ended September 30, 2009 and 2008, pre-tax stock-based compensation related to options granted to directors was $0.2 million.</w:t>
      </w:r>
    </w:p>
    <w:p>
      <w:pPr>
        <w:spacing w:after="0" w:line="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income tax benefit from the recognition of stock-based compensation for the three months ended September 30, 2009 and 2008 was $0.4 million and $0.4 million, respectively. During the nine months ended September 30, 2009 and 2008, the income tax benefit from the recognition of stock-based compensation was $1.1 million and $1.2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Compensation expense related to stock option awards is determined based on the fair value of the awards on the grant date. We recognize the compensation expense related to stock option awards net of estimated forfeitures over the service period of the award, which is the option vesting term ranging from three to four years. We estimate the annual forfeiture rate based upon our historical forfeitures. The compensation expense recognized for stock option awards at any date is equal to the portion of the grant-date fair value that is vested on that date.</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estimate the fair value of stock option awards using the Black-Scholes option pricing model utilizing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26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58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15"/>
                <w:szCs w:val="15"/>
                <w:b w:val="1"/>
                <w:bCs w:val="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$ 8.75</w:t>
            </w:r>
          </w:p>
        </w:tc>
        <w:tc>
          <w:tcPr>
            <w:tcW w:w="1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$ 7.02</w:t>
            </w:r>
          </w:p>
        </w:tc>
        <w:tc>
          <w:tcPr>
            <w:tcW w:w="17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$ 9.07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108"/>
              <w:spacing w:after="0"/>
              <w:rPr>
                <w:sz w:val="20"/>
                <w:szCs w:val="20"/>
                <w:color w:val="auto"/>
              </w:rPr>
            </w:pPr>
            <w:r>
              <w:rPr>
                <w:rFonts w:ascii="Arial" w:cs="Arial" w:eastAsia="Arial" w:hAnsi="Arial"/>
                <w:sz w:val="18"/>
                <w:szCs w:val="18"/>
                <w:color w:val="auto"/>
              </w:rPr>
              <w:t>3.35%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2.75%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41.50%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7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40.85%</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248"/>
              <w:spacing w:after="0"/>
              <w:rPr>
                <w:sz w:val="20"/>
                <w:szCs w:val="20"/>
                <w:color w:val="auto"/>
              </w:rPr>
            </w:pPr>
            <w:r>
              <w:rPr>
                <w:rFonts w:ascii="Arial" w:cs="Arial" w:eastAsia="Arial" w:hAnsi="Arial"/>
                <w:sz w:val="18"/>
                <w:szCs w:val="18"/>
                <w:color w:val="auto"/>
              </w:rPr>
              <w:t>5.14</w:t>
            </w:r>
          </w:p>
        </w:tc>
        <w:tc>
          <w:tcPr>
            <w:tcW w:w="1380" w:type="dxa"/>
            <w:vAlign w:val="bottom"/>
            <w:gridSpan w:val="2"/>
          </w:tcPr>
          <w:p>
            <w:pPr>
              <w:jc w:val="right"/>
              <w:ind w:right="88"/>
              <w:spacing w:after="0"/>
              <w:rPr>
                <w:sz w:val="20"/>
                <w:szCs w:val="20"/>
                <w:color w:val="auto"/>
              </w:rPr>
            </w:pPr>
            <w:r>
              <w:rPr>
                <w:rFonts w:ascii="Arial" w:cs="Arial" w:eastAsia="Arial" w:hAnsi="Arial"/>
                <w:sz w:val="18"/>
                <w:szCs w:val="18"/>
                <w:color w:val="auto"/>
              </w:rPr>
              <w:t>4.85</w:t>
            </w:r>
          </w:p>
        </w:tc>
        <w:tc>
          <w:tcPr>
            <w:tcW w:w="1740" w:type="dxa"/>
            <w:vAlign w:val="bottom"/>
            <w:gridSpan w:val="3"/>
          </w:tcPr>
          <w:p>
            <w:pPr>
              <w:jc w:val="right"/>
              <w:ind w:right="248"/>
              <w:spacing w:after="0"/>
              <w:rPr>
                <w:sz w:val="20"/>
                <w:szCs w:val="20"/>
                <w:color w:val="auto"/>
              </w:rPr>
            </w:pPr>
            <w:r>
              <w:rPr>
                <w:rFonts w:ascii="Arial" w:cs="Arial" w:eastAsia="Arial" w:hAnsi="Arial"/>
                <w:sz w:val="18"/>
                <w:szCs w:val="18"/>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293"/>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fair value calculation was based on stock options granted during each respective period.</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nine months ended September 30, 2009, the Board of Directors granted 233,400 stock options under various stock incentive plans. On March 10, 2009, 185,900 stock options were granted to our executives subject to a four-year vesting period (one-sixteenth each quarter). In addition to the March 10, 2009 grants, 47,500 stock options subject to a four-year vesting period (one-sixteenth each quarter) were granted to new hires on various dates during the nine months ended September 30, 2009. The aggregate grant date fair value of these awards was $1.6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three and nine months ended September 30, 2009, the stock-based compensation expense included in SG&amp;A related to these awards was $0.1 million and $0.2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nine months ended September 30, 2009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480" w:type="dxa"/>
            <w:vAlign w:val="bottom"/>
          </w:tcPr>
          <w:p>
            <w:pPr>
              <w:spacing w:after="0"/>
              <w:rPr>
                <w:sz w:val="12"/>
                <w:szCs w:val="12"/>
                <w:color w:val="auto"/>
              </w:rPr>
            </w:pPr>
          </w:p>
        </w:tc>
        <w:tc>
          <w:tcPr>
            <w:tcW w:w="11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480" w:type="dxa"/>
            <w:vAlign w:val="bottom"/>
          </w:tcPr>
          <w:p>
            <w:pPr>
              <w:spacing w:after="0"/>
              <w:rPr>
                <w:sz w:val="14"/>
                <w:szCs w:val="14"/>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1,729</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$17.64</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233</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15.89</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10.86</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3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25.91</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1,734</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$18.24</w:t>
            </w:r>
          </w:p>
        </w:tc>
        <w:tc>
          <w:tcPr>
            <w:tcW w:w="1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5.47</w:t>
            </w:r>
          </w:p>
        </w:tc>
        <w:tc>
          <w:tcPr>
            <w:tcW w:w="16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September 30, 2009</w:t>
            </w: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vMerge w:val="restart"/>
          </w:tcPr>
          <w:p>
            <w:pPr>
              <w:jc w:val="right"/>
              <w:ind w:right="268"/>
              <w:spacing w:after="0"/>
              <w:rPr>
                <w:sz w:val="20"/>
                <w:szCs w:val="20"/>
                <w:color w:val="auto"/>
              </w:rPr>
            </w:pPr>
            <w:r>
              <w:rPr>
                <w:rFonts w:ascii="Arial" w:cs="Arial" w:eastAsia="Arial" w:hAnsi="Arial"/>
                <w:sz w:val="18"/>
                <w:szCs w:val="18"/>
                <w:color w:val="auto"/>
              </w:rPr>
              <w:t>$18.18</w:t>
            </w:r>
          </w:p>
        </w:tc>
        <w:tc>
          <w:tcPr>
            <w:tcW w:w="1440" w:type="dxa"/>
            <w:vAlign w:val="bottom"/>
            <w:gridSpan w:val="2"/>
            <w:vMerge w:val="restart"/>
          </w:tcPr>
          <w:p>
            <w:pPr>
              <w:jc w:val="center"/>
              <w:ind w:left="390"/>
              <w:spacing w:after="0"/>
              <w:rPr>
                <w:sz w:val="20"/>
                <w:szCs w:val="20"/>
                <w:color w:val="auto"/>
              </w:rPr>
            </w:pPr>
            <w:r>
              <w:rPr>
                <w:rFonts w:ascii="Arial" w:cs="Arial" w:eastAsia="Arial" w:hAnsi="Arial"/>
                <w:sz w:val="18"/>
                <w:szCs w:val="18"/>
                <w:color w:val="auto"/>
                <w:w w:val="91"/>
              </w:rPr>
              <w:t>5.40</w:t>
            </w:r>
          </w:p>
        </w:tc>
        <w:tc>
          <w:tcPr>
            <w:tcW w:w="1640" w:type="dxa"/>
            <w:vAlign w:val="bottom"/>
            <w:gridSpan w:val="2"/>
            <w:vMerge w:val="restart"/>
          </w:tcPr>
          <w:p>
            <w:pPr>
              <w:ind w:left="76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1,698</w:t>
            </w:r>
          </w:p>
        </w:tc>
        <w:tc>
          <w:tcPr>
            <w:tcW w:w="38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2009</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1,285</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$17.22</w:t>
            </w:r>
          </w:p>
        </w:tc>
        <w:tc>
          <w:tcPr>
            <w:tcW w:w="1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4.37</w:t>
            </w:r>
          </w:p>
        </w:tc>
        <w:tc>
          <w:tcPr>
            <w:tcW w:w="16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aggregate intrinsic value in the table above represents the total pre-tax intrinsic value that option holders would have received had all option holders exercised their options on September 30, 2009. The aggregate intrinsic value is the difference between the closing price of Universal Electronics Inc.’s common stock on the last trading day of the third quarter of 2009 and the option exercise price, multiplied by the number of in-the-money options. The total intrinsic value of options exercised for the three months ended September 30, 2009 and 2008, was $0.6 million and $0.7 million, respectively. The total intrinsic value of options exercised for the nine months ended September 30, 2009 and 2008, was $1.9 million and $1.4 million, respectively.</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September 30, 2009, there was $3.2 million of unrecognized pre-tax stock-based compensation expense related to non-vested stock options which we expect to recognize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expense related to restricted stock awards is determined based on the fair value of the shares awarded on the grant date. We determined the fair value of the restricted stock utilizing the average of the high and low trade prices of our Company’s shares on the grant date. We recognize the compensation expense over the service period of the award, which is the vesting term ranging from one to four years. The compensation expense recognized for restricted stock awards at any date is equal to the portion of the grant-date fair value that is vested on that date.</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nine months ended September 30, 2009, the Compensation Committee and Board of Directors granted 298,170 shares of restricted stock to employees under the 2006 Stock Incentive Plan. The first grant of 77,146 shares, dated February 12, 2009, is subject to a three-year vesting period (5% each quarter during the first two years and 15% each quarter during the third year). The second grant of 24,723 shares, dated March 4, 2009, is subject to a two-year vesting period (12.5% each quarter). The third and fourth grants of 147,693 and 3,108 shares, dated March 10, 2009 and August 18, 2009, respectively, are subject to a three-year vesting period (8.75% each quarter during the first two years and 7.5% each quarter during the third year). The fifth grant of 40,500 shares, dated March 10, 2009, is subject to a four-year vesting period (6.25% each quarter). In addition to the grants above, 5,000 shares of restricted stock, subject to a four-year vesting period (6.25% each quarter), were granted to new hires. The aggregate grant date fair value of these awards was $4.5 million. The pre-tax stock-based compensation expense included in SG&amp;A related to these awards was $0.4 million and $0.8 million for the three and nine months ended September 30, 2009, respectively.</w:t>
      </w:r>
    </w:p>
    <w:p>
      <w:pPr>
        <w:spacing w:after="0" w:line="7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addition to the employee grants above, 25,000 shares of restricted stock were granted to our outside directors on July 1, 2009 as a part of their annual compensation package. These shares are subject to a one-year vesting period (25% each quarter). The aggregate grant date fair value of these awards was $0.5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activity of non-vested restricted stock awards during the nine months ended September 30, 2009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323</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Forfeited</w:t>
            </w:r>
          </w:p>
        </w:tc>
        <w:tc>
          <w:tcPr>
            <w:tcW w:w="38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2009</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316</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2009, we expect to recognize $5.2 million of unrecognized pre-tax stock-based compensation expense related to non-vested restricted stock awards over a weighted-average period of 2.1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Term Deposit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cash equivalents, and term deposit that were accounted for at fair value on a recurring basis as of September 30,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Asset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9/30/2009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30,099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Term deposit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49,125</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49,125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79,224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located in many different geographic regions. As part of our risk management processes, we perform periodic evaluations of the relative credit standing of these financial institutions. We attempt to mitigate our exposure to interest rate, liquidity, credit and other relevant risks by placing our cash and cash equivalents with financial institutions we believe are adequately capitalized. We have not sustained credit losses from instruments held at financial institutions.</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September 30, 2009, we had approximately $13.6 million, $11.0 million, $3.6 million, and $1.9 million of cash and cash equivalents in the United States, Europe, Asia and Cayman Islands, respectively. At December 31, 2008, we had approximately $8.4 million, $6.1 million, and $60.7 million of cash and cash equivalents in the United States, Europe, and Asia, respectively.</w:t>
      </w:r>
    </w:p>
    <w:p>
      <w:pPr>
        <w:spacing w:after="0" w:line="7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September 30, 2009, we had a six month term deposit cash account at Wells Fargo Bank denominated in Hong Kong dollars. The term began on July 21, 2009 and will end on January 21, 2010. The term deposit earns interest at an annual rate of 0.57%. There are no penalties assessed for early withdrawal. The deposit amount and accrued interest related to this account as of September 30, 2009 was $49.1 million and $0.4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at September 30, 2009 and December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59,680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(2,499)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(2,439)</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Trade receivable, net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59,752</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59,825</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Other receivables as of September 30, 2009 includes $56 thousand in sales tax and VAT receivable and $235 thousand reimbursable from a vendor for quality issues. As of September 30, 2009 and December 31, 2008 other receivables include a $73 thousand discount receivable from a vendor for tooling.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and nine months ended September 30, 2009 and 2008, we had net sales to two significant customers that amounted to more than 10% of our total net sales.</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Net sales to one significant customer, when combined with its sub-contractors, totaled $16.6 million and $16.7 million, accounting for 20.0% and 21.9% of our total net sales, for the three months ended September 30, 2009 and 2008, respectively. Net sales made to this customer and its subcontractors were $53.9 million and $39.8 million, representing 23.2% and 19.1% of our total net sales during the nine months ended September 30, 2009 and 2008, respectively. Trade receivables with this customer and its sub-contractors amounted to $8.5 million and $11.7 million, or 15.2% and 19.5% of our accounts receivable, net at September 30, 2009 and December 31, 2008, respectively.</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to another significant customer, when combined with its sub-contractors, totaled $9.2 million and $10.1 million, accounting for 11.1% and 13.2% of our total net sales, for the three months ended September 30, 2009 and 2008, respectively. Net sales to this customer and its subcontractors was $24.6 million and $21.6 million, representing 10.6% and 10.3% of our total net sales during the nine months ended September 30, 2009 and 2008, respectively. Trade receivables with this customer amounted to $3.7 million and $9.1 million, or 6.6% and 15.3% of our accounts receivable, net at September 30, 2009 and December 31, 2008, respectively.</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loss of any of these customers, or our inability to maintain order volume with them, would have a material adverse effect on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Inventories consist of remote controls, audio-video accessories and the related component parts.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w:t>
      </w:r>
    </w:p>
    <w:p>
      <w:pPr>
        <w:spacing w:after="0" w:line="3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its estimated market value. These estimates are based upon management’s judgment about future demand and market conditions. If actual market conditions are less favorable than those projected by management, additional write-downs may be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37,880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37,331</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three months ended September 30, 2009 and 2008, inventory provisions totaled $0.7 million and $0.7 million, respectively. During the nine months ended September 30, 2009 and 2008, inventory provisions totaled $2.9 million and $1.7 million, respectively. Inventory provisions are a normal part of our business and result primarily from product life cycle estimation variances.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Most of the components used in our products are available from multiple sources. We have elected to purchase integrated circuits (“IC”), used principally in our wireless control products, from two main sources. Purchases from one of these suppliers amounted to more than 10% of total inventory purchases. Purchases from this supplier amounted to $7.3 million and $7.2 million, representing 14.5% and 14.2% of total inventory purchases for the three months ended September 30, 2009 and 2008, respectively. Purchases from this supplier amounted to $20.9 million and $21.1 million, representing 14.7% and 15.6% of total inventory purchases for the nine months ended September 30, 2009 and 2008, respectively. Accounts payable with this supplier amounted to $4.3 million and $3.6 million, representing 10.8% and 8.1% of total accounts payable at September 30, 2009 and December 31, 2008, respectively.</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months ended September 30, 2009, purchases from three of our component and finished good suppliers amounted to more than 10% of total inventory purchases. Purchases from these three suppliers amounted to $13.0 million, $11.4 million and $6.7 million, representing 26.0%, 22.8% and 13.4%, respectively, of total inventory purchases for the three months ended September 30, 2009. During the three months ended September 30, 2008, purchases from these three suppliers amounted to $14.1 million, $9.7 million and $4.6 million, representing 27.8%, 19.2% and 9.1%, respectively, of total inventory purchases.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September 30, 2009, purchases from three of our component and finished good suppliers amounted to more than 10% of total inventory purchases. Purchases from these three suppliers amounted to $36.3 million, $32.9 million and $21.2 million, representing 25.5%, 23.1% and 14.9%, respectively, of total inventory purchases for the nine months ended September 30, 2009. During the nine months ended September 30, 2008, purchases from these three suppliers amounted to $38.9 million, $22.8 million and $12.6 million, representing 28.8%, 16.9% and 9.3%, respectively, of total inventory purchases.</w:t>
      </w:r>
    </w:p>
    <w:p>
      <w:pPr>
        <w:spacing w:after="0" w:line="8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Accounts payable with these component and finished good suppliers amounted to $9.0 million, $11.3 million and $5.9 million, representing 22.6%, 28.5% and 14.8%, respectively, of total accounts payable at September 30, 2009. At December 31, 2008, accounts payable with the same suppliers amounted to $11.0 million, $15.6 million and $5.4 million, representing 24.7%, 35.0% and 12.0%, respectively, of total accounts payable. No other component and finished good suppliers accounted for more than 10% of total inventory purchases during the three or nine months ended September 30, 2009 or 2008.</w:t>
      </w:r>
    </w:p>
    <w:p>
      <w:pPr>
        <w:spacing w:after="0" w:line="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identified alternative sources of supply for these ICs, components, and finished goods; however, there can be no assurance that we will be able to continue to obtain these inventory purchases on a timely basis. We generally maintain inventories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our estimated annual effective tax rate to determine our provision for income taxes for interim periods. The income tax provision for the third quarter 2009 is computed by taking the estimated annual effective tax rate and multiplying it by the year-to-date pre-tax book income, and subtracting the amount of provision recorded during the prior quarter. We recorded income tax expense of $2.6 million and $2.3 million for the three months ended September 30, 2009 and 2008, respectively. Our effective tax rate was 37.7% and 37.0% during the three months ended September 30, 2009 and 2008, respectively. We recorded income tax expense of $5.2 million and $5.4 million for the nine months ended September 30, 2009 and 2008, respectively. Our annual estimated effective tax rate was 37.3% and 35.1% during the nine months ended September 30, 2009 and 2008, respectively. The increase in our effective tax rate during the nine months ended September 30, 2009 is the result of a higher percentage of income earned in higher tax rate jurisdictions coupled with lower federal research and development tax credits.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2009, we had gross unrecognized tax benefits of approximately $9.1 million, including interest and penalties, of which approximately</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$8.3 million of this amount would affect the annual effective tax rate, if these tax benefits are realized. Further, we are unaware of any positions for which it is reasonably possible that the total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amounts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were $1.5 million at September 30, 2009 and $1.2 million at December, 31, 2008 and are included in the unrecognized tax benefits.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September 30, 2009, the open statutes of limitations in our significant tax jurisdictions are as follows: federal and state for 2004 through 2008, and non-U.S. for 2001 through 2008. Unrecognized tax benefits at September 30, 2009 of $6.1 million, including related interest of $1.1 million, are classified as short term as we expect to settle certain foreign audits during 2009. The remainder of the gross unrecognized tax benefits of $3.0 million is classified as long term as we do not anticipate payment of cash related to those unrecognized tax benefits within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the computation of diluted earnings per common share for the three months ended September 30, 2009 and 2008, we have excluded 749,025 and 417,492 stock options, respectively, with exercise prices greater than the average market price of the underlying common stock, because their inclusion would have been anti-dilutive. Furthermore, for the three months ended September 30, 2009 and 2008, we have excluded 264,666 and 121,322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6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the computation of diluted earnings per common share for the nine months ended September 30, 2009 and 2008, we have excluded 906,387 and 396,036 stock options, respectively, with exercise prices greater than the average market price of the underlying common stock, because their inclusion would have been anti-dilutive. Furthermore, for the nine months ended September 30, 2009 and 2008, we have excluded 238,238 and 106,029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nine months ended September 30, 2009 and 2008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BASIC</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8,835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13,687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13,919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13,656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14,144</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DILUTED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8,835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13,687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13,919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13,656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14,008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14,643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vMerge w:val="restart"/>
          </w:tcPr>
          <w:p>
            <w:pPr>
              <w:jc w:val="right"/>
              <w:ind w:right="65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(11,514)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10,021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79"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The foreign currency translation gain of $1.2 million for the nine months ended September 30, 2009 was due to the weakening of the U.S. dollar against the Euro. The U.S. dollar/Euro spot rate was 1.46 and 1.39 at September 30, 2009 and December 31, 2008, respectively. The foreign currency translation loss of $3.9 million for the nine months ended September 30, 2008 was due to the strengthening of the U.S. dollar against the Euro. The U.S. dollar/Euro spot rate was 1.41 and 1.46 at September 30, 2008 and December 31, 2007,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Line</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 $15 million unsecured revolving credit line (“Credit Facility”) with Comerica Bank, which expired on August 31, 2009. On August 31, 2009, we received a three month extension from Comerica. Under the existing Credit Facility, the interest payable is variable and is based on the bank’s cost of funds or 12-month LIBOR plus a fixed margin of 1.25%. The interest rate in effect as of September 30, 2009 using 12-month LIBOR plus a fixed margin of 1.25% was 2.52%. We pay a commitment fee ranging from zero to a maximum rate of 0.25% per year on the unused portion of the credit line depending on the amount of cash investment retained with Comerica during each quarter. At September 30, 2009,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September 30, 2009, we did not have any outstanding import letters of credit and the available balance on the line of credit was $15 million. Furthermore, as of September 30, 2009, we were in compliance with all financial covenants required by the Credit Facility.</w:t>
      </w:r>
    </w:p>
    <w:p>
      <w:pPr>
        <w:spacing w:after="0" w:line="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September 30, 2009, we were authorized to repurchase 2,636,630 shares. As of September 30, 2009, we have purchased 1,974,670 shares of our common stock, leaving 661,960 shares available for purchase under the Credit Facility.</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currently negotiating a new credit agreement. Presently, we have no borrowings under our existing Credit Facility, however we cannot make any assurances that we will not need to borrow amounts under this facility or that a new facility will be extended to us under comparable terms or at all. If our current Credit Facility or any other credit facility is not available to us at a time when we need to borrow, we would have to use our cash reserves, which may have a material adverse effect on our financial condition, results of operations, and cash flows.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at September 30, 2009 and December 31, 2008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Accrued sales tax and VAT</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Sales tax to be refunded</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nine months ended September 30, 2009 and 2008, we repurchased 288,452 and 913,714 shares of our common stock at a cost of $5.2 million and $21.6 million, respectively. Repurchased shares are recorded as shares held in treasury at cost. We generally hold these shares for future use as our management and Board of Directors deem appropriate, which may include compensating outside directors and executives of the Company. During the nine months ended September 30, 2009 and 2008, we issued 18,750 and 17,188 shares, respectively, to outside directors for services performed (see Note 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accordance with U.S. GAAP, the unit of accounting for goodwill is at a level of reporting referred to as a “reporting unit.” A reporting unit is defined as either (1) an operating segment — as defined by U.S. GAAP, or (2) one level below an operating segment — referred to as a component. Our domestic and international components are “reporting units” within our single operating segment “Core Business.” Goodwill is not amortized, but is evaluated for impairment as of December 31st of each year and between annual evaluations, if events occur or circumstances change indicating that it is more likely than not the fair value of a reporting unit has been reduced below its carrying amount.</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 software company (SimpleDevices, Inc.) in 2004 and certain assets and intellectual property from Zilog, Inc. in the first quarter of 2009. Goodwill related to our international component resulted from the acquisition of remote control distributors in the UK in 1998, Spain in 1999 and France in 2000.</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goodwill amounts related to our domestic and international components at September 30, 2009 and December 31, 2008 were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(1)</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11,216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2009, we acquired certain assets and intellectual property from Zilog, Inc. which resulted in $2.9 million of goodwill. Refer to Note 16 for further discussion related to the purchase.</w:t>
      </w:r>
    </w:p>
    <w:p>
      <w:pPr>
        <w:spacing w:after="0" w:line="21"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September 30, 2009, as compared to the goodwill reported at December 31, 2008, is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other intangible assets consist primarily of distribution rights, patents, trademarks, purchased technologies, capitalized software development costs, and customer relationships. Capitalized amounts related to our patents represent external legal costs incurred for their applications and maintenance. Our intangible assets, other than capitalized software development, are amortized utilizing the straight-line method over our estimated period of economic benefit, ranging from one to fifteen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are amortized on a product-by-product basis. Amortization is the greater amount computed using:</w:t>
      </w:r>
    </w:p>
    <w:p>
      <w:pPr>
        <w:spacing w:after="0" w:line="117" w:lineRule="exact"/>
        <w:rPr>
          <w:sz w:val="20"/>
          <w:szCs w:val="20"/>
          <w:color w:val="auto"/>
        </w:rPr>
      </w:pPr>
    </w:p>
    <w:p>
      <w:pPr>
        <w:ind w:left="260" w:right="20" w:hanging="252"/>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intangible assets, net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2009</w:t>
            </w: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7,636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Developed and core technology (5-15 years)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(1-2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1,420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Customer relationships (15 years)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table excludes fully amortized intangible assets of $7.6 million and $5.9 million as of September 30, 2009 and December 31, 2008, respectively.</w:t>
      </w:r>
    </w:p>
    <w:p>
      <w:pPr>
        <w:spacing w:after="0" w:line="99" w:lineRule="exact"/>
        <w:rPr>
          <w:rFonts w:ascii="Arial" w:cs="Arial" w:eastAsia="Arial" w:hAnsi="Arial"/>
          <w:sz w:val="16"/>
          <w:szCs w:val="16"/>
          <w:color w:val="auto"/>
        </w:rPr>
      </w:pPr>
    </w:p>
    <w:p>
      <w:pPr>
        <w:ind w:left="460" w:right="28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16 for further discussion regarding the purchase.</w:t>
      </w:r>
    </w:p>
    <w:p>
      <w:pPr>
        <w:spacing w:after="0" w:line="21"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2009, we purchased customer relationships from Zilog, Inc. valued at $3.1 million, which is being amortized ratably over fifteen years. Refer to Note 16 for further discussion regarding the purchase.</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for capitalized software development amortization which is recorded in cost of sales. Amortization expense for the three months ended September 30, 2009 and 2008 was approximately $0.5 million and $0.4 million, respectively. Amortization expense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2009 and 2008 was approximately $1.4 million and $1.1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net at September 30, 2009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3 months)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2010</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2012</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11,821</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accordance with U.S. GAAP, fair value is defined as the price that would be received to sell an asset or paid to transfer a liability in an orderly transaction between market participants at the measurement date (exit price). Inputs to measure fair value are classified into the following hierarchy: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Unadjusted quoted prices in active markets for similar assets or liabilities, 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Unadjusted quoted prices for identical or similar assets or liabilities in markets that are not active, 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fair value adjustments for intangible assets measured at fair value on a nonrecurring basis during the nine months ended September 30, 2009 were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4"/>
          </w:tcPr>
          <w:p>
            <w:pPr>
              <w:jc w:val="right"/>
              <w:ind w:right="1204"/>
              <w:spacing w:after="0"/>
              <w:rPr>
                <w:sz w:val="20"/>
                <w:szCs w:val="20"/>
                <w:color w:val="auto"/>
              </w:rPr>
            </w:pPr>
            <w:r>
              <w:rPr>
                <w:rFonts w:ascii="Arial" w:cs="Arial" w:eastAsia="Arial" w:hAnsi="Arial"/>
                <w:sz w:val="14"/>
                <w:szCs w:val="14"/>
                <w:b w:val="1"/>
                <w:bCs w:val="1"/>
                <w:color w:val="auto"/>
                <w:w w:val="99"/>
              </w:rPr>
              <w:t>Fair Value Measurement Using</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60" w:type="dxa"/>
            <w:vAlign w:val="bottom"/>
          </w:tcPr>
          <w:p>
            <w:pPr>
              <w:spacing w:after="0"/>
              <w:rPr>
                <w:sz w:val="12"/>
                <w:szCs w:val="12"/>
                <w:color w:val="auto"/>
              </w:rPr>
            </w:pP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Significant Other</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2"/>
          </w:tcPr>
          <w:p>
            <w:pPr>
              <w:ind w:left="720"/>
              <w:spacing w:after="0"/>
              <w:rPr>
                <w:sz w:val="20"/>
                <w:szCs w:val="20"/>
                <w:color w:val="auto"/>
              </w:rPr>
            </w:pPr>
            <w:r>
              <w:rPr>
                <w:rFonts w:ascii="Arial" w:cs="Arial" w:eastAsia="Arial" w:hAnsi="Arial"/>
                <w:sz w:val="14"/>
                <w:szCs w:val="14"/>
                <w:b w:val="1"/>
                <w:bCs w:val="1"/>
                <w:color w:val="auto"/>
              </w:rPr>
              <w:t>9/30/2009</w:t>
            </w:r>
          </w:p>
        </w:tc>
        <w:tc>
          <w:tcPr>
            <w:tcW w:w="4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Patents and trademarks</w:t>
            </w:r>
          </w:p>
        </w:tc>
        <w:tc>
          <w:tcPr>
            <w:tcW w:w="420" w:type="dxa"/>
            <w:vAlign w:val="bottom"/>
          </w:tcPr>
          <w:p>
            <w:pPr>
              <w:spacing w:after="0"/>
              <w:rPr>
                <w:sz w:val="19"/>
                <w:szCs w:val="19"/>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$4,296</w:t>
            </w:r>
          </w:p>
        </w:tc>
        <w:tc>
          <w:tcPr>
            <w:tcW w:w="4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Borders>
              <w:top w:val="single" w:sz="8" w:color="auto"/>
            </w:tcBorders>
          </w:tcPr>
          <w:p>
            <w:pPr>
              <w:jc w:val="right"/>
              <w:ind w:right="464"/>
              <w:spacing w:after="0"/>
              <w:rPr>
                <w:sz w:val="20"/>
                <w:szCs w:val="20"/>
                <w:color w:val="auto"/>
              </w:rPr>
            </w:pPr>
            <w:r>
              <w:rPr>
                <w:rFonts w:ascii="Arial" w:cs="Arial" w:eastAsia="Arial" w:hAnsi="Arial"/>
                <w:sz w:val="18"/>
                <w:szCs w:val="18"/>
                <w:color w:val="auto"/>
              </w:rPr>
              <w:t>$4,296</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accordance with U.S. GAAP, nine patents and ten trademarks with an aggregate carrying amount of $9 thousand were disposed of, resulting in impairment charges of $9 thousand during the nine months ended September 30, 2009, which was included in selling, general and administrative expenses. These assets no longer held any probable future economic benefits and were written-off. For further information about the valuation methodology utilized, see Note 2 under the caption </w:t>
      </w:r>
      <w:r>
        <w:rPr>
          <w:rFonts w:ascii="Arial" w:cs="Arial" w:eastAsia="Arial" w:hAnsi="Arial"/>
          <w:sz w:val="17"/>
          <w:szCs w:val="17"/>
          <w:i w:val="1"/>
          <w:iCs w:val="1"/>
          <w:color w:val="auto"/>
        </w:rPr>
        <w:t>Long-Lived Assets and Intangible Assets</w:t>
      </w:r>
      <w:r>
        <w:rPr>
          <w:rFonts w:ascii="Arial" w:cs="Arial" w:eastAsia="Arial" w:hAnsi="Arial"/>
          <w:sz w:val="17"/>
          <w:szCs w:val="17"/>
          <w:color w:val="auto"/>
        </w:rPr>
        <w:t xml:space="preserve"> in our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U.S. GAAP an operating segment is defined,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principles. We currently operate in one business segment “Core Business.”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49,129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43,543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$ 145,491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$ 113,355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18,244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13,411</w:t>
            </w:r>
          </w:p>
        </w:tc>
        <w:tc>
          <w:tcPr>
            <w:tcW w:w="6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42,535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Australia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1,127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1,381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2,515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1,817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Italy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667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1,921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Portugal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1,246</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1,709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4,477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4,505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5,388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11,704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5,561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12,933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34,053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32,989</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87,120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83,182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76,532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$ 232,611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$ 208,407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customer’s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by our domestic and international components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6,363</w:t>
            </w:r>
          </w:p>
        </w:tc>
        <w:tc>
          <w:tcPr>
            <w:tcW w:w="6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6,525</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determined that the fair value of our derivatives are derived from Level 2 inputs in the fair value hierarchy. The following table sets forth our derivatives that were accounted for at fair value on a recurring basis as of September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9/30/2009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futures contract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Foreign currency exchange put option contract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approximately $0.04 million and $1.3 million for the three months ended September 30, 2009 and 2008, respectively. For the nine months ended September 30, 2009 and 2008, we had a net pre-tax loss of approximately $0.5 million and $0.8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held one US dollar/Euro futures contract with a notional value of $1.0 million and a forward rate of $1.455 USD/Euro at September 30, 2009. We held the Euro position on this contract, which settled on October 7, 2009. The gain on this contract as of September 30, 2009 was $6 thousand and is included in prepaid expenses and other current assets.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held one US dollar/Euro futures contract with a notional value of $9.0 million and a forward rate of $1.277 USD/Euro at December 31, 2008. We held the Euro position on this contract, which settled on January 7, 2009. The gain on this contract as of December 31, 2008 was $0.8 million and was included in prepaid expenses and other current assets. This contract was settled at $0.4 million, resulting in a loss of $0.4 million in January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entered into a USD/GBP put option with a notional value of $4.3 million in July 2009. The strike price of the put is $1.64 USD/GBP. The contract expires on December 31, 2009. The fair value of this put option was $81 thousand at September 30, 2009 which is included in prepaid expenses and other current assets. The loss on this contract during the quarter ended September 30, 2009 was $60 thousand and is included in other income (expense), net.</w:t>
      </w:r>
    </w:p>
    <w:p>
      <w:pPr>
        <w:spacing w:after="0" w:line="3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August 2008, we entered into a USD/GBP put option with a notional value of $5.0 million. That contract expired on December 31, 2008 and settled on January 5, 2009. The fair value of this put option was approximately $0.6 million at December 31, 2008, which was included in prepaid expenses and other current assets. This contract was settled at $0.4 million, resulting in a loss of $0.2 million in January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cost of sales, as we sell the related products. Warranty expense is a forecast based on primarily historical claims experience. Actual claim costs may differ from the amounts provided.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8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5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Nine Months Ended September 30, 2009</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Nine Months Ended September 30, 2008</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178</w:t>
            </w:r>
          </w:p>
        </w:tc>
        <w:tc>
          <w:tcPr>
            <w:tcW w:w="5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w w:val="87"/>
              </w:rPr>
              <w:t>(89)</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first quarter of 2009, we entered into an agreement with a vendor to purchase a minimum percentage of our total requirements for a component part over a five year period. The contract allows a ramp-up period of one year. Based on our current volume, we estimate our total financial commitment to be approximately $40 million over the five year period. As of September 30, 2009, we purchased $1.0 million in component parts from this vendor.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February 19, 2009, we filed suit against Warren Communications News, Inc. claiming that through the unauthorized use of embedded email tracking and intercepting software and code, Warren has violated the Computer Fraud and Abuse Act, the Stored Communications Act, and various applicable California laws. In addition we are asking for a declaration that we are not infringing Warren’s copyright to a daily electronic publication. On March 19, 2009, Warren answered our complaint with a general denial of all of our allegations. On the same date as filing their answer, Warren counterclaimed alleging copyright infringement seeking unspecified damages. On or about April 13, 2009, we answered Warren’s counterclaim denying their claim of copyright infringement and asserted numerous affirmative defenses. In addition, while discovery is continuing in this matter, it is still in the preliminary stages, thus, at this time we are unable to estimate the likely outcome of this matter and the amount, if any, of recovery to be awarded to any party at this time.</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Based on our performance during 2007, management accrued $1.0 million for bonuses under the ELTIP, however, based on the 2008 results, it was determined that no bonus was earned under the terms of the ELTIP. As a result, we lowered our ELTIP accrual from $1.0 million at December 31, 2007 to $0 at December 31, 2008. This adjustment resulted in a $1.0 million benefit to pre-tax income for the twelve months ended December 31, 2008.</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Notwithstanding the ELTIP results, our Compensation Committee decided to award a discretionary bonus of $1.0 million, to be paid out quarterly over the next two years (2009 and 2010). The Compensation Committee came to this decision after reviewing the economic environment and our relative financial and operating performance. The Compensation Committee believes this bonus is in alignment with our stockholders’ interests as well as our performance and retention objectives. As a result, on December 31, 2008 we accrued $0.5 million for this discretionary bonus which was included in accrued compensation. The amount of a participant’s earned award will be paid in cash. Each participant’s earned award is vesting in eight equal quarterly installments which began March 31, 2009 and will end December 31, 2010. In the event a participant terminates their employment during the service period (January 1, 2009 through December 31, 2010), they will forfeit their right to any remaining installments where the payment date has not yet occurred. The amount expensed related to this discretionary bonus during the three and nine months ended September 30, 2009 was $0.1 million and $0.2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September 30, 2009, the amounts deferred under the plan were immaterial to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India subsidiary maintains a defined benefit pension plan (“India Plan”) for local employees, which is consistent with local statutes and practices. As of September 30, 2009, based on its latest actuarial report, the pension plan was adequately funded. The India Plan has an independent external manager that advises us of the appropriate funding contribution requirements to which we comply. At September 30, 2009, approximately 20 percent of our India subsidiary employees had qualified for eligibility. Generally, an employee must be employed by the company for a minimum of five years before becoming eligible. At the time of eligibility we are liable, on termination, resignation or retirement, to pay the employee an amount equal to fifteen days salary for each full year of service completed. The total amount of liability outstanding at September 30, 2009 for the India Plan is not material. During the nine months ended September 30, 2009, the net periodic benefit costs were also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Acquisition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115 of Zilog’s sales and engineering personnel, including all 103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cross—licensed the remote control technology and intellectual property with Maxim Integrated Products for purpose of conducting our respective businesses. The arrangement involves an agreement to source silicon chips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Maxim. For the first year we will be the exclusive sales agent of universal remote control chips for Maxim, selling the Zilog designs to Zilog’s former customers. We expect this arrangement to be mildly accretive to our earnings in 2009, excluding acquisition costs. Beginning in the second year, we will take over full sales and distribution rights to Zilog’s former customers, and we anticipate this position will lead to growth in revenue and earnings going forward. Our consolidated financial statements include the operating results of the acquired assets, employees hired, and the related agreement with Maxim from February 18, 2009. We recognized net revenue of $1.3 million and $3.1 million and earnings of $0.1 million and $0.5 million related to the acquisition during the three and nine months ended September 30, 2009, excluding acquisition costs of $1.1 million.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price of approximately $9.5 million has been allocated to the net assets acquired based on their estimated fair values as follow:</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vMerge w:val="restart"/>
          </w:tcPr>
          <w:p>
            <w:pPr>
              <w:spacing w:after="0"/>
              <w:rPr>
                <w:sz w:val="20"/>
                <w:szCs w:val="20"/>
                <w:color w:val="auto"/>
              </w:rPr>
            </w:pPr>
            <w:r>
              <w:rPr>
                <w:rFonts w:ascii="Arial" w:cs="Arial" w:eastAsia="Arial" w:hAnsi="Arial"/>
                <w:sz w:val="18"/>
                <w:szCs w:val="18"/>
                <w:color w:val="auto"/>
              </w:rPr>
              <w:t>Purchase price</w:t>
            </w: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the total purchase price, approximately $6.6 million was allocated to intangible assets subject to amortization including the database and customer relationships.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approximately fifteen years.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approximately fifteen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Goodwill represents the excess of the cost (purchase price) over the estimated fair value of identifiable tangible and intangible assets acquired. Goodwill from this transaction of $2.9 million will not be amortized, but will be analyzed for impairment at least on an annual basis in accordance with U.S. GAAP. We review our goodwill for impairment annually as of December 31st and whenever events or changes in circumstances indicate that an impairment loss may have occurred. Of the total goodwill recorded, none is expected to be deductible for tax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recognized $0 and $1.1 million of total acquisition costs related to the Zilog transaction in selling, general and administrative expenses during the three and nine months ended September 30, 2009, respectively. The acquisition costs consisted of primarily legal and investment banking services. Of the $1.1 million of transaction costs recognized during the nine months ended September 30, 2009, $0.1 million was capitalized at December 31,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unaudited pro forma financial information presents the combined results of our operations and the operations of the acquisition from Zilog as if the acquisition had occurred at the beginning of the periods presented. Adjustments netting $0 and $0.04 million for the three and nine months ended September 30, 2009, respectively, have been made to the combined results of operations, primarily reflecting net sales, salary costs and the amortization of purchased intangible assets. Net adjustments of $0.1 million have been added and $0.5 million have been subtracted to the combined results of operations for the three and nine months ended September 30, 2008, respectively, reflecting primarily net sales, salary costs, amortization of purchased intangible assets and the acquisition costs. All adjustments are net of their related tax effects.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and nine months ended September 30,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3"/>
              </w:rPr>
              <w:t>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83,182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7"/>
              </w:rPr>
              <w:t>77,782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233,098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6"/>
              </w:rPr>
              <w:t>212,032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4,073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8,796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0.29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U.S.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infrared remote (“IR”) controlled TVs, DVD players, cable converters, CD players, audio components and satellite receivers, as well as most other infrared remote controlled devices worldwide.</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415,000 individual device functions and over 3,700 individual consumer electronic equipment brand names. Our library is regularly updated with IR codes used in newly introduced video and audio devices. All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twelve subsidiaries located in Argentina, Cayman Islands, France, Germany (2), Hong Kong,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nine months ended September 30, 2009:</w:t>
      </w:r>
    </w:p>
    <w:p>
      <w:pPr>
        <w:spacing w:after="0" w:line="117" w:lineRule="exact"/>
        <w:rPr>
          <w:sz w:val="20"/>
          <w:szCs w:val="20"/>
          <w:color w:val="auto"/>
        </w:rPr>
      </w:pPr>
    </w:p>
    <w:p>
      <w:pPr>
        <w:ind w:left="660" w:right="7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revenue grew 11.6% from $208.4 million for the nine months ended September 30, 2008 to $232.6 million for the nine months ended September 30, 2009.</w:t>
      </w:r>
    </w:p>
    <w:p>
      <w:pPr>
        <w:spacing w:after="0" w:line="75" w:lineRule="exact"/>
        <w:rPr>
          <w:rFonts w:ascii="Arial" w:cs="Arial" w:eastAsia="Arial" w:hAnsi="Arial"/>
          <w:sz w:val="18"/>
          <w:szCs w:val="18"/>
          <w:b w:val="1"/>
          <w:bCs w:val="1"/>
          <w:color w:val="auto"/>
        </w:rPr>
      </w:pPr>
    </w:p>
    <w:p>
      <w:pPr>
        <w:ind w:left="660" w:right="5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sales growth in the first nine months of 2009 was the result of strong demand from customers in our business category, due in part to the continuation of the upgrade cycle from analog to digital, consumer demand for advanced-function offerings from subscription broadcasters, increased share with existing customers, and new customer wins.</w:t>
      </w:r>
    </w:p>
    <w:p>
      <w:pPr>
        <w:spacing w:after="0" w:line="86" w:lineRule="exact"/>
        <w:rPr>
          <w:rFonts w:ascii="Arial" w:cs="Arial" w:eastAsia="Arial" w:hAnsi="Arial"/>
          <w:sz w:val="18"/>
          <w:szCs w:val="18"/>
          <w:b w:val="1"/>
          <w:bCs w:val="1"/>
          <w:color w:val="auto"/>
        </w:rPr>
      </w:pPr>
    </w:p>
    <w:p>
      <w:pPr>
        <w:ind w:left="660" w:hanging="436"/>
        <w:spacing w:after="0" w:line="289"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Our operating income for the first nine months of 2009 increased 7.1% to $13.9 million from operating income of $13.0 million in the first nine months of 2008. Our operating margin percentage decreased from 6.2% in the first nine months of 2008 to 5.9% in the first nine months of 2009 due primarily to the decrease in our gross margin percentage offset partially by the decrease in operating expense as a percentage of revenue. Our gross margin percentage decreased from 34.0% in the first nine months of 2008 to 31.4% in the first nine months of 2009. The decrease in our gross margin rate was due primarily to the weakening of the Euro and British pound compared to the U.S. dollar. Sales mix also contributed to the decline in our gross margin percentage, as a higher percentage of our total sales was comprised of our lower-margin Business category. In addition, sales mix also contributed to the decrease in our gross margin rate as consumers trended towards value-oriented products. Operating expenses decreased from 27.8% of revenue for the nine months ended September 30, 2008 to 25.5% for the nine months ended September 30, 2009, despite incurring $1.1 million of deal related costs in the first nine months of 2009 relating to the acquisition of assets from Zilog,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2009 include the following:</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nine months ended September 30, 2009 to the items that we disclosed as our critical accounting policies and estimates in Item 7, “Management’s Discussion and Analysis of Financial Condition and Results of Operations” contained in our Annual Report on Form 10-K for our fiscal year ended December 31,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nine months ended September 30,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4"/>
                <w:szCs w:val="14"/>
                <w:color w:val="auto"/>
              </w:rPr>
            </w:pPr>
          </w:p>
        </w:tc>
        <w:tc>
          <w:tcPr>
            <w:tcW w:w="25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6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68.</w:t>
            </w:r>
            <w:r>
              <w:rPr>
                <w:rFonts w:ascii="Arial" w:cs="Arial" w:eastAsia="Arial" w:hAnsi="Arial"/>
                <w:sz w:val="18"/>
                <w:szCs w:val="18"/>
                <w:u w:val="single" w:color="auto"/>
                <w:color w:val="auto"/>
                <w:w w:val="85"/>
              </w:rPr>
              <w:t>7</w:t>
            </w: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67.</w:t>
            </w:r>
            <w:r>
              <w:rPr>
                <w:rFonts w:ascii="Arial" w:cs="Arial" w:eastAsia="Arial" w:hAnsi="Arial"/>
                <w:sz w:val="18"/>
                <w:szCs w:val="18"/>
                <w:u w:val="single" w:color="auto"/>
                <w:color w:val="auto"/>
                <w:w w:val="85"/>
              </w:rPr>
              <w:t>4</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6</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32.6</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31.4</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2.6</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2.8</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6</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3</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7</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23.</w:t>
            </w:r>
            <w:r>
              <w:rPr>
                <w:rFonts w:ascii="Arial" w:cs="Arial" w:eastAsia="Arial" w:hAnsi="Arial"/>
                <w:sz w:val="18"/>
                <w:szCs w:val="18"/>
                <w:u w:val="single" w:color="auto"/>
                <w:color w:val="auto"/>
                <w:w w:val="85"/>
              </w:rPr>
              <w:t>3</w:t>
            </w:r>
          </w:p>
        </w:tc>
        <w:tc>
          <w:tcPr>
            <w:tcW w:w="34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24.</w:t>
            </w:r>
            <w:r>
              <w:rPr>
                <w:rFonts w:ascii="Arial" w:cs="Arial" w:eastAsia="Arial" w:hAnsi="Arial"/>
                <w:sz w:val="18"/>
                <w:szCs w:val="18"/>
                <w:u w:val="single" w:color="auto"/>
                <w:color w:val="auto"/>
                <w:w w:val="85"/>
              </w:rPr>
              <w:t>9</w:t>
            </w:r>
          </w:p>
        </w:tc>
        <w:tc>
          <w:tcPr>
            <w:tcW w:w="36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25.</w:t>
            </w:r>
            <w:r>
              <w:rPr>
                <w:rFonts w:ascii="Arial" w:cs="Arial" w:eastAsia="Arial" w:hAnsi="Arial"/>
                <w:sz w:val="18"/>
                <w:szCs w:val="18"/>
                <w:u w:val="single" w:color="auto"/>
                <w:color w:val="auto"/>
                <w:w w:val="85"/>
              </w:rPr>
              <w:t>5</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27.</w:t>
            </w:r>
            <w:r>
              <w:rPr>
                <w:rFonts w:ascii="Arial" w:cs="Arial" w:eastAsia="Arial" w:hAnsi="Arial"/>
                <w:sz w:val="18"/>
                <w:szCs w:val="18"/>
                <w:u w:val="single" w:color="auto"/>
                <w:color w:val="auto"/>
                <w:w w:val="85"/>
              </w:rPr>
              <w:t>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net</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1.1</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0.2</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w:t>
            </w: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940" w:type="dxa"/>
            <w:vAlign w:val="bottom"/>
            <w:gridSpan w:val="2"/>
            <w:vMerge w:val="continue"/>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60" w:type="dxa"/>
            <w:vAlign w:val="bottom"/>
            <w:gridSpan w:val="2"/>
          </w:tcPr>
          <w:p>
            <w:pPr>
              <w:jc w:val="right"/>
              <w:ind w:right="208"/>
              <w:spacing w:after="0"/>
              <w:rPr>
                <w:sz w:val="20"/>
                <w:szCs w:val="20"/>
                <w:color w:val="auto"/>
              </w:rPr>
            </w:pPr>
            <w:r>
              <w:rPr>
                <w:rFonts w:ascii="Arial" w:cs="Arial" w:eastAsia="Arial" w:hAnsi="Arial"/>
                <w:sz w:val="18"/>
                <w:szCs w:val="18"/>
                <w:color w:val="auto"/>
              </w:rPr>
              <w:t>26</w:t>
            </w: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2009 versus Three Months Ended September 30,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September 30,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61.3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2</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76.</w:t>
            </w:r>
            <w:r>
              <w:rPr>
                <w:rFonts w:ascii="Arial" w:cs="Arial" w:eastAsia="Arial" w:hAnsi="Arial"/>
                <w:sz w:val="18"/>
                <w:szCs w:val="18"/>
                <w:u w:val="single" w:color="auto"/>
                <w:color w:val="auto"/>
                <w:w w:val="79"/>
              </w:rPr>
              <w:t>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Net sales for the third quarter of 2009 were $83.2 million, an increase of 9% compared to $76.5 million for the third quarter of 2008. Net income for the third quarter of 2009 was $4.2 million or $0.30 per diluted share compared to $4.0 million or $0.28 per diluted share for the third quarter of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81% of net sales in the third quarter of 2009 compared to approximately 80% in the third quarter of 2008. Net sales in our Business lines for the third quarter of 2009 increased by 9% to $67.0 million from $61.3 million in the third quarter of 2008. This increase resulted primarily from an increase in the volume of remote control sales which is attributable to the continued deployment of advanced function set-top boxes by the service operators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 In addition to the increased volume of remote control sales, $1.3 million of the increase in our Business category net sales during the third quarter of 2009 were the result of our sales agent agreement with Maxim Integrated Products.</w:t>
      </w:r>
    </w:p>
    <w:p>
      <w:pPr>
        <w:spacing w:after="0" w:line="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Net sales in our Consumer lines (One For All</w:t>
      </w:r>
      <w:r>
        <w:rPr>
          <w:rFonts w:ascii="Arial" w:cs="Arial" w:eastAsia="Arial" w:hAnsi="Arial"/>
          <w:sz w:val="13"/>
          <w:szCs w:val="13"/>
          <w:color w:val="auto"/>
        </w:rPr>
        <w:t>®</w:t>
      </w:r>
      <w:r>
        <w:rPr>
          <w:rFonts w:ascii="Arial" w:cs="Arial" w:eastAsia="Arial" w:hAnsi="Arial"/>
          <w:sz w:val="16"/>
          <w:szCs w:val="16"/>
          <w:color w:val="auto"/>
        </w:rPr>
        <w:t xml:space="preserve"> retail, private label and custom installers) were approximately 19% of net sales for the third quarter of 2009 compared to approximately 20% for the third quarter of 2008. Net sales in our Consumer lines increased by 7% to $16.2 million in the third quarter of 2009 from $15.2 million in the third quarter of 2008. North American retail sales increased by $3.7 million compared to the third quarter of 2008, as a result of a new partnership agreement with a distributor in the U.S market. International retail sales decreased by $1.3 million from $11.2 million in the third quarter of 2008 to $9.9 million in the third quarter of 2009. International retail sales were unfavorably impacted by the weakening of both the Euro and the British Pound compared to the U.S. dollar, which resulted in a decrease in net sales of approximately $1.0 million. Net of this currency effect, international retail sales decreased $0.3 million, primarily due to the downturn of the economy in Europe. CEDIA sales decreased by $1.2 million compared to the third quarter of 2008, primarily due to the launch of new products that occurred in the second quarter of 2008 which bolstered sales in the subsequent quarter. Private label sales in the U.S. decreased $0.2 million, driven by a decline in the volume of remote control sales to our private label partners.</w:t>
      </w:r>
    </w:p>
    <w:p>
      <w:pPr>
        <w:spacing w:after="0" w:line="5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Gross profit for the third quarter of 2009 was $26.1 million compared to $24.9 million for the third quarter of 2008. Gross profit as a percentage of sales for the third quarter of 2009 was 31.3% compared to 32.6% for the same period in the prior year, due primarily to the following reasons:</w:t>
      </w:r>
    </w:p>
    <w:p>
      <w:pPr>
        <w:spacing w:after="0" w:line="38"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0.8% in the gross margin rate;</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sales mix within our Business and Consumer categories contributed to the decrease in our gross margin rate. Consumers trended towards value-oriented products which resulted in a decrease of 0.4% in the gross margin 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increase in sub-contract labor expense of $0.3 million caused a decrease of 0.3% in the gross margin rate;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decrease in freight expense as a result of more drop-ship sales caused an increase of 0.3% in the gross margin rate.</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Research and development expenses increased 13.4% from $2.0 million in the third quarter of 2008 to $2.3 million in the third quarter of 2009 due to additional investment in product development.</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Selling, general and administrative expenses remained relatively flat from $17.0 million in the third quarter of 2008 to $17.2 million in the third quarter of 2009. The weakening of the Euro compared to the U.S. dollar resulted in a decrease of $0.4 million. Net of this favorable currency effect, expenses increased by $0.6 million due primarily to the acquisition of certain assets and operations from Zilog, Inc. during the first quarter of 2009 which resulted in an increase in operating expense of approximately $1.1 million, offset partially by a decrease in tradeshow expense of $0.5 million.</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third quarter of 2009, we recorded $0.1 million of net interest income compared to $0.9 million in the third quarter of 2008. The decrease is primarily due to significantly lower interest rates.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third quarter of 2009, net other income was $25 thousand as compared to net other expense of $0.4 million for the third quarter of 2008 which was driven by foreign exchange hedging transactions.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recorded income tax expense of $2.6 million in the third quarter of 2009 compared to $2.3 million in the third quarter of 2008. Our effective tax rate was 37.7% in the third quarter of 2009 compared to 37.0% in the third quarter of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2009 versus Nine Months Ended September 30,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nine months ended September 30,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196.0</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232.6</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sales for the nine months ended September 30, 2009 were $232.6 million, an increase of 12% compared to $208.4 million for the nine months ended September 30, 2008. Net income for the nine months ended September 30, 2009 was $8.8 million or $0.63 per diluted share compared to $10.0 million and $0.68 per diluted share for the nine months ended September 30,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84% of net sales for the nine months ended September 30, 2009 compared to approximately 80% for the nine months ended September 30, 2008. Net sales in our Business lines for the nine months ended September 30, 2009 increased by 17.8% to $196.0 million from $166.4 million for the same period last year. This increase resulted primarily from an increase in the volume of remote control sales which is attributable to the continued deployment of advanced function set-top boxes by the service operators, market share gains with a few key subscription broadcast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 In addition to the increased volume of remote control sales, we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recorded $3.1 million of revenue relating to our sales agent agreement with Maxim Integrated Products which commenced in February 2009.</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Net sales in our Consumer lines (One For All</w:t>
      </w:r>
      <w:r>
        <w:rPr>
          <w:rFonts w:ascii="Arial" w:cs="Arial" w:eastAsia="Arial" w:hAnsi="Arial"/>
          <w:sz w:val="14"/>
          <w:szCs w:val="14"/>
          <w:color w:val="auto"/>
        </w:rPr>
        <w:t>®</w:t>
      </w:r>
      <w:r>
        <w:rPr>
          <w:rFonts w:ascii="Arial" w:cs="Arial" w:eastAsia="Arial" w:hAnsi="Arial"/>
          <w:sz w:val="17"/>
          <w:szCs w:val="17"/>
          <w:color w:val="auto"/>
        </w:rPr>
        <w:t xml:space="preserve"> retail, private label and custom installers) were approximately 16% of net sales for the nine months ended September 30, 2009 compared to approximately 20% for the nine months ended September 30, 2008. Net sales in our Consumer lines for the nine months ended September 30, 2009 decreased by 13% to $36.6 million from $42.0 million for the same period last year. International retail sales decreased 23% to $25.8 million for the nine months ended September 30, 2009 from $33.3 million for the nine months ended September 30, 2008. This decrease was due in part to the weakening of the Euro and British pound compared to the U.S. dollar. The impact of the weaker currency resulted in a decrease in net sales of approximately $4.4 million. Net of this negative currency effect, international retail sales decreased $3.1 million, primarily due to the downturn of the economy in Europe. CEDIA sales in the first nine months of 2009 decreased by $1.8 million compared to the same period of 2008, due primarily to difficult selling conditions worldwide for higher-end consumer products. Private Label sales decreased $1.1 million, from $1.5 million for the nine months ended September 30, 2008 to $0.4 million for the nine months ended September 30, 2009. These decreases were partially offset by an increase in North American retail sales, which increased by $5.0 million compared to the same period of 2008, as a result of a new partnership agreement with a distributor in the U.S market.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Gross profit for the nine months ended September 30, 2009 was $73.0 million compared to $70.9 million for the nine months ended September 30, 2008.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Gross profit as a percentage of net sales for the nine months ended September 30, 2009 was 31.4% compared to 34.0%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due primarily to the following reasons:</w:t>
      </w:r>
    </w:p>
    <w:p>
      <w:pPr>
        <w:spacing w:after="0" w:line="103"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1.2% in the gross margin rate;</w:t>
      </w:r>
    </w:p>
    <w:p>
      <w:pPr>
        <w:spacing w:after="0" w:line="130"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1.1% in the gross margin rate;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 increase in scrap expense of $1.2 million caused a decrease of 0.4% in the gross margin rate;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decrease in freight expense as a result of more drop-ship sales caused an increase of 0.3% in the gross margin rate.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and development expenses increased 2% from $6.3 million in the nine months ended September 30, 2008 to $6.4 million in the nine months ended September 30, 2009, consistent with prior year levels.</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Selling, general and administrative expenses increased 2.1% from $51.6 million in the nine months ended September 30, 2008 to $52.7 million in the nine months ended September 30, 2009. The weakening of the Euro compared to the U.S. dollar resulted in a decrease of $2.5 million. Net of the currency effect, selling, general and administrative expenses increased by $3.6 million. Legal, accounting, and advisory professional service expense increased by</w:t>
      </w:r>
    </w:p>
    <w:p>
      <w:pPr>
        <w:ind w:right="240"/>
        <w:spacing w:after="0" w:line="302" w:lineRule="auto"/>
        <w:rPr>
          <w:sz w:val="20"/>
          <w:szCs w:val="20"/>
          <w:color w:val="auto"/>
        </w:rPr>
      </w:pPr>
      <w:r>
        <w:rPr>
          <w:rFonts w:ascii="Arial" w:cs="Arial" w:eastAsia="Arial" w:hAnsi="Arial"/>
          <w:sz w:val="16"/>
          <w:szCs w:val="16"/>
          <w:color w:val="auto"/>
        </w:rPr>
        <w:t>$1.4 million, mainly due to the acquisition of assets from Zilog, Inc, which was completed during the first quarter of 2009. In addition, the newly-acquired Zilog operations increased operating expenses by $2.7 million during the nine months ended September 30, 2009. Bonus expense also increased by $0.7 million compared to the prior year. Partially offsetting these increases was a decline in advertising and tradeshow expense of $0.9 million.</w:t>
      </w:r>
    </w:p>
    <w:p>
      <w:pPr>
        <w:spacing w:after="0" w:line="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nine months ended September 30, 2009, we recorded $0.4 million of net interest income compared to $2.6 million during the nine months ended September 30, 2008. The decrease is primarily due to significantly lower interest rates.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nine months ended September 30, 2009, net other expense was $0.2 million, comparable with net other expense of $0.2 million for the nine months ended September 30, 2008, which was driven by foreign exchange hedging transactions.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recorded income tax expense of $5.2 million and $5.4 million for the nine months ended September 30, 2009 and 2008, respectively. Our estimated effective tax rate was 37.3% and 35.1% during the nine months ended September 30, 2009 and 2008, respectively. The increase in our effective tax rate was due to a higher percentage of our income being earned in higher tax rate jurisdictions in 2009 compared to 2008. In addition, our research and development tax credits have decreased in 2009 compared to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 2009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Increase in cash</w:t>
            </w:r>
          </w:p>
        </w:tc>
        <w:tc>
          <w:tcPr>
            <w:tcW w:w="420" w:type="dxa"/>
            <w:vAlign w:val="bottom"/>
          </w:tcPr>
          <w:p>
            <w:pPr>
              <w:spacing w:after="0"/>
              <w:rPr>
                <w:sz w:val="14"/>
                <w:szCs w:val="14"/>
                <w:color w:val="auto"/>
              </w:rPr>
            </w:pPr>
          </w:p>
        </w:tc>
        <w:tc>
          <w:tcPr>
            <w:tcW w:w="1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$ 20,876</w:t>
            </w: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  2,731</w:t>
            </w:r>
          </w:p>
        </w:tc>
        <w:tc>
          <w:tcPr>
            <w:tcW w:w="202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$ 18,145</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440" w:type="dxa"/>
            <w:vAlign w:val="bottom"/>
          </w:tcPr>
          <w:p>
            <w:pPr>
              <w:jc w:val="right"/>
              <w:ind w:right="216"/>
              <w:spacing w:after="0"/>
              <w:rPr>
                <w:sz w:val="20"/>
                <w:szCs w:val="20"/>
                <w:color w:val="auto"/>
              </w:rPr>
            </w:pPr>
            <w:r>
              <w:rPr>
                <w:rFonts w:ascii="Arial" w:cs="Arial" w:eastAsia="Arial" w:hAnsi="Arial"/>
                <w:sz w:val="18"/>
                <w:szCs w:val="18"/>
                <w:color w:val="auto"/>
              </w:rPr>
              <w:t>(63,757)</w:t>
            </w:r>
          </w:p>
        </w:tc>
        <w:tc>
          <w:tcPr>
            <w:tcW w:w="160" w:type="dxa"/>
            <w:vAlign w:val="bottom"/>
          </w:tcPr>
          <w:p>
            <w:pPr>
              <w:spacing w:after="0"/>
              <w:rPr>
                <w:sz w:val="18"/>
                <w:szCs w:val="18"/>
                <w:color w:val="auto"/>
              </w:rPr>
            </w:pPr>
          </w:p>
        </w:tc>
        <w:tc>
          <w:tcPr>
            <w:tcW w:w="1840" w:type="dxa"/>
            <w:vAlign w:val="bottom"/>
            <w:gridSpan w:val="3"/>
          </w:tcPr>
          <w:p>
            <w:pPr>
              <w:jc w:val="right"/>
              <w:ind w:right="288"/>
              <w:spacing w:after="0"/>
              <w:rPr>
                <w:sz w:val="20"/>
                <w:szCs w:val="20"/>
                <w:color w:val="auto"/>
              </w:rPr>
            </w:pPr>
            <w:r>
              <w:rPr>
                <w:rFonts w:ascii="Arial" w:cs="Arial" w:eastAsia="Arial" w:hAnsi="Arial"/>
                <w:sz w:val="18"/>
                <w:szCs w:val="18"/>
                <w:color w:val="auto"/>
              </w:rPr>
              <w:t>(57,896)</w:t>
            </w:r>
          </w:p>
        </w:tc>
        <w:tc>
          <w:tcPr>
            <w:tcW w:w="2020" w:type="dxa"/>
            <w:vAlign w:val="bottom"/>
            <w:gridSpan w:val="2"/>
          </w:tcPr>
          <w:p>
            <w:pPr>
              <w:jc w:val="right"/>
              <w:ind w:right="384"/>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4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17,613</w:t>
            </w:r>
          </w:p>
        </w:tc>
        <w:tc>
          <w:tcPr>
            <w:tcW w:w="20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(20,245)</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40" w:type="dxa"/>
            <w:vAlign w:val="bottom"/>
          </w:tcPr>
          <w:p>
            <w:pPr>
              <w:jc w:val="right"/>
              <w:ind w:right="276"/>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20"/>
                <w:szCs w:val="20"/>
                <w:color w:val="auto"/>
              </w:rPr>
            </w:pPr>
          </w:p>
        </w:tc>
        <w:tc>
          <w:tcPr>
            <w:tcW w:w="1840" w:type="dxa"/>
            <w:vAlign w:val="bottom"/>
            <w:gridSpan w:val="3"/>
          </w:tcPr>
          <w:p>
            <w:pPr>
              <w:jc w:val="right"/>
              <w:ind w:right="348"/>
              <w:spacing w:after="0"/>
              <w:rPr>
                <w:sz w:val="20"/>
                <w:szCs w:val="20"/>
                <w:color w:val="auto"/>
              </w:rPr>
            </w:pPr>
            <w:r>
              <w:rPr>
                <w:rFonts w:ascii="Arial" w:cs="Arial" w:eastAsia="Arial" w:hAnsi="Arial"/>
                <w:sz w:val="18"/>
                <w:szCs w:val="18"/>
                <w:color w:val="auto"/>
              </w:rPr>
              <w:t>3,163</w:t>
            </w:r>
          </w:p>
        </w:tc>
        <w:tc>
          <w:tcPr>
            <w:tcW w:w="2020" w:type="dxa"/>
            <w:vAlign w:val="bottom"/>
            <w:gridSpan w:val="2"/>
          </w:tcPr>
          <w:p>
            <w:pPr>
              <w:jc w:val="right"/>
              <w:ind w:right="384"/>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350"/>
        </w:trPr>
        <w:tc>
          <w:tcPr>
            <w:tcW w:w="57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Increase/(Decrease)</w:t>
            </w:r>
          </w:p>
        </w:tc>
        <w:tc>
          <w:tcPr>
            <w:tcW w:w="420" w:type="dxa"/>
            <w:vAlign w:val="bottom"/>
          </w:tcPr>
          <w:p>
            <w:pPr>
              <w:spacing w:after="0"/>
              <w:rPr>
                <w:sz w:val="24"/>
                <w:szCs w:val="24"/>
                <w:color w:val="auto"/>
              </w:rPr>
            </w:pPr>
          </w:p>
        </w:tc>
        <w:tc>
          <w:tcPr>
            <w:tcW w:w="1600" w:type="dxa"/>
            <w:vAlign w:val="bottom"/>
          </w:tcPr>
          <w:p>
            <w:pPr>
              <w:ind w:left="22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95"/>
        </w:trPr>
        <w:tc>
          <w:tcPr>
            <w:tcW w:w="578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36"/>
              <w:spacing w:after="0" w:line="195" w:lineRule="exact"/>
              <w:rPr>
                <w:sz w:val="20"/>
                <w:szCs w:val="20"/>
                <w:color w:val="auto"/>
              </w:rPr>
            </w:pPr>
            <w:r>
              <w:rPr>
                <w:rFonts w:ascii="Arial" w:cs="Arial" w:eastAsia="Arial" w:hAnsi="Arial"/>
                <w:sz w:val="18"/>
                <w:szCs w:val="18"/>
                <w:color w:val="auto"/>
              </w:rPr>
              <w:t>$ 30,099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Borders>
              <w:top w:val="single" w:sz="8" w:color="auto"/>
            </w:tcBorders>
            <w:gridSpan w:val="2"/>
          </w:tcPr>
          <w:p>
            <w:pPr>
              <w:jc w:val="right"/>
              <w:ind w:right="368"/>
              <w:spacing w:after="0" w:line="195" w:lineRule="exact"/>
              <w:rPr>
                <w:sz w:val="20"/>
                <w:szCs w:val="20"/>
                <w:color w:val="auto"/>
              </w:rPr>
            </w:pPr>
            <w:r>
              <w:rPr>
                <w:rFonts w:ascii="Arial" w:cs="Arial" w:eastAsia="Arial" w:hAnsi="Arial"/>
                <w:sz w:val="18"/>
                <w:szCs w:val="18"/>
                <w:color w:val="auto"/>
              </w:rPr>
              <w:t>$(45,139)</w:t>
            </w:r>
          </w:p>
        </w:tc>
        <w:tc>
          <w:tcPr>
            <w:tcW w:w="420" w:type="dxa"/>
            <w:vAlign w:val="bottom"/>
          </w:tcPr>
          <w:p>
            <w:pPr>
              <w:spacing w:after="0"/>
              <w:rPr>
                <w:sz w:val="16"/>
                <w:szCs w:val="16"/>
                <w:color w:val="auto"/>
              </w:rPr>
            </w:pPr>
          </w:p>
        </w:tc>
        <w:tc>
          <w:tcPr>
            <w:tcW w:w="1600" w:type="dxa"/>
            <w:vAlign w:val="bottom"/>
            <w:tcBorders>
              <w:top w:val="single" w:sz="8" w:color="auto"/>
            </w:tcBorders>
          </w:tcPr>
          <w:p>
            <w:pPr>
              <w:jc w:val="right"/>
              <w:ind w:right="424"/>
              <w:spacing w:after="0" w:line="195" w:lineRule="exact"/>
              <w:rPr>
                <w:sz w:val="20"/>
                <w:szCs w:val="20"/>
                <w:color w:val="auto"/>
              </w:rPr>
            </w:pPr>
            <w:r>
              <w:rPr>
                <w:rFonts w:ascii="Arial" w:cs="Arial" w:eastAsia="Arial" w:hAnsi="Arial"/>
                <w:sz w:val="18"/>
                <w:szCs w:val="18"/>
                <w:color w:val="auto"/>
              </w:rPr>
              <w:t>$ 75,238</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440" w:type="dxa"/>
            <w:vAlign w:val="bottom"/>
          </w:tcPr>
          <w:p>
            <w:pPr>
              <w:jc w:val="right"/>
              <w:ind w:right="436"/>
              <w:spacing w:after="0"/>
              <w:rPr>
                <w:sz w:val="20"/>
                <w:szCs w:val="20"/>
                <w:color w:val="auto"/>
              </w:rPr>
            </w:pPr>
            <w:r>
              <w:rPr>
                <w:rFonts w:ascii="Arial" w:cs="Arial" w:eastAsia="Arial" w:hAnsi="Arial"/>
                <w:sz w:val="18"/>
                <w:szCs w:val="18"/>
                <w:color w:val="auto"/>
              </w:rPr>
              <w:t>122,830</w:t>
            </w:r>
          </w:p>
        </w:tc>
        <w:tc>
          <w:tcPr>
            <w:tcW w:w="160" w:type="dxa"/>
            <w:vAlign w:val="bottom"/>
          </w:tcPr>
          <w:p>
            <w:pPr>
              <w:spacing w:after="0"/>
              <w:rPr>
                <w:sz w:val="20"/>
                <w:szCs w:val="20"/>
                <w:color w:val="auto"/>
              </w:rPr>
            </w:pPr>
          </w:p>
        </w:tc>
        <w:tc>
          <w:tcPr>
            <w:tcW w:w="1840" w:type="dxa"/>
            <w:vAlign w:val="bottom"/>
            <w:gridSpan w:val="3"/>
          </w:tcPr>
          <w:p>
            <w:pPr>
              <w:jc w:val="right"/>
              <w:ind w:right="428"/>
              <w:spacing w:after="0"/>
              <w:rPr>
                <w:sz w:val="20"/>
                <w:szCs w:val="20"/>
                <w:color w:val="auto"/>
              </w:rPr>
            </w:pPr>
            <w:r>
              <w:rPr>
                <w:rFonts w:ascii="Arial" w:cs="Arial" w:eastAsia="Arial" w:hAnsi="Arial"/>
                <w:sz w:val="18"/>
                <w:szCs w:val="18"/>
                <w:color w:val="auto"/>
              </w:rPr>
              <w:t>527</w:t>
            </w:r>
          </w:p>
        </w:tc>
        <w:tc>
          <w:tcPr>
            <w:tcW w:w="2020" w:type="dxa"/>
            <w:vAlign w:val="bottom"/>
            <w:gridSpan w:val="2"/>
          </w:tcPr>
          <w:p>
            <w:pPr>
              <w:jc w:val="right"/>
              <w:ind w:right="424"/>
              <w:spacing w:after="0"/>
              <w:rPr>
                <w:sz w:val="20"/>
                <w:szCs w:val="20"/>
                <w:color w:val="auto"/>
              </w:rPr>
            </w:pPr>
            <w:r>
              <w:rPr>
                <w:rFonts w:ascii="Arial" w:cs="Arial" w:eastAsia="Arial" w:hAnsi="Arial"/>
                <w:sz w:val="18"/>
                <w:szCs w:val="18"/>
                <w:color w:val="auto"/>
              </w:rPr>
              <w:t>122,303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increased by $2.7 million from $18.1 million during the first nine months of 2008 to $20.9 million during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of 2009. The increase in net cash provided by operating activities was driven partly by a cash inflow of $4.5 million during the first 9 months of 2009 relating to accounts receivable compared to a cash outflow of $1.6 million in the prior year. Our days-sales-outstanding improved from 71 days at September 30, 2008, to 61 days at September 30, 2009. In addition, during the first nine months of 2009 we had cash outflows related to inventory of</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$1.9 million compared to cash outflows of $8.1 million during the first nine months of 2008. During 2008, we began to build our inventories to curtail costly air shipments and to support our increasing sales. Inventory turnover increased slightly from 5.1 times for the first nine months of 2008 to 5.2 times for the first nine months of 2009. There were additional non-cash expenses that increased in 2009 compared to 2008 such as depreciation and amortization which increased by $0.7 million and provision for inventory write-downs which increased by $1.2 million. These increases in operating cash flows were partially offset by our deliberate effort to improve our vendor management which commenced during the first nine months of 2008 and resulted in a $9.3 million cash inflow. During the first nine months of 2009, our days in payables decreased from 67.9 days at September 30, 2008 to 63.8 days at September 30, 2009 resulting in a cash outflow of $3.2 million.</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increased by $57.9 million from $5.9 million in the first nine months of 2008 to $63.8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2009. The increase in cash used for investing activities was primarily due to the acquisition of intangible assets and goodwill of $9.5 million from Zilog, Inc. and our term deposit investment of $49.1 million, offset by a decrease in cash utilized to purchase equipment, furniture and fixtures. The renovation of our corporate headquarters was completed during the first quarter of 2008, resulting in the decrease in cash used for the acquisition of equipment, furniture, and fixtures during the first nine months of 2009 compared to the first nine months of 2008. Refer to Note 16 for further discussion about our purchase of assets from Zilog, Inc.</w:t>
      </w:r>
    </w:p>
    <w:p>
      <w:pPr>
        <w:spacing w:after="0" w:line="8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plan to make a significant investment to upgrade our information systems, which we expect to cost approximately $1.0 million. We expect the implementation to be complete in 2010.</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decreased by $17.6 million from $20.2 million in the first nine months of 2008 to $2.6 million in the first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of 2009. We repurchased fewer shares of our common stock during the first nine months of 2009 compared to the first nine months of 2008. During the first nine months of 2009 we repurchased 288,452 shares of our common stock for $5.2 million compared to our repurchase of 913,714 shares of our common stock for $21.6 million during the first nine months of 2008.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Credit Facility with Comerica expired on August 31, 2009, at which time we obtained a three month extension. 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September 30, 2009, we were authorized to repurchase 2,636,630 shares. As of September 30, 2009, we have purchased 1,974,670 shares of our common stock, leaving 661,960 shares available for purchase under the Credit Facility. During 2009, we may continue to purchase shares of our common stock if we believe conditions are favorable and to offset the dilutive effect of our equity compensation programs.</w:t>
      </w:r>
    </w:p>
    <w:p>
      <w:pPr>
        <w:spacing w:after="0" w:line="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Presently, we have no borrowings under this Credit Facility, however we cannot make any assurances that we will not need to borrow amounts under this facility or that a facility will continue to be extended to us under comparable terms or at all. We are currently negotiating a new credit agreement.</w:t>
      </w:r>
    </w:p>
    <w:p>
      <w:pPr>
        <w:spacing w:after="0" w:line="1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September 30, 2009, we had a six month term deposit cash account at Wells Fargo Bank denominated in Hong Kong dollars. The term began on July 21, 2009 and will end on January 21, 2010. The term deposit earns interest at an annual rate of 0.57%. There are no penalties assessed for early withdrawal. The deposit amount and accrued interest related to this account as of September 30, 2009 was $49.1 million and $0.4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September 30, 2009, our contractual obligations were $44.7 million compared to $66.0 million reported in our Annual Report on Form 10-K as of December 31, 2008. The following table summarizes our contractual obligations at September 30, 2009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4,691</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40,032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44,723</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18,379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16,486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Historically, our working capital needs have been greatest during the third and fourth quarters when accounts receivable and inventories increase in connection with the fourth quarter holiday selling season. At September 30, 2009, we had $122.8 million of working capital as compared to $122.3 million at December 31, 2008.</w:t>
      </w:r>
    </w:p>
    <w:p>
      <w:pPr>
        <w:spacing w:after="0" w:line="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September 30, 2009, we had approximately $13.6 million, $11.0 million, $3.6 million and $1.9 million of cash and cash equivalents in the United States, Europe, Asia and Cayman Islands, respectively. In addition, we had a term deposit of $49.1 million in Asia. We maintain our cash, cash equivalents, and term deposits with various financial institutions located in many different geographic regions. We attempt to mitigate our exposure to interest rate, liquidity, credit and other relevant risks by placing our cash, cash equivalents, and term deposit with financial institutions we believe are adequately capitalized.</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$15 million unsecured revolving credit line (“Credit Facility”) with Comerica Bank expired on August 31, 2009. On August 31, 2009, we received a three month extension from Comerica. We are currently negotiating a new credit agreement. Under the existing Credit Facility, the interest payable is variable and is based on the bank’s cost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funds or 12-month LIBOR plus a fixed margin of 1.25%. The interest rate in effect as of September 30, 2009 using 12-month LIBOR plus a fixed margin of 1.25% was 2.52%. We pay a commitment fee ranging from zero to a maximum rate of 0.25% per year on the unused portion of the credit line depending on the amount of cash investment retained with Comerica during each quarter. At September 30, 2009,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September 30, 2009, we did not have any outstanding import letters of credit and the available balance on the line of credit was $15 million. Furthermore, as of September 30, 2009, we were in compliance with all financial covenants required by the Credit Facility.</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so long as our Credit Facility is available, funds from our borrowing facility will be sufficient to fund our current business operations and anticipated growth at least over the next twelve months; however, there can be no assurance that such funds will be adequate for that purpose. In addition, our Credit Facility is set to expire on November 30, 2009 and we cannot make any assurances that a new Credit Facility will be extended to us beyond its expiration date under comparable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2008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a war or terrorist activities may have on us, the economy or our customers;</w:t>
      </w:r>
    </w:p>
    <w:p>
      <w:pPr>
        <w:spacing w:after="0" w:line="75" w:lineRule="exact"/>
        <w:rPr>
          <w:rFonts w:ascii="Arial" w:cs="Arial" w:eastAsia="Arial" w:hAnsi="Arial"/>
          <w:sz w:val="18"/>
          <w:szCs w:val="18"/>
          <w:b w:val="1"/>
          <w:bCs w:val="1"/>
          <w:color w:val="auto"/>
        </w:rPr>
      </w:pPr>
    </w:p>
    <w:p>
      <w:pPr>
        <w:ind w:left="660" w:right="440" w:hanging="436"/>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will continue developing software and firmware solutions that can enable devices such as TVs, set-top boxes, stereos and other consumer electronic products to wirelessly connect and interact with home networks and interactive services to deliver digital entertainment and information. This “smart device” category is emerging, and in the remainder of 2009 we look to continue to build relationships with our customers in this category.</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2009,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Credit Facility with Comerica expired on August 31, 2009, at which time we obtained a three month extension. We are currently negotiating a new Credit Agreement. The interest payable under our existing revolving Credit Facility with Comerica is variable and based on (i) the bank’s cost of funds or (ii) the 12-month LIBOR rate plus a fixed margin of 1.25%. The cost of the Credit Facility is affected by changes in market interest rates, credit risk spreads and credit availability. The interest rate in effect on the credit facility as of September 30, 2009 using the 12-month LIBOR Rate option plus a fixed margin of 1.25% was 2.52%.</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2009, we had no borrowings on our Credit Facility, however we cannot make any assurances that we will not need to borrow amounts under this facility or that a new facility will be extended to us under comparable terms or at all.</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September 30, 2009, we had wholly owned subsidiaries in the Argentina, Cayman Islands, France, Germany, Hong Kong, India, Italy, the Netherlands, Singapore, Spain, and the United Kingdom. On February 18, 2009, we acquired certain patents, intellectual property and other assets related to the universal remote control business from Zilog, Inc. (“Zilog” — NASDAQ: ZILG) for approximately $9.5 million in cash. In connection with this transaction, we formed our Cayman Islands subsidiary. Sales are typically denominated in local currencies, thereby creating exposure to changes in exchange rates. Changes in local currency exchange rates relative to the U.S. dollar and, in some cases, to each other, may positively or negatively affect our sales, gross margins, operating expenses and net income. The value of our net balance sheet positions held in foreign currencies may also be impacted by fluctuating exchange rates.</w:t>
      </w:r>
    </w:p>
    <w:p>
      <w:pPr>
        <w:spacing w:after="0" w:line="5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foreign currency exposures are primarily concentrated in the Euro, British Pound and Hong Kong dollars.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September 30, 2009, we believe that movements in foreign currency rates could have a material affect on our financial position. We estimate that if the exchange rates for the Euro and the British Pound relative to the U.S. dollar fluctuate 10% from September 30, 2009, net income and cash flows in the fourth quarter of 2009 would fluctuate by approximately $0.5 million and $5.9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above under Note 15 contained in the “Notes to Consolidated Financial Statements”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9 through 16 of the Company’s 2008 Annual Report on Form 10-K incorporated herein by reference. These factors may cause our actual results to differ materially from those stated in forward-looking statements contained in this document and elsewhere.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2009, we did not sell any equity securities that were not registered under the Securities Act of 1933.</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September 30, 2009, we were authorized to repurchase 2,636,630 shares. As of September 30, 2009, we have purchased 1,974,670 shares of our common stock, leaving 661,960 shares available for purchase under the Credit Facility. We repurchased 71,975 shares during the quarter ended September 30, 2009, and we may continue to repurchase shares of our common stock during the remainder of the year, if we believe conditions are favorable, or to manage dilution created by shares issued under our stock-based compensation plans. Repurchase information for the third quarter of 2009 is set forth by month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4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2009 — July 31, 2009</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August 1, 2009 — August 31, 2009</w:t>
            </w:r>
          </w:p>
        </w:tc>
        <w:tc>
          <w:tcPr>
            <w:tcW w:w="1580" w:type="dxa"/>
            <w:vAlign w:val="bottom"/>
            <w:gridSpan w:val="4"/>
          </w:tcPr>
          <w:p>
            <w:pPr>
              <w:ind w:left="760"/>
              <w:spacing w:after="0"/>
              <w:rPr>
                <w:sz w:val="20"/>
                <w:szCs w:val="20"/>
                <w:color w:val="auto"/>
              </w:rPr>
            </w:pPr>
            <w:r>
              <w:rPr>
                <w:rFonts w:ascii="Arial" w:cs="Arial" w:eastAsia="Arial" w:hAnsi="Arial"/>
                <w:sz w:val="18"/>
                <w:szCs w:val="18"/>
                <w:color w:val="auto"/>
              </w:rPr>
              <w:t>15,073</w:t>
            </w:r>
          </w:p>
        </w:tc>
        <w:tc>
          <w:tcPr>
            <w:tcW w:w="1480" w:type="dxa"/>
            <w:vAlign w:val="bottom"/>
            <w:gridSpan w:val="2"/>
          </w:tcPr>
          <w:p>
            <w:pPr>
              <w:jc w:val="right"/>
              <w:ind w:right="244"/>
              <w:spacing w:after="0"/>
              <w:rPr>
                <w:sz w:val="20"/>
                <w:szCs w:val="20"/>
                <w:color w:val="auto"/>
              </w:rPr>
            </w:pPr>
            <w:r>
              <w:rPr>
                <w:rFonts w:ascii="Arial" w:cs="Arial" w:eastAsia="Arial" w:hAnsi="Arial"/>
                <w:sz w:val="18"/>
                <w:szCs w:val="18"/>
                <w:color w:val="auto"/>
              </w:rPr>
              <w:t>19.58</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2009 — September 30, 2009</w:t>
            </w:r>
          </w:p>
        </w:tc>
        <w:tc>
          <w:tcPr>
            <w:tcW w:w="158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51,285</w:t>
            </w:r>
          </w:p>
        </w:tc>
        <w:tc>
          <w:tcPr>
            <w:tcW w:w="14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18.73</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Third Quarter 2009</w:t>
            </w:r>
          </w:p>
        </w:tc>
        <w:tc>
          <w:tcPr>
            <w:tcW w:w="7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3"/>
              </w:rPr>
              <w:t>71,975</w:t>
            </w:r>
          </w:p>
        </w:tc>
        <w:tc>
          <w:tcPr>
            <w:tcW w:w="340" w:type="dxa"/>
            <w:vAlign w:val="bottom"/>
          </w:tcPr>
          <w:p>
            <w:pPr>
              <w:spacing w:after="0"/>
              <w:rPr>
                <w:sz w:val="19"/>
                <w:szCs w:val="19"/>
                <w:color w:val="auto"/>
              </w:rPr>
            </w:pPr>
          </w:p>
        </w:tc>
        <w:tc>
          <w:tcPr>
            <w:tcW w:w="1480" w:type="dxa"/>
            <w:vAlign w:val="bottom"/>
            <w:gridSpan w:val="2"/>
          </w:tcPr>
          <w:p>
            <w:pPr>
              <w:jc w:val="right"/>
              <w:ind w:right="244"/>
              <w:spacing w:after="0"/>
              <w:rPr>
                <w:sz w:val="20"/>
                <w:szCs w:val="20"/>
                <w:color w:val="auto"/>
              </w:rPr>
            </w:pPr>
            <w:r>
              <w:rPr>
                <w:rFonts w:ascii="Arial" w:cs="Arial" w:eastAsia="Arial" w:hAnsi="Arial"/>
                <w:sz w:val="18"/>
                <w:szCs w:val="18"/>
                <w:color w:val="auto"/>
              </w:rPr>
              <w:t>$19.01</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 Certifications of Paul D. Arling, Chief Executive Officer (principal executive officer) of Universal Electronics Inc.</w:t>
      </w:r>
    </w:p>
    <w:p>
      <w:pPr>
        <w:spacing w:after="0" w:line="13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31.2 Rule 13a-14(a) Certifications of Bryan M. Hackworth, Chief Financial Officer (principal financial officer and principal accounting officer) of Universal Electronics Inc.</w:t>
      </w:r>
    </w:p>
    <w:p>
      <w:pPr>
        <w:spacing w:after="0" w:line="76" w:lineRule="exact"/>
        <w:rPr>
          <w:sz w:val="20"/>
          <w:szCs w:val="20"/>
          <w:color w:val="auto"/>
        </w:rPr>
      </w:pPr>
    </w:p>
    <w:p>
      <w:pPr>
        <w:ind w:left="440" w:right="300" w:hanging="432"/>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560" w:type="dxa"/>
            <w:vAlign w:val="bottom"/>
          </w:tcPr>
          <w:p>
            <w:pPr>
              <w:spacing w:after="0"/>
              <w:rPr>
                <w:sz w:val="24"/>
                <w:szCs w:val="24"/>
                <w:color w:val="auto"/>
              </w:rPr>
            </w:pPr>
          </w:p>
        </w:tc>
        <w:tc>
          <w:tcPr>
            <w:tcW w:w="986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404"/>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officer) of Universal Electronics Inc.</w:t>
            </w:r>
          </w:p>
        </w:tc>
      </w:tr>
    </w:tbl>
    <w:p>
      <w:pPr>
        <w:spacing w:after="0" w:line="202" w:lineRule="exact"/>
        <w:rPr>
          <w:sz w:val="20"/>
          <w:szCs w:val="20"/>
          <w:color w:val="auto"/>
        </w:rPr>
      </w:pPr>
    </w:p>
    <w:p>
      <w:pPr>
        <w:ind w:left="1560" w:right="100" w:hanging="1228"/>
        <w:spacing w:after="0" w:line="264" w:lineRule="auto"/>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1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229"/>
        <w:spacing w:after="0" w:line="264" w:lineRule="auto"/>
        <w:tabs>
          <w:tab w:leader="none" w:pos="8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229"/>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80" w:firstLine="229"/>
        <w:spacing w:after="0" w:line="342" w:lineRule="auto"/>
        <w:tabs>
          <w:tab w:leader="none" w:pos="87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360" w:firstLine="229"/>
        <w:spacing w:after="0" w:line="342" w:lineRule="auto"/>
        <w:tabs>
          <w:tab w:leader="none" w:pos="8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460" w:right="280" w:firstLine="229"/>
        <w:spacing w:after="0" w:line="277" w:lineRule="auto"/>
        <w:tabs>
          <w:tab w:leader="none" w:pos="8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240" w:firstLine="229"/>
        <w:spacing w:after="0" w:line="277"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229"/>
        <w:spacing w:after="0" w:line="264" w:lineRule="auto"/>
        <w:tabs>
          <w:tab w:leader="none" w:pos="8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229"/>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80" w:firstLine="229"/>
        <w:spacing w:after="0" w:line="342" w:lineRule="auto"/>
        <w:tabs>
          <w:tab w:leader="none" w:pos="87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360" w:firstLine="229"/>
        <w:spacing w:after="0" w:line="342"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460" w:right="280" w:firstLine="229"/>
        <w:spacing w:after="0" w:line="277" w:lineRule="auto"/>
        <w:tabs>
          <w:tab w:leader="none" w:pos="8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240" w:firstLine="229"/>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53"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September 30, 2009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November 9, 2009</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620" w:type="dxa"/>
            <w:vAlign w:val="bottom"/>
          </w:tcPr>
          <w:p>
            <w:pPr>
              <w:spacing w:after="0"/>
              <w:rPr>
                <w:sz w:val="24"/>
                <w:szCs w:val="24"/>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w:t>
            </w: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32"/>
    </w:lvl>
  </w:abstractNum>
  <w:abstractNum w:abstractNumId="22">
    <w:nsid w:val="75A2A8D4"/>
    <w:multiLevelType w:val="hybridMultilevel"/>
    <w:lvl w:ilvl="0">
      <w:lvlJc w:val="left"/>
      <w:lvlText w:val="%1"/>
      <w:numFmt w:val="decimal"/>
      <w:start w:val="32"/>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2019-12-10T03:25:52Z</dcterms:created>
  <dcterms:modified xsi:type="dcterms:W3CDTF">2019-12-10T03:25:52Z</dcterms:modified>
</cp:coreProperties>
</file>