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For the quarterly period ended March 31, 2018</w:t>
      </w:r>
    </w:p>
    <w:p>
      <w:pPr>
        <w:spacing w:after="0" w:line="85"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69" w:right="239" w:bottom="1440" w:gutter="0" w:footer="0" w:header="0"/>
        </w:sectPr>
      </w:pPr>
    </w:p>
    <w:p>
      <w:pPr>
        <w:spacing w:after="0" w:line="68" w:lineRule="exact"/>
        <w:rPr>
          <w:sz w:val="24"/>
          <w:szCs w:val="24"/>
          <w:color w:val="auto"/>
        </w:rPr>
      </w:pPr>
    </w:p>
    <w:p>
      <w:pPr>
        <w:ind w:left="44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w:t>
      </w:r>
    </w:p>
    <w:p>
      <w:pPr>
        <w:spacing w:after="0" w:line="119" w:lineRule="exact"/>
        <w:rPr>
          <w:sz w:val="24"/>
          <w:szCs w:val="24"/>
          <w:color w:val="auto"/>
        </w:rPr>
      </w:pPr>
    </w:p>
    <w:p>
      <w:pPr>
        <w:sectPr>
          <w:pgSz w:w="11900" w:h="16838" w:orient="portrait"/>
          <w:cols w:equalWidth="0" w:num="2">
            <w:col w:w="3240" w:space="640"/>
            <w:col w:w="7540"/>
          </w:cols>
          <w:pgMar w:left="240" w:top="269" w:right="239" w:bottom="1440" w:gutter="0" w:footer="0" w:header="0"/>
          <w:type w:val="continuous"/>
        </w:sectPr>
      </w:pPr>
    </w:p>
    <w:p>
      <w:pPr>
        <w:jc w:val="center"/>
        <w:spacing w:after="0"/>
        <w:rPr>
          <w:sz w:val="20"/>
          <w:szCs w:val="20"/>
          <w:color w:val="auto"/>
        </w:rPr>
      </w:pPr>
      <w:r>
        <w:rPr>
          <w:rFonts w:ascii="Arial" w:cs="Arial" w:eastAsia="Arial" w:hAnsi="Arial"/>
          <w:sz w:val="21"/>
          <w:szCs w:val="21"/>
          <w:b w:val="1"/>
          <w:bCs w:val="1"/>
          <w:color w:val="auto"/>
        </w:rPr>
        <w:t>Commission File Number: 0-21044</w:t>
      </w:r>
    </w:p>
    <w:p>
      <w:pPr>
        <w:spacing w:after="0" w:line="82"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_______________________________________</w:t>
      </w:r>
    </w:p>
    <w:p>
      <w:pPr>
        <w:sectPr>
          <w:pgSz w:w="11900" w:h="16838" w:orient="portrait"/>
          <w:cols w:equalWidth="0" w:num="1">
            <w:col w:w="11420"/>
          </w:cols>
          <w:pgMar w:left="240" w:top="269" w:right="239" w:bottom="1440" w:gutter="0" w:footer="0" w:header="0"/>
          <w:type w:val="continuous"/>
        </w:sectPr>
      </w:pP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UNIVERSAL ELECTRONICS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39"/>
              <w:spacing w:after="0"/>
              <w:rPr>
                <w:sz w:val="20"/>
                <w:szCs w:val="20"/>
                <w:color w:val="auto"/>
              </w:rPr>
            </w:pPr>
            <w:r>
              <w:rPr>
                <w:rFonts w:ascii="Arial" w:cs="Arial" w:eastAsia="Arial" w:hAnsi="Arial"/>
                <w:sz w:val="18"/>
                <w:szCs w:val="18"/>
                <w:b w:val="1"/>
                <w:bCs w:val="1"/>
                <w:color w:val="auto"/>
              </w:rPr>
              <w:t>33-0204817</w:t>
            </w:r>
          </w:p>
        </w:tc>
      </w:tr>
      <w:tr>
        <w:trPr>
          <w:trHeight w:val="180"/>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201 E. Sandpointe Avenue, 8</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100" w:type="dxa"/>
            <w:vAlign w:val="bottom"/>
          </w:tcPr>
          <w:p>
            <w:pPr>
              <w:spacing w:after="0"/>
              <w:rPr>
                <w:sz w:val="24"/>
                <w:szCs w:val="24"/>
                <w:color w:val="auto"/>
              </w:rPr>
            </w:pPr>
          </w:p>
        </w:tc>
      </w:t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Santa Ana, California</w:t>
            </w:r>
          </w:p>
        </w:tc>
        <w:tc>
          <w:tcPr>
            <w:tcW w:w="5100" w:type="dxa"/>
            <w:vAlign w:val="bottom"/>
          </w:tcPr>
          <w:p>
            <w:pPr>
              <w:jc w:val="right"/>
              <w:ind w:right="239"/>
              <w:spacing w:after="0"/>
              <w:rPr>
                <w:sz w:val="20"/>
                <w:szCs w:val="20"/>
                <w:color w:val="auto"/>
              </w:rPr>
            </w:pPr>
            <w:r>
              <w:rPr>
                <w:rFonts w:ascii="Arial" w:cs="Arial" w:eastAsia="Arial" w:hAnsi="Arial"/>
                <w:sz w:val="18"/>
                <w:szCs w:val="18"/>
                <w:b w:val="1"/>
                <w:bCs w:val="1"/>
                <w:color w:val="auto"/>
              </w:rPr>
              <w:t>92707</w:t>
            </w:r>
          </w:p>
        </w:tc>
      </w:tr>
      <w:tr>
        <w:trPr>
          <w:trHeight w:val="218"/>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255"/>
        </w:trPr>
        <w:tc>
          <w:tcPr>
            <w:tcW w:w="7880" w:type="dxa"/>
            <w:vAlign w:val="bottom"/>
            <w:gridSpan w:val="2"/>
          </w:tcPr>
          <w:p>
            <w:pPr>
              <w:jc w:val="center"/>
              <w:ind w:left="738"/>
              <w:spacing w:after="0"/>
              <w:rPr>
                <w:sz w:val="20"/>
                <w:szCs w:val="20"/>
                <w:color w:val="auto"/>
              </w:rPr>
            </w:pPr>
            <w:r>
              <w:rPr>
                <w:rFonts w:ascii="Arial" w:cs="Arial" w:eastAsia="Arial" w:hAnsi="Arial"/>
                <w:sz w:val="18"/>
                <w:szCs w:val="18"/>
                <w:b w:val="1"/>
                <w:bCs w:val="1"/>
                <w:color w:val="auto"/>
                <w:w w:val="89"/>
              </w:rPr>
              <w:t>Registrant's telephone number, including area code: (714) 918-9500</w:t>
            </w:r>
          </w:p>
        </w:tc>
      </w:tr>
      <w:tr>
        <w:trPr>
          <w:trHeight w:val="243"/>
        </w:trPr>
        <w:tc>
          <w:tcPr>
            <w:tcW w:w="2780" w:type="dxa"/>
            <w:vAlign w:val="bottom"/>
          </w:tcPr>
          <w:p>
            <w:pPr>
              <w:spacing w:after="0"/>
              <w:rPr>
                <w:sz w:val="21"/>
                <w:szCs w:val="21"/>
                <w:color w:val="auto"/>
              </w:rPr>
            </w:pPr>
          </w:p>
        </w:tc>
        <w:tc>
          <w:tcPr>
            <w:tcW w:w="5100" w:type="dxa"/>
            <w:vAlign w:val="bottom"/>
          </w:tcPr>
          <w:p>
            <w:pPr>
              <w:jc w:val="right"/>
              <w:ind w:right="1939"/>
              <w:spacing w:after="0"/>
              <w:rPr>
                <w:sz w:val="20"/>
                <w:szCs w:val="20"/>
                <w:color w:val="auto"/>
              </w:rPr>
            </w:pPr>
            <w:r>
              <w:rPr>
                <w:rFonts w:ascii="Arial" w:cs="Arial" w:eastAsia="Arial" w:hAnsi="Arial"/>
                <w:sz w:val="18"/>
                <w:szCs w:val="18"/>
                <w:color w:val="auto"/>
                <w:w w:val="89"/>
              </w:rPr>
              <w:t>__________________________________</w:t>
            </w:r>
          </w:p>
        </w:tc>
      </w:tr>
    </w:tbl>
    <w:p>
      <w:pPr>
        <w:spacing w:after="0" w:line="1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80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468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40" w:type="dxa"/>
            <w:vAlign w:val="bottom"/>
          </w:tcPr>
          <w:p>
            <w:pPr>
              <w:ind w:left="80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440" w:type="dxa"/>
            <w:vAlign w:val="bottom"/>
          </w:tcPr>
          <w:p>
            <w:pPr>
              <w:ind w:left="80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p>
    <w:p>
      <w:pPr>
        <w:ind w:left="40" w:right="6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0"/>
        <w:spacing w:after="0" w:line="207" w:lineRule="exact"/>
        <w:tabs>
          <w:tab w:leader="none" w:pos="7620" w:val="left"/>
          <w:tab w:leader="none" w:pos="83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44"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14,125,738 shares of Common Stock, par value $0.01 per share, of the registrant were outstanding on May 7, 2018.</w:t>
      </w:r>
    </w:p>
    <w:p>
      <w:pPr>
        <w:sectPr>
          <w:pgSz w:w="11900" w:h="16838" w:orient="portrait"/>
          <w:cols w:equalWidth="0" w:num="1">
            <w:col w:w="11420"/>
          </w:cols>
          <w:pgMar w:left="240" w:top="26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0" w:type="dxa"/>
            <w:vAlign w:val="bottom"/>
            <w:gridSpan w:val="5"/>
          </w:tcPr>
          <w:p>
            <w:pPr>
              <w:jc w:val="center"/>
              <w:ind w:right="1360"/>
              <w:spacing w:after="0"/>
              <w:rPr>
                <w:sz w:val="20"/>
                <w:szCs w:val="20"/>
                <w:color w:val="auto"/>
              </w:rPr>
            </w:pPr>
            <w:r>
              <w:rPr>
                <w:rFonts w:ascii="Arial" w:cs="Arial" w:eastAsia="Arial" w:hAnsi="Arial"/>
                <w:sz w:val="18"/>
                <w:szCs w:val="18"/>
                <w:b w:val="1"/>
                <w:bCs w:val="1"/>
                <w:color w:val="auto"/>
              </w:rPr>
              <w:t>UNIVERSAL ELECTRONICS INC.</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rPr>
              <w:t>INDEX</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180" w:type="dxa"/>
            <w:vAlign w:val="bottom"/>
            <w:gridSpan w:val="4"/>
          </w:tcPr>
          <w:p>
            <w:pPr>
              <w:jc w:val="right"/>
              <w:spacing w:after="0" w:line="158" w:lineRule="exact"/>
              <w:rPr>
                <w:sz w:val="20"/>
                <w:szCs w:val="20"/>
                <w:color w:val="auto"/>
              </w:rPr>
            </w:pPr>
            <w:r>
              <w:rPr>
                <w:rFonts w:ascii="Arial" w:cs="Arial" w:eastAsia="Arial" w:hAnsi="Arial"/>
                <w:sz w:val="14"/>
                <w:szCs w:val="14"/>
                <w:b w:val="1"/>
                <w:bCs w:val="1"/>
                <w:color w:val="auto"/>
              </w:rPr>
              <w:t>Number</w:t>
            </w:r>
          </w:p>
        </w:tc>
      </w:tr>
      <w:tr>
        <w:trPr>
          <w:trHeight w:val="223"/>
        </w:trPr>
        <w:tc>
          <w:tcPr>
            <w:tcW w:w="3060" w:type="dxa"/>
            <w:vAlign w:val="bottom"/>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700" w:type="dxa"/>
            <w:vAlign w:val="bottom"/>
            <w:gridSpan w:val="8"/>
          </w:tcPr>
          <w:p>
            <w:pPr>
              <w:spacing w:after="0"/>
              <w:rPr>
                <w:sz w:val="19"/>
                <w:szCs w:val="19"/>
                <w:color w:val="auto"/>
              </w:rPr>
            </w:pPr>
          </w:p>
        </w:tc>
        <w:tc>
          <w:tcPr>
            <w:tcW w:w="1680" w:type="dxa"/>
            <w:vAlign w:val="bottom"/>
          </w:tcPr>
          <w:p>
            <w:pPr>
              <w:spacing w:after="0"/>
              <w:rPr>
                <w:sz w:val="19"/>
                <w:szCs w:val="19"/>
                <w:color w:val="auto"/>
              </w:rPr>
            </w:pPr>
          </w:p>
        </w:tc>
        <w:tc>
          <w:tcPr>
            <w:tcW w:w="500" w:type="dxa"/>
            <w:vAlign w:val="bottom"/>
            <w:tcBorders>
              <w:top w:val="single" w:sz="8" w:color="auto"/>
            </w:tcBorders>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87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Consolidated Financial Statements (Unaudited)</w:t>
              </w:r>
            </w:hyperlink>
          </w:p>
        </w:tc>
        <w:tc>
          <w:tcPr>
            <w:tcW w:w="218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100" w:type="dxa"/>
            <w:vAlign w:val="bottom"/>
            <w:gridSpan w:val="5"/>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1620" w:type="dxa"/>
            <w:vAlign w:val="bottom"/>
            <w:gridSpan w:val="5"/>
          </w:tcPr>
          <w:p>
            <w:pPr>
              <w:spacing w:after="0"/>
              <w:rPr>
                <w:sz w:val="21"/>
                <w:szCs w:val="21"/>
                <w:color w:val="auto"/>
              </w:rPr>
            </w:pPr>
          </w:p>
        </w:tc>
        <w:tc>
          <w:tcPr>
            <w:tcW w:w="4800" w:type="dxa"/>
            <w:vAlign w:val="bottom"/>
            <w:gridSpan w:val="5"/>
          </w:tcPr>
          <w:p>
            <w:pPr>
              <w:spacing w:after="0"/>
              <w:rPr>
                <w:sz w:val="21"/>
                <w:szCs w:val="21"/>
                <w:color w:val="auto"/>
              </w:rPr>
            </w:pPr>
          </w:p>
        </w:tc>
        <w:tc>
          <w:tcPr>
            <w:tcW w:w="218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20" w:type="dxa"/>
            <w:vAlign w:val="bottom"/>
            <w:gridSpan w:val="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Operations</w:t>
              </w:r>
            </w:hyperlink>
          </w:p>
        </w:tc>
        <w:tc>
          <w:tcPr>
            <w:tcW w:w="5700" w:type="dxa"/>
            <w:vAlign w:val="bottom"/>
            <w:gridSpan w:val="8"/>
          </w:tcPr>
          <w:p>
            <w:pPr>
              <w:spacing w:after="0"/>
              <w:rPr>
                <w:sz w:val="21"/>
                <w:szCs w:val="21"/>
                <w:color w:val="auto"/>
              </w:rPr>
            </w:pPr>
          </w:p>
        </w:tc>
        <w:tc>
          <w:tcPr>
            <w:tcW w:w="21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52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Comprehensive Income (Loss) Statements</w:t>
              </w:r>
            </w:hyperlink>
          </w:p>
        </w:tc>
        <w:tc>
          <w:tcPr>
            <w:tcW w:w="218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4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4480" w:type="dxa"/>
            <w:vAlign w:val="bottom"/>
            <w:gridSpan w:val="4"/>
          </w:tcPr>
          <w:p>
            <w:pPr>
              <w:spacing w:after="0"/>
              <w:rPr>
                <w:sz w:val="21"/>
                <w:szCs w:val="21"/>
                <w:color w:val="auto"/>
              </w:rPr>
            </w:pPr>
          </w:p>
        </w:tc>
        <w:tc>
          <w:tcPr>
            <w:tcW w:w="218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52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218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70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 Management's Discussion and Analysis of Financial Condition and Results of Operations</w:t>
              </w:r>
            </w:hyperlink>
          </w:p>
        </w:tc>
        <w:tc>
          <w:tcPr>
            <w:tcW w:w="1760" w:type="dxa"/>
            <w:vAlign w:val="bottom"/>
          </w:tcPr>
          <w:p>
            <w:pPr>
              <w:spacing w:after="0"/>
              <w:rPr>
                <w:sz w:val="21"/>
                <w:szCs w:val="21"/>
                <w:color w:val="auto"/>
              </w:rPr>
            </w:pPr>
          </w:p>
        </w:tc>
        <w:tc>
          <w:tcPr>
            <w:tcW w:w="200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50"/>
        </w:trPr>
        <w:tc>
          <w:tcPr>
            <w:tcW w:w="492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Item 3. Quantitative and Qualitative Disclosures About Market Risk</w:t>
              </w:r>
            </w:hyperlink>
          </w:p>
        </w:tc>
        <w:tc>
          <w:tcPr>
            <w:tcW w:w="3840" w:type="dxa"/>
            <w:vAlign w:val="bottom"/>
            <w:gridSpan w:val="2"/>
          </w:tcPr>
          <w:p>
            <w:pPr>
              <w:spacing w:after="0"/>
              <w:rPr>
                <w:sz w:val="21"/>
                <w:szCs w:val="21"/>
                <w:color w:val="auto"/>
              </w:rPr>
            </w:pPr>
          </w:p>
        </w:tc>
        <w:tc>
          <w:tcPr>
            <w:tcW w:w="200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50"/>
        </w:trPr>
        <w:tc>
          <w:tcPr>
            <w:tcW w:w="2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Item 4. Controls and Procedures</w:t>
              </w:r>
            </w:hyperlink>
          </w:p>
        </w:tc>
        <w:tc>
          <w:tcPr>
            <w:tcW w:w="6420" w:type="dxa"/>
            <w:vAlign w:val="bottom"/>
            <w:gridSpan w:val="10"/>
          </w:tcPr>
          <w:p>
            <w:pPr>
              <w:spacing w:after="0"/>
              <w:rPr>
                <w:sz w:val="21"/>
                <w:szCs w:val="21"/>
                <w:color w:val="auto"/>
              </w:rPr>
            </w:pPr>
          </w:p>
        </w:tc>
        <w:tc>
          <w:tcPr>
            <w:tcW w:w="200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r>
      <w:tr>
        <w:trPr>
          <w:trHeight w:val="250"/>
        </w:trPr>
        <w:tc>
          <w:tcPr>
            <w:tcW w:w="8760" w:type="dxa"/>
            <w:vAlign w:val="bottom"/>
            <w:gridSpan w:val="16"/>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OTHER INFORMATION</w:t>
              </w:r>
            </w:hyperlink>
          </w:p>
        </w:tc>
        <w:tc>
          <w:tcPr>
            <w:tcW w:w="218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50"/>
        </w:trPr>
        <w:tc>
          <w:tcPr>
            <w:tcW w:w="2760" w:type="dxa"/>
            <w:vAlign w:val="bottom"/>
            <w:tcBorders>
              <w:top w:val="single" w:sz="8" w:color="0000EE"/>
            </w:tcBorders>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 Legal Proceedings</w:t>
              </w:r>
            </w:hyperlink>
          </w:p>
        </w:tc>
        <w:tc>
          <w:tcPr>
            <w:tcW w:w="6000" w:type="dxa"/>
            <w:vAlign w:val="bottom"/>
            <w:gridSpan w:val="9"/>
          </w:tcPr>
          <w:p>
            <w:pPr>
              <w:spacing w:after="0"/>
              <w:rPr>
                <w:sz w:val="21"/>
                <w:szCs w:val="21"/>
                <w:color w:val="auto"/>
              </w:rPr>
            </w:pPr>
          </w:p>
        </w:tc>
        <w:tc>
          <w:tcPr>
            <w:tcW w:w="200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r>
      <w:tr>
        <w:trPr>
          <w:trHeight w:val="250"/>
        </w:trPr>
        <w:tc>
          <w:tcPr>
            <w:tcW w:w="1880" w:type="dxa"/>
            <w:vAlign w:val="bottom"/>
            <w:tcBorders>
              <w:top w:val="single" w:sz="8" w:color="0000EE"/>
            </w:tcBorders>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1A. Risk Factors</w:t>
              </w:r>
            </w:hyperlink>
          </w:p>
        </w:tc>
        <w:tc>
          <w:tcPr>
            <w:tcW w:w="6880" w:type="dxa"/>
            <w:vAlign w:val="bottom"/>
            <w:gridSpan w:val="11"/>
          </w:tcPr>
          <w:p>
            <w:pPr>
              <w:spacing w:after="0"/>
              <w:rPr>
                <w:sz w:val="21"/>
                <w:szCs w:val="21"/>
                <w:color w:val="auto"/>
              </w:rPr>
            </w:pPr>
          </w:p>
        </w:tc>
        <w:tc>
          <w:tcPr>
            <w:tcW w:w="200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2. Unregistered Sales of Equity Securities and Use of Proceeds</w:t>
              </w:r>
            </w:hyperlink>
          </w:p>
        </w:tc>
        <w:tc>
          <w:tcPr>
            <w:tcW w:w="3860" w:type="dxa"/>
            <w:vAlign w:val="bottom"/>
            <w:gridSpan w:val="3"/>
          </w:tcPr>
          <w:p>
            <w:pPr>
              <w:spacing w:after="0"/>
              <w:rPr>
                <w:sz w:val="21"/>
                <w:szCs w:val="21"/>
                <w:color w:val="auto"/>
              </w:rPr>
            </w:pPr>
          </w:p>
        </w:tc>
        <w:tc>
          <w:tcPr>
            <w:tcW w:w="200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r>
      <w:tr>
        <w:trPr>
          <w:trHeight w:val="250"/>
        </w:trPr>
        <w:tc>
          <w:tcPr>
            <w:tcW w:w="876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6. Exhibits</w:t>
              </w:r>
            </w:hyperlink>
          </w:p>
        </w:tc>
        <w:tc>
          <w:tcPr>
            <w:tcW w:w="218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50"/>
        </w:trPr>
        <w:tc>
          <w:tcPr>
            <w:tcW w:w="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Signatures</w:t>
              </w:r>
            </w:hyperlink>
          </w:p>
        </w:tc>
        <w:tc>
          <w:tcPr>
            <w:tcW w:w="380" w:type="dxa"/>
            <w:vAlign w:val="bottom"/>
            <w:tcBorders>
              <w:top w:val="single" w:sz="8" w:color="0000EE"/>
            </w:tcBorders>
          </w:tcPr>
          <w:p>
            <w:pPr>
              <w:spacing w:after="0"/>
              <w:rPr>
                <w:sz w:val="21"/>
                <w:szCs w:val="21"/>
                <w:color w:val="auto"/>
              </w:rPr>
            </w:pPr>
          </w:p>
        </w:tc>
        <w:tc>
          <w:tcPr>
            <w:tcW w:w="7620" w:type="dxa"/>
            <w:vAlign w:val="bottom"/>
            <w:gridSpan w:val="13"/>
          </w:tcPr>
          <w:p>
            <w:pPr>
              <w:spacing w:after="0"/>
              <w:rPr>
                <w:sz w:val="21"/>
                <w:szCs w:val="21"/>
                <w:color w:val="auto"/>
              </w:rPr>
            </w:pPr>
          </w:p>
        </w:tc>
        <w:tc>
          <w:tcPr>
            <w:tcW w:w="2000" w:type="dxa"/>
            <w:vAlign w:val="bottom"/>
            <w:gridSpan w:val="2"/>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bl>
    <w:p>
      <w:pPr>
        <w:sectPr>
          <w:pgSz w:w="11900" w:h="16838" w:orient="portrait"/>
          <w:cols w:equalWidth="0" w:num="1">
            <w:col w:w="10940"/>
          </w:cols>
          <w:pgMar w:left="280" w:top="364" w:right="67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UNIVERSAL ELECTRONICS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share-related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2018</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31, 2017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62,438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5,080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4,901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151,578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Contract assets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22,269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139,408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162,589</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12,229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11,687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12,517</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3,828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1,587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395,783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407,297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117,004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110,962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48,651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27,776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29,041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7,913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4,535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4,566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600,837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608,430</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8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105,470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119,165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Line of credit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138,000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33,323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34,499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sales discounts, rebates and royalties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8,882</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2,865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3,670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28,719</w:t>
            </w:r>
          </w:p>
        </w:tc>
        <w:tc>
          <w:tcPr>
            <w:tcW w:w="0" w:type="dxa"/>
            <w:vAlign w:val="bottom"/>
          </w:tcPr>
          <w:p>
            <w:pPr>
              <w:spacing w:after="0"/>
              <w:rPr>
                <w:sz w:val="1"/>
                <w:szCs w:val="1"/>
                <w:color w:val="auto"/>
              </w:rPr>
            </w:pPr>
          </w:p>
        </w:tc>
      </w:tr>
      <w:tr>
        <w:trPr>
          <w:trHeight w:val="217"/>
        </w:trPr>
        <w:tc>
          <w:tcPr>
            <w:tcW w:w="7660" w:type="dxa"/>
            <w:vAlign w:val="bottom"/>
          </w:tcPr>
          <w:p>
            <w:pPr>
              <w:ind w:left="8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319,350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332,935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Long-term contingent consideration</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9,360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13,400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4,423</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2,520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2,520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17"/>
        </w:trPr>
        <w:tc>
          <w:tcPr>
            <w:tcW w:w="7660" w:type="dxa"/>
            <w:vAlign w:val="bottom"/>
          </w:tcPr>
          <w:p>
            <w:pPr>
              <w:ind w:left="82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337,310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354,881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3"/>
              </w:rPr>
              <w:t>Common stock, $0.01 par value, 50,000,000 shares authorized; 23,830,353 and 23,760,434 shares issued on</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March 31, 2018 and December 31, 2017, respectively</w:t>
            </w:r>
          </w:p>
        </w:tc>
        <w:tc>
          <w:tcPr>
            <w:tcW w:w="26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268,645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265,195</w:t>
            </w:r>
          </w:p>
        </w:tc>
        <w:tc>
          <w:tcPr>
            <w:tcW w:w="0" w:type="dxa"/>
            <w:vAlign w:val="bottom"/>
          </w:tcPr>
          <w:p>
            <w:pPr>
              <w:spacing w:after="0"/>
              <w:rPr>
                <w:sz w:val="1"/>
                <w:szCs w:val="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rPr>
              <w:t>Treasury stock, at cost, 9,716,412 and 9,702,874 shares on March 31, 2018 and December 31, 2017,</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respectively</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(262,680)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(262,065)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(16,599)</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270,277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266,780</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263,527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253,549</w:t>
            </w:r>
          </w:p>
        </w:tc>
        <w:tc>
          <w:tcPr>
            <w:tcW w:w="0" w:type="dxa"/>
            <w:vAlign w:val="bottom"/>
          </w:tcPr>
          <w:p>
            <w:pPr>
              <w:spacing w:after="0"/>
              <w:rPr>
                <w:sz w:val="1"/>
                <w:szCs w:val="1"/>
                <w:color w:val="auto"/>
              </w:rPr>
            </w:pPr>
          </w:p>
        </w:tc>
      </w:tr>
      <w:tr>
        <w:trPr>
          <w:trHeight w:val="231"/>
        </w:trPr>
        <w:tc>
          <w:tcPr>
            <w:tcW w:w="7660" w:type="dxa"/>
            <w:vAlign w:val="bottom"/>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600,837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608,430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12700</wp:posOffset>
            </wp:positionV>
            <wp:extent cx="238379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79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See Note 4 for further information concerning our purchases from related party vendors.</w:t>
      </w:r>
    </w:p>
    <w:p>
      <w:pPr>
        <w:spacing w:after="0" w:line="1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164,698</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161,406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127,496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120,372</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37,202</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41,034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Research and development expenses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6,051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5,498</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Factory transition restructuring charges</w:t>
            </w:r>
          </w:p>
        </w:tc>
        <w:tc>
          <w:tcPr>
            <w:tcW w:w="10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5,250</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30,247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30,651</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904</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Interest income (expense), net</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Income (loss) before provision for income taxes</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 (benefit)</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119</w:t>
            </w:r>
          </w:p>
        </w:tc>
      </w:tr>
      <w:tr>
        <w:trPr>
          <w:trHeight w:val="311"/>
        </w:trPr>
        <w:tc>
          <w:tcPr>
            <w:tcW w:w="7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Earnings per share:</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77"/>
        </w:trPr>
        <w:tc>
          <w:tcPr>
            <w:tcW w:w="79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Diluted</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0.01</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used in computing earnings (loss) per share:</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290"/>
        </w:trPr>
        <w:tc>
          <w:tcPr>
            <w:tcW w:w="79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Basic</w:t>
            </w:r>
          </w:p>
        </w:tc>
        <w:tc>
          <w:tcPr>
            <w:tcW w:w="1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14,087</w:t>
            </w: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14,449</w:t>
            </w:r>
          </w:p>
        </w:tc>
      </w:tr>
      <w:tr>
        <w:trPr>
          <w:trHeight w:val="237"/>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10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14,087</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14,717</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8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foreign currency translation adjustment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3,646</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1,383</w:t>
            </w:r>
          </w:p>
        </w:tc>
      </w:tr>
      <w:tr>
        <w:trPr>
          <w:trHeight w:val="244"/>
        </w:trPr>
        <w:tc>
          <w:tcPr>
            <w:tcW w:w="812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3,059</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4"/>
              </w:rPr>
              <w:t>1,502</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provided by (used for) operating activities: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Net income (loss)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22"/>
                <w:szCs w:val="22"/>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119</w:t>
            </w: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(loss) to net cash provided by (used for) operating activities: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8,243</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7,645</w:t>
            </w:r>
          </w:p>
        </w:tc>
      </w:tr>
      <w:tr>
        <w:trPr>
          <w:trHeight w:val="276"/>
        </w:trPr>
        <w:tc>
          <w:tcPr>
            <w:tcW w:w="81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Provision for doubtful accounts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Provision for inventory write-downs</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659</w:t>
            </w:r>
          </w:p>
        </w:tc>
      </w:tr>
      <w:tr>
        <w:trPr>
          <w:trHeight w:val="276"/>
        </w:trPr>
        <w:tc>
          <w:tcPr>
            <w:tcW w:w="81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Deferred income taxes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Shares issued for employee benefit plan</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346</w:t>
            </w:r>
          </w:p>
        </w:tc>
      </w:tr>
      <w:tr>
        <w:trPr>
          <w:trHeight w:val="276"/>
        </w:trPr>
        <w:tc>
          <w:tcPr>
            <w:tcW w:w="81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Employee and director stock-based compensation</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2,623</w:t>
            </w: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Performance-based common stock warrants</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932</w:t>
            </w:r>
          </w:p>
        </w:tc>
      </w:tr>
      <w:tr>
        <w:trPr>
          <w:trHeight w:val="276"/>
        </w:trPr>
        <w:tc>
          <w:tcPr>
            <w:tcW w:w="81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Changes in operating assets and liabilities: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64"/>
        </w:trPr>
        <w:tc>
          <w:tcPr>
            <w:tcW w:w="8120" w:type="dxa"/>
            <w:vAlign w:val="bottom"/>
          </w:tcPr>
          <w:p>
            <w:pPr>
              <w:ind w:left="1260"/>
              <w:spacing w:after="0"/>
              <w:rPr>
                <w:sz w:val="20"/>
                <w:szCs w:val="20"/>
                <w:color w:val="auto"/>
              </w:rPr>
            </w:pPr>
            <w:r>
              <w:rPr>
                <w:rFonts w:ascii="Arial" w:cs="Arial" w:eastAsia="Arial" w:hAnsi="Arial"/>
                <w:sz w:val="14"/>
                <w:szCs w:val="14"/>
                <w:color w:val="auto"/>
              </w:rPr>
              <w:t>Accounts receivable and contract assets</w:t>
            </w:r>
          </w:p>
        </w:tc>
        <w:tc>
          <w:tcPr>
            <w:tcW w:w="10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(3,689)</w:t>
            </w:r>
          </w:p>
        </w:tc>
      </w:tr>
      <w:tr>
        <w:trPr>
          <w:trHeight w:val="276"/>
        </w:trPr>
        <w:tc>
          <w:tcPr>
            <w:tcW w:w="812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Inventories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w:t>
            </w:r>
          </w:p>
        </w:tc>
      </w:tr>
      <w:tr>
        <w:trPr>
          <w:trHeight w:val="264"/>
        </w:trPr>
        <w:tc>
          <w:tcPr>
            <w:tcW w:w="8120" w:type="dxa"/>
            <w:vAlign w:val="bottom"/>
          </w:tcPr>
          <w:p>
            <w:pPr>
              <w:ind w:left="1260"/>
              <w:spacing w:after="0"/>
              <w:rPr>
                <w:sz w:val="20"/>
                <w:szCs w:val="20"/>
                <w:color w:val="auto"/>
              </w:rPr>
            </w:pPr>
            <w:r>
              <w:rPr>
                <w:rFonts w:ascii="Arial" w:cs="Arial" w:eastAsia="Arial" w:hAnsi="Arial"/>
                <w:sz w:val="14"/>
                <w:szCs w:val="14"/>
                <w:color w:val="auto"/>
              </w:rPr>
              <w:t>Prepaid expenses and other assets</w:t>
            </w:r>
          </w:p>
        </w:tc>
        <w:tc>
          <w:tcPr>
            <w:tcW w:w="10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(905)</w:t>
            </w:r>
          </w:p>
        </w:tc>
      </w:tr>
      <w:tr>
        <w:trPr>
          <w:trHeight w:val="276"/>
        </w:trPr>
        <w:tc>
          <w:tcPr>
            <w:tcW w:w="812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Accounts payable and accrued liabilities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(21,160)</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(16,182)</w:t>
            </w:r>
          </w:p>
        </w:tc>
      </w:tr>
      <w:tr>
        <w:trPr>
          <w:trHeight w:val="264"/>
        </w:trPr>
        <w:tc>
          <w:tcPr>
            <w:tcW w:w="8120" w:type="dxa"/>
            <w:vAlign w:val="bottom"/>
            <w:tcBorders>
              <w:bottom w:val="single" w:sz="8" w:color="CCEEFF"/>
            </w:tcBorders>
          </w:tcPr>
          <w:p>
            <w:pPr>
              <w:ind w:left="1260"/>
              <w:spacing w:after="0"/>
              <w:rPr>
                <w:sz w:val="20"/>
                <w:szCs w:val="20"/>
                <w:color w:val="auto"/>
              </w:rPr>
            </w:pPr>
            <w:r>
              <w:rPr>
                <w:rFonts w:ascii="Arial" w:cs="Arial" w:eastAsia="Arial" w:hAnsi="Arial"/>
                <w:sz w:val="14"/>
                <w:szCs w:val="14"/>
                <w:color w:val="auto"/>
              </w:rPr>
              <w:t>Accrued income taxes</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(3,774)</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(2,064)</w:t>
            </w:r>
          </w:p>
        </w:tc>
      </w:tr>
      <w:tr>
        <w:trPr>
          <w:trHeight w:val="256"/>
        </w:trPr>
        <w:tc>
          <w:tcPr>
            <w:tcW w:w="81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provided by (used for) operating activities</w:t>
            </w: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(11,943)</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(12,553)</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Cash used for investing activities:</w:t>
            </w: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Acquisitions of property, plant, and equipment</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(9,314)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(6,460)</w:t>
            </w: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Acquisitions of intangible assets</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(571)</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w:t>
            </w:r>
          </w:p>
        </w:tc>
      </w:tr>
      <w:tr>
        <w:trPr>
          <w:trHeight w:val="202"/>
        </w:trPr>
        <w:tc>
          <w:tcPr>
            <w:tcW w:w="81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used for investing activities</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(9,885)</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Cash provided by (used for) financing activities:</w:t>
            </w: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Borrowings under line of credit</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13,000</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53,000</w:t>
            </w: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Repayments on line of credit</w:t>
            </w:r>
          </w:p>
        </w:tc>
        <w:tc>
          <w:tcPr>
            <w:tcW w:w="10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9"/>
              </w:rPr>
              <w:t>(10,000)</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(14,987)</w:t>
            </w: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stock options exercised</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w:t>
            </w: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Treasury stock purchased</w:t>
            </w:r>
          </w:p>
        </w:tc>
        <w:tc>
          <w:tcPr>
            <w:tcW w:w="10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(11,389)</w:t>
            </w:r>
          </w:p>
        </w:tc>
      </w:tr>
      <w:tr>
        <w:trPr>
          <w:trHeight w:val="2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Contingent consideration payments in connection with business combinations</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(3,858)</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120" w:type="dxa"/>
            <w:vAlign w:val="bottom"/>
          </w:tcPr>
          <w:p>
            <w:pPr>
              <w:ind w:left="600"/>
              <w:spacing w:after="0"/>
              <w:rPr>
                <w:sz w:val="20"/>
                <w:szCs w:val="20"/>
                <w:color w:val="auto"/>
              </w:rPr>
            </w:pPr>
            <w:r>
              <w:rPr>
                <w:rFonts w:ascii="Arial" w:cs="Arial" w:eastAsia="Arial" w:hAnsi="Arial"/>
                <w:sz w:val="14"/>
                <w:szCs w:val="14"/>
                <w:color w:val="auto"/>
              </w:rPr>
              <w:t>Net cash provided by (used for) financing activities</w:t>
            </w:r>
          </w:p>
        </w:tc>
        <w:tc>
          <w:tcPr>
            <w:tcW w:w="100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26,861</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832</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00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9"/>
              </w:rPr>
              <w:t>(22,030)</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7,463</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year</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67,339</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59,834</w:t>
            </w: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45,309</w:t>
            </w: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67,297</w:t>
            </w:r>
          </w:p>
        </w:tc>
      </w:tr>
      <w:tr>
        <w:trPr>
          <w:trHeight w:val="224"/>
        </w:trPr>
        <w:tc>
          <w:tcPr>
            <w:tcW w:w="8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Supplemental cash flow information:</w:t>
            </w: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 paid</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2,925</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Interest paid</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1,164</w:t>
            </w:r>
          </w:p>
        </w:tc>
        <w:tc>
          <w:tcPr>
            <w:tcW w:w="100" w:type="dxa"/>
            <w:vAlign w:val="bottom"/>
          </w:tcPr>
          <w:p>
            <w:pPr>
              <w:spacing w:after="0"/>
              <w:rPr>
                <w:sz w:val="22"/>
                <w:szCs w:val="22"/>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414</w:t>
            </w:r>
          </w:p>
        </w:tc>
      </w:tr>
    </w:tbl>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 4 for further information concerning our purchases from related party vendors.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months ended March 31, 2018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Judgments and Assumptions</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estimates and assumptions, and they may be adjusted as more information becomes available. Any adjustment may be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adopted Accounting Standards Update ("ASU") 2014-09, "Revenue from Contracts with Customers," and all the related amendments as of January 1, 2018. The impact of this new guidance on our accounting policies and consolidated financial statements is also described below. There have been no other significant changes in our accounting policies during the three months ended March 31, 2018 compared to the significant accounting policies described in our Annual Report on Form 10-K for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performance obligations primarily arise from manufacturing and delivering universal control, sensing and automation products and AV accessories, which are sold through multiple channels, and intellectual property that is embedded in these products or licensed to others. These performance obligations are satisfied at a point in time or over time, as described below. Payment terms are typically on open credit terms consistent with industry practice and do not have significant financing components. Some contracts contain early payment discounts, which are recognized as a reduction to revenue if the customer typically meets the early payment conditions. Consideration may be variable based on indeterminate volumes.</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1, 2018, revenue is recognized over time when the customer simultaneously receives and consumes the benefits provided by our performance, our performance creates or enhances an asset that the customer controls, or when our performance creates an asset with no alternative use to us (custom products) and we have an enforceable right to payment for performance completed to date, such as a firm order or other contractual commitment from the customer. An asset does not have an alternative use if we are unable to redirect the asset to another customer in the foreseeable future without significant rework. The method for measuring progress towards satisfying a performance obligation for a custom product is based on the costs incurred to date (cost-to-cost method). We believe that the costs associated with production are most closely aligned with the revenue associated with those products.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at a point in time if the criteria for recognizing revenue over time are not met, the title of the goods has transferred, and we have a present right to payment.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typically recognize revenue for the sale of tooling at a point in time, which is generally upon completion of the tooling and, if applicable, acceptance by the customer.</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 in the period in which we make such a determination.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 for discounts and rebates based on historical experience and our expectations regarding future sales to our customers. Accruals for discounts and rebates are recorded as a reduction to sales in the same period as the related revenue. Changes in such accruals may be required if future rebates and incentives differ from our estimates.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license our intellectual property including our patented technologies, trademarks, and database of control codes. When license fees are paid on a per-unit basis we record license revenue when our customers manufacture or ship a product incorporating our intellectual property and we have a present right to payment. When a fixed up-front license fee is received in exchange for the delivery of a particular database of infrared codes or the contract contains a minimum guarantee provision, we record revenue when delivery of the intellectual property has occurred. Tiered royalties are recorded on a straight-line basis according to the forecasted per-unit fees taking into account the pricing tiers.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 assets represent revenue which has been recognized based on our accounting policies but for which the customer has not yet been invoiced and thus an account receivable has not yet been recorded.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prior accounting standards, we recognized revenue on the sale of products when title of the goods had transferred, there was persuasive evidence of an arrangement (such as a purchase order from the customer), the sales price was fixed or determinable and collectability was reasonably assured. Revenue for term license fees were recognized on a straight-line basis over the effective term of the license when we could not reliably predict in which periods, within the term of the license, the licensee would benefit from the use of our patented inventions.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2018, we adopted ASU 2014-09 using the modified retrospective transition method. Under this method, we evaluated all contracts that were in effect at the beginning of 2018 as if those contracts had been accounted for under the new revenue standard based on the terms in effect as of the adoption date. Under the modified retrospective transition approach, periods prior to the adoption date were not adjusted and continue to be reported in accordance with historical U.S. GAAP. A cumulative catch-up adjustment was recorded to beginning retained earnings to reflect the impact of all existing arrangements under the new revenue standard.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effects of the changes made to our consolidated January 1, 2018 balance sheet for the adoption of ASU 2014-09, were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40" w:type="dxa"/>
            <w:vAlign w:val="bottom"/>
          </w:tcPr>
          <w:p>
            <w:pPr>
              <w:jc w:val="right"/>
              <w:ind w:right="794"/>
              <w:spacing w:after="0"/>
              <w:rPr>
                <w:sz w:val="20"/>
                <w:szCs w:val="20"/>
                <w:color w:val="auto"/>
              </w:rPr>
            </w:pPr>
            <w:r>
              <w:rPr>
                <w:rFonts w:ascii="Arial" w:cs="Arial" w:eastAsia="Arial" w:hAnsi="Arial"/>
                <w:sz w:val="14"/>
                <w:szCs w:val="14"/>
                <w:b w:val="1"/>
                <w:bCs w:val="1"/>
                <w:color w:val="auto"/>
              </w:rPr>
              <w:t>As reported</w:t>
            </w:r>
          </w:p>
        </w:tc>
        <w:tc>
          <w:tcPr>
            <w:tcW w:w="16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w w:val="97"/>
              </w:rPr>
              <w:t>Adjustments due to</w:t>
            </w:r>
          </w:p>
        </w:tc>
        <w:tc>
          <w:tcPr>
            <w:tcW w:w="380" w:type="dxa"/>
            <w:vAlign w:val="bottom"/>
          </w:tcPr>
          <w:p>
            <w:pPr>
              <w:spacing w:after="0"/>
              <w:rPr>
                <w:sz w:val="16"/>
                <w:szCs w:val="16"/>
                <w:color w:val="auto"/>
              </w:rPr>
            </w:pPr>
          </w:p>
        </w:tc>
        <w:tc>
          <w:tcPr>
            <w:tcW w:w="1380" w:type="dxa"/>
            <w:vAlign w:val="bottom"/>
          </w:tcPr>
          <w:p>
            <w:pPr>
              <w:jc w:val="right"/>
              <w:ind w:right="43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84"/>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Consolidated Balance Sheet (In thousands)</w:t>
            </w:r>
          </w:p>
        </w:tc>
        <w:tc>
          <w:tcPr>
            <w:tcW w:w="1680" w:type="dxa"/>
            <w:vAlign w:val="bottom"/>
          </w:tcPr>
          <w:p>
            <w:pPr>
              <w:spacing w:after="0"/>
              <w:rPr>
                <w:sz w:val="7"/>
                <w:szCs w:val="7"/>
                <w:color w:val="auto"/>
              </w:rPr>
            </w:pPr>
          </w:p>
        </w:tc>
        <w:tc>
          <w:tcPr>
            <w:tcW w:w="1840" w:type="dxa"/>
            <w:vAlign w:val="bottom"/>
            <w:vMerge w:val="restart"/>
          </w:tcPr>
          <w:p>
            <w:pPr>
              <w:jc w:val="right"/>
              <w:ind w:right="834"/>
              <w:spacing w:after="0"/>
              <w:rPr>
                <w:sz w:val="20"/>
                <w:szCs w:val="20"/>
                <w:color w:val="auto"/>
              </w:rPr>
            </w:pPr>
            <w:r>
              <w:rPr>
                <w:rFonts w:ascii="Arial" w:cs="Arial" w:eastAsia="Arial" w:hAnsi="Arial"/>
                <w:sz w:val="14"/>
                <w:szCs w:val="14"/>
                <w:b w:val="1"/>
                <w:bCs w:val="1"/>
                <w:color w:val="auto"/>
              </w:rPr>
              <w:t>12/31/2017</w:t>
            </w:r>
          </w:p>
        </w:tc>
        <w:tc>
          <w:tcPr>
            <w:tcW w:w="16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3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1/1/2018</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ASU 2014-09</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1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1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29,759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29,759</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680" w:type="dxa"/>
            <w:vAlign w:val="bottom"/>
          </w:tcPr>
          <w:p>
            <w:pPr>
              <w:spacing w:after="0"/>
              <w:rPr>
                <w:sz w:val="21"/>
                <w:szCs w:val="21"/>
                <w:color w:val="auto"/>
              </w:rPr>
            </w:pPr>
          </w:p>
        </w:tc>
        <w:tc>
          <w:tcPr>
            <w:tcW w:w="1840" w:type="dxa"/>
            <w:vAlign w:val="bottom"/>
          </w:tcPr>
          <w:p>
            <w:pPr>
              <w:jc w:val="right"/>
              <w:ind w:right="334"/>
              <w:spacing w:after="0"/>
              <w:rPr>
                <w:sz w:val="20"/>
                <w:szCs w:val="20"/>
                <w:color w:val="auto"/>
              </w:rPr>
            </w:pPr>
            <w:r>
              <w:rPr>
                <w:rFonts w:ascii="Arial" w:cs="Arial" w:eastAsia="Arial" w:hAnsi="Arial"/>
                <w:sz w:val="18"/>
                <w:szCs w:val="18"/>
                <w:color w:val="auto"/>
              </w:rPr>
              <w:t>162,589</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(23,830)</w:t>
            </w:r>
          </w:p>
        </w:tc>
        <w:tc>
          <w:tcPr>
            <w:tcW w:w="3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138,759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11,687</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Deferred income tax assets</w:t>
            </w:r>
          </w:p>
        </w:tc>
        <w:tc>
          <w:tcPr>
            <w:tcW w:w="1680" w:type="dxa"/>
            <w:vAlign w:val="bottom"/>
          </w:tcPr>
          <w:p>
            <w:pPr>
              <w:spacing w:after="0"/>
              <w:rPr>
                <w:sz w:val="21"/>
                <w:szCs w:val="21"/>
                <w:color w:val="auto"/>
              </w:rPr>
            </w:pPr>
          </w:p>
        </w:tc>
        <w:tc>
          <w:tcPr>
            <w:tcW w:w="1840" w:type="dxa"/>
            <w:vAlign w:val="bottom"/>
          </w:tcPr>
          <w:p>
            <w:pPr>
              <w:jc w:val="right"/>
              <w:ind w:right="334"/>
              <w:spacing w:after="0"/>
              <w:rPr>
                <w:sz w:val="20"/>
                <w:szCs w:val="20"/>
                <w:color w:val="auto"/>
              </w:rPr>
            </w:pPr>
            <w:r>
              <w:rPr>
                <w:rFonts w:ascii="Arial" w:cs="Arial" w:eastAsia="Arial" w:hAnsi="Arial"/>
                <w:sz w:val="18"/>
                <w:szCs w:val="18"/>
                <w:color w:val="auto"/>
              </w:rPr>
              <w:t>7,913</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other current 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332,935</w:t>
            </w:r>
          </w:p>
        </w:tc>
        <w:tc>
          <w:tcPr>
            <w:tcW w:w="1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1,528</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334,463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1680" w:type="dxa"/>
            <w:vAlign w:val="bottom"/>
          </w:tcPr>
          <w:p>
            <w:pPr>
              <w:spacing w:after="0"/>
              <w:rPr>
                <w:sz w:val="21"/>
                <w:szCs w:val="21"/>
                <w:color w:val="auto"/>
              </w:rPr>
            </w:pPr>
          </w:p>
        </w:tc>
        <w:tc>
          <w:tcPr>
            <w:tcW w:w="1840" w:type="dxa"/>
            <w:vAlign w:val="bottom"/>
          </w:tcPr>
          <w:p>
            <w:pPr>
              <w:jc w:val="right"/>
              <w:ind w:right="334"/>
              <w:spacing w:after="0"/>
              <w:rPr>
                <w:sz w:val="20"/>
                <w:szCs w:val="20"/>
                <w:color w:val="auto"/>
              </w:rPr>
            </w:pPr>
            <w:r>
              <w:rPr>
                <w:rFonts w:ascii="Arial" w:cs="Arial" w:eastAsia="Arial" w:hAnsi="Arial"/>
                <w:sz w:val="18"/>
                <w:szCs w:val="18"/>
                <w:color w:val="auto"/>
              </w:rPr>
              <w:t>4,423</w:t>
            </w:r>
          </w:p>
        </w:tc>
        <w:tc>
          <w:tcPr>
            <w:tcW w:w="1660" w:type="dxa"/>
            <w:vAlign w:val="bottom"/>
          </w:tcPr>
          <w:p>
            <w:pPr>
              <w:jc w:val="right"/>
              <w:ind w:right="74"/>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6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266,780</w:t>
            </w:r>
          </w:p>
        </w:tc>
        <w:tc>
          <w:tcPr>
            <w:tcW w:w="1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4,084</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270,864</w:t>
            </w:r>
          </w:p>
        </w:tc>
        <w:tc>
          <w:tcPr>
            <w:tcW w:w="0" w:type="dxa"/>
            <w:vAlign w:val="bottom"/>
          </w:tcPr>
          <w:p>
            <w:pPr>
              <w:spacing w:after="0"/>
              <w:rPr>
                <w:sz w:val="1"/>
                <w:szCs w:val="1"/>
                <w:color w:val="auto"/>
              </w:rPr>
            </w:pPr>
          </w:p>
        </w:tc>
      </w:tr>
      <w:tr>
        <w:trPr>
          <w:trHeight w:val="891"/>
        </w:trPr>
        <w:tc>
          <w:tcPr>
            <w:tcW w:w="4480" w:type="dxa"/>
            <w:vAlign w:val="bottom"/>
          </w:tcPr>
          <w:p>
            <w:pPr>
              <w:spacing w:after="0"/>
              <w:rPr>
                <w:sz w:val="24"/>
                <w:szCs w:val="24"/>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1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compares the reported consolidated balance sheet and income statement as of and for the three months ended March 31, 2018, to pro forma amounts had the previous guidance been in effect. The guidance did not have a significant impact on the Company's unaudited condensed consolidated statement of cash flows.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3"/>
              </w:rPr>
              <w:t>As of March 31, 2018</w:t>
            </w: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Consolidated Balance Sheet (In thousands)</w:t>
            </w:r>
          </w:p>
        </w:tc>
        <w:tc>
          <w:tcPr>
            <w:tcW w:w="340" w:type="dxa"/>
            <w:vAlign w:val="bottom"/>
          </w:tcPr>
          <w:p>
            <w:pPr>
              <w:spacing w:after="0"/>
              <w:rPr>
                <w:sz w:val="13"/>
                <w:szCs w:val="13"/>
                <w:color w:val="auto"/>
              </w:rPr>
            </w:pPr>
          </w:p>
        </w:tc>
        <w:tc>
          <w:tcPr>
            <w:tcW w:w="154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As reported</w:t>
            </w:r>
          </w:p>
        </w:tc>
        <w:tc>
          <w:tcPr>
            <w:tcW w:w="19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Without Adoption of ASU</w:t>
            </w:r>
          </w:p>
        </w:tc>
        <w:tc>
          <w:tcPr>
            <w:tcW w:w="320" w:type="dxa"/>
            <w:vAlign w:val="bottom"/>
          </w:tcPr>
          <w:p>
            <w:pPr>
              <w:spacing w:after="0"/>
              <w:rPr>
                <w:sz w:val="13"/>
                <w:szCs w:val="13"/>
                <w:color w:val="auto"/>
              </w:rPr>
            </w:pPr>
          </w:p>
        </w:tc>
        <w:tc>
          <w:tcPr>
            <w:tcW w:w="15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3"/>
              </w:rPr>
              <w:t>2014-09</w:t>
            </w: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22,269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22,269</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21"/>
                <w:szCs w:val="21"/>
                <w:color w:val="auto"/>
              </w:rPr>
            </w:pPr>
          </w:p>
        </w:tc>
        <w:tc>
          <w:tcPr>
            <w:tcW w:w="1540" w:type="dxa"/>
            <w:vAlign w:val="bottom"/>
          </w:tcPr>
          <w:p>
            <w:pPr>
              <w:jc w:val="right"/>
              <w:ind w:right="73"/>
              <w:spacing w:after="0"/>
              <w:rPr>
                <w:sz w:val="20"/>
                <w:szCs w:val="20"/>
                <w:color w:val="auto"/>
              </w:rPr>
            </w:pPr>
            <w:r>
              <w:rPr>
                <w:rFonts w:ascii="Arial" w:cs="Arial" w:eastAsia="Arial" w:hAnsi="Arial"/>
                <w:sz w:val="18"/>
                <w:szCs w:val="18"/>
                <w:color w:val="auto"/>
              </w:rPr>
              <w:t>139,408</w:t>
            </w:r>
          </w:p>
        </w:tc>
        <w:tc>
          <w:tcPr>
            <w:tcW w:w="260" w:type="dxa"/>
            <w:vAlign w:val="bottom"/>
          </w:tcPr>
          <w:p>
            <w:pPr>
              <w:spacing w:after="0"/>
              <w:rPr>
                <w:sz w:val="21"/>
                <w:szCs w:val="21"/>
                <w:color w:val="auto"/>
              </w:rPr>
            </w:pPr>
          </w:p>
        </w:tc>
        <w:tc>
          <w:tcPr>
            <w:tcW w:w="1680" w:type="dxa"/>
            <w:vAlign w:val="bottom"/>
          </w:tcPr>
          <w:p>
            <w:pPr>
              <w:jc w:val="right"/>
              <w:ind w:right="73"/>
              <w:spacing w:after="0"/>
              <w:rPr>
                <w:sz w:val="20"/>
                <w:szCs w:val="20"/>
                <w:color w:val="auto"/>
              </w:rPr>
            </w:pPr>
            <w:r>
              <w:rPr>
                <w:rFonts w:ascii="Arial" w:cs="Arial" w:eastAsia="Arial" w:hAnsi="Arial"/>
                <w:sz w:val="18"/>
                <w:szCs w:val="18"/>
                <w:color w:val="auto"/>
              </w:rPr>
              <w:t>156,478</w:t>
            </w:r>
          </w:p>
        </w:tc>
        <w:tc>
          <w:tcPr>
            <w:tcW w:w="3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(17,070)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12,229</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12,313</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540" w:type="dxa"/>
            <w:vAlign w:val="bottom"/>
          </w:tcPr>
          <w:p>
            <w:pPr>
              <w:jc w:val="right"/>
              <w:ind w:right="73"/>
              <w:spacing w:after="0"/>
              <w:rPr>
                <w:sz w:val="20"/>
                <w:szCs w:val="20"/>
                <w:color w:val="auto"/>
              </w:rPr>
            </w:pPr>
            <w:r>
              <w:rPr>
                <w:rFonts w:ascii="Arial" w:cs="Arial" w:eastAsia="Arial" w:hAnsi="Arial"/>
                <w:sz w:val="18"/>
                <w:szCs w:val="18"/>
                <w:color w:val="auto"/>
              </w:rPr>
              <w:t>7,119</w:t>
            </w:r>
          </w:p>
        </w:tc>
        <w:tc>
          <w:tcPr>
            <w:tcW w:w="260" w:type="dxa"/>
            <w:vAlign w:val="bottom"/>
          </w:tcPr>
          <w:p>
            <w:pPr>
              <w:spacing w:after="0"/>
              <w:rPr>
                <w:sz w:val="21"/>
                <w:szCs w:val="21"/>
                <w:color w:val="auto"/>
              </w:rPr>
            </w:pPr>
          </w:p>
        </w:tc>
        <w:tc>
          <w:tcPr>
            <w:tcW w:w="1680" w:type="dxa"/>
            <w:vAlign w:val="bottom"/>
          </w:tcPr>
          <w:p>
            <w:pPr>
              <w:jc w:val="right"/>
              <w:ind w:right="73"/>
              <w:spacing w:after="0"/>
              <w:rPr>
                <w:sz w:val="20"/>
                <w:szCs w:val="20"/>
                <w:color w:val="auto"/>
              </w:rPr>
            </w:pPr>
            <w:r>
              <w:rPr>
                <w:rFonts w:ascii="Arial" w:cs="Arial" w:eastAsia="Arial" w:hAnsi="Arial"/>
                <w:sz w:val="18"/>
                <w:szCs w:val="18"/>
                <w:color w:val="auto"/>
              </w:rPr>
              <w:t>7,141</w:t>
            </w:r>
          </w:p>
        </w:tc>
        <w:tc>
          <w:tcPr>
            <w:tcW w:w="3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319,350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317,921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540" w:type="dxa"/>
            <w:vAlign w:val="bottom"/>
          </w:tcPr>
          <w:p>
            <w:pPr>
              <w:jc w:val="right"/>
              <w:ind w:right="73"/>
              <w:spacing w:after="0"/>
              <w:rPr>
                <w:sz w:val="20"/>
                <w:szCs w:val="20"/>
                <w:color w:val="auto"/>
              </w:rPr>
            </w:pPr>
            <w:r>
              <w:rPr>
                <w:rFonts w:ascii="Arial" w:cs="Arial" w:eastAsia="Arial" w:hAnsi="Arial"/>
                <w:sz w:val="18"/>
                <w:szCs w:val="18"/>
                <w:color w:val="auto"/>
              </w:rPr>
              <w:t>4,485</w:t>
            </w:r>
          </w:p>
        </w:tc>
        <w:tc>
          <w:tcPr>
            <w:tcW w:w="260" w:type="dxa"/>
            <w:vAlign w:val="bottom"/>
          </w:tcPr>
          <w:p>
            <w:pPr>
              <w:spacing w:after="0"/>
              <w:rPr>
                <w:sz w:val="21"/>
                <w:szCs w:val="21"/>
                <w:color w:val="auto"/>
              </w:rPr>
            </w:pPr>
          </w:p>
        </w:tc>
        <w:tc>
          <w:tcPr>
            <w:tcW w:w="1680" w:type="dxa"/>
            <w:vAlign w:val="bottom"/>
          </w:tcPr>
          <w:p>
            <w:pPr>
              <w:jc w:val="right"/>
              <w:ind w:right="73"/>
              <w:spacing w:after="0"/>
              <w:rPr>
                <w:sz w:val="20"/>
                <w:szCs w:val="20"/>
                <w:color w:val="auto"/>
              </w:rPr>
            </w:pPr>
            <w:r>
              <w:rPr>
                <w:rFonts w:ascii="Arial" w:cs="Arial" w:eastAsia="Arial" w:hAnsi="Arial"/>
                <w:sz w:val="18"/>
                <w:szCs w:val="18"/>
                <w:color w:val="auto"/>
              </w:rPr>
              <w:t>4,359</w:t>
            </w:r>
          </w:p>
        </w:tc>
        <w:tc>
          <w:tcPr>
            <w:tcW w:w="3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270,277</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266,739</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710"/>
        </w:trPr>
        <w:tc>
          <w:tcPr>
            <w:tcW w:w="5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Three months ended March 31, 2018</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Consolidated Statements of Operations (In thousands)</w:t>
            </w:r>
          </w:p>
        </w:tc>
        <w:tc>
          <w:tcPr>
            <w:tcW w:w="340" w:type="dxa"/>
            <w:vAlign w:val="bottom"/>
          </w:tcPr>
          <w:p>
            <w:pPr>
              <w:spacing w:after="0"/>
              <w:rPr>
                <w:sz w:val="13"/>
                <w:szCs w:val="13"/>
                <w:color w:val="auto"/>
              </w:rPr>
            </w:pPr>
          </w:p>
        </w:tc>
        <w:tc>
          <w:tcPr>
            <w:tcW w:w="154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As reported</w:t>
            </w:r>
          </w:p>
        </w:tc>
        <w:tc>
          <w:tcPr>
            <w:tcW w:w="19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Without Adoption of ASU</w:t>
            </w:r>
          </w:p>
        </w:tc>
        <w:tc>
          <w:tcPr>
            <w:tcW w:w="320" w:type="dxa"/>
            <w:vAlign w:val="bottom"/>
          </w:tcPr>
          <w:p>
            <w:pPr>
              <w:spacing w:after="0"/>
              <w:rPr>
                <w:sz w:val="13"/>
                <w:szCs w:val="13"/>
                <w:color w:val="auto"/>
              </w:rPr>
            </w:pPr>
          </w:p>
        </w:tc>
        <w:tc>
          <w:tcPr>
            <w:tcW w:w="15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3"/>
              </w:rPr>
              <w:t>2014-09</w:t>
            </w: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164,698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172,188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1540" w:type="dxa"/>
            <w:vAlign w:val="bottom"/>
          </w:tcPr>
          <w:p>
            <w:pPr>
              <w:jc w:val="right"/>
              <w:ind w:right="73"/>
              <w:spacing w:after="0"/>
              <w:rPr>
                <w:sz w:val="20"/>
                <w:szCs w:val="20"/>
                <w:color w:val="auto"/>
              </w:rPr>
            </w:pPr>
            <w:r>
              <w:rPr>
                <w:rFonts w:ascii="Arial" w:cs="Arial" w:eastAsia="Arial" w:hAnsi="Arial"/>
                <w:sz w:val="18"/>
                <w:szCs w:val="18"/>
                <w:color w:val="auto"/>
              </w:rPr>
              <w:t>127,496</w:t>
            </w:r>
          </w:p>
        </w:tc>
        <w:tc>
          <w:tcPr>
            <w:tcW w:w="260" w:type="dxa"/>
            <w:vAlign w:val="bottom"/>
          </w:tcPr>
          <w:p>
            <w:pPr>
              <w:spacing w:after="0"/>
              <w:rPr>
                <w:sz w:val="21"/>
                <w:szCs w:val="21"/>
                <w:color w:val="auto"/>
              </w:rPr>
            </w:pPr>
          </w:p>
        </w:tc>
        <w:tc>
          <w:tcPr>
            <w:tcW w:w="1680" w:type="dxa"/>
            <w:vAlign w:val="bottom"/>
          </w:tcPr>
          <w:p>
            <w:pPr>
              <w:jc w:val="right"/>
              <w:ind w:right="73"/>
              <w:spacing w:after="0"/>
              <w:rPr>
                <w:sz w:val="20"/>
                <w:szCs w:val="20"/>
                <w:color w:val="auto"/>
              </w:rPr>
            </w:pPr>
            <w:r>
              <w:rPr>
                <w:rFonts w:ascii="Arial" w:cs="Arial" w:eastAsia="Arial" w:hAnsi="Arial"/>
                <w:sz w:val="18"/>
                <w:szCs w:val="18"/>
                <w:color w:val="auto"/>
              </w:rPr>
              <w:t>134,256</w:t>
            </w:r>
          </w:p>
        </w:tc>
        <w:tc>
          <w:tcPr>
            <w:tcW w:w="3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30,247</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30,410</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4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324"/>
        </w:trPr>
        <w:tc>
          <w:tcPr>
            <w:tcW w:w="5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(0.04)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73"/>
              <w:spacing w:after="0"/>
              <w:rPr>
                <w:sz w:val="20"/>
                <w:szCs w:val="20"/>
                <w:color w:val="auto"/>
              </w:rPr>
            </w:pPr>
            <w:r>
              <w:rPr>
                <w:rFonts w:ascii="Arial" w:cs="Arial" w:eastAsia="Arial" w:hAnsi="Arial"/>
                <w:sz w:val="18"/>
                <w:szCs w:val="18"/>
                <w:color w:val="auto"/>
              </w:rPr>
              <w:t>0.00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5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Accounting Pronouncements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Financial Accounting Standards Board ("FASB") issued ASU 2016-15, "Classification of Certain Cash Receipts and Cash Payments," which amends ASC 230, "Statement of Cash Flows". This new guidance addresses eight specific cash flow issues with the objective of reducing the existing diversity in practice in how certain transactions are classified in the statement of cash flows. ASU 2016-15 is effective for fiscal periods beginning after December 15, 2017 and must be adopted retrospectively. The adoption of ASU 2016-15 did not have a material impact to the presentation of our consolidated statement of cash flows.</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2016, the FASB issued ASU 2016-16, "Intra-Entity Transfers of Assets Other Than Inventory," which changes the accounting for income tax consequences of intra-entity transfers of assets other than inventory. Current guidance prohibits the recognition of current and deferred income taxes for an intra-entity asset transfer until the asset has been sold to an outside party. Under this new guidance, the income tax consequences of an intra-entity transfer of an asset other than inventory will be recognized when the transfer occurs. ASU 2016-16 is effective for fiscal periods beginning after December 15, 2017. The adoption of ASU 2016-16 did not have a material impact on our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November 2016, the FASB issued ASU 2016-18,"Restricted Cash," which amends ASC 230, "Statement of Cash Flows." This new guidance addresses the classifications and presentation of changes in restricted cash in the statement of cash flows. ASU 2016-18 is effective for fiscal periods beginning after December 15, 2017 and must be adopted retrospectively. The adoption of ASU 2016-18 modified our current disclosures by reclassifying certain amounts within the consolidated statement of cash flows, but did not have a material effect on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Updates Not Yet Effective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2016-02, "Leases," which changes the accounting for leases and requires expanded disclosures about leasing activities. This new guidance will require lessees to recognize a right of use asset and a lease liability at the commencement date for all leases with terms greater than twelve months. Accounting by lessors is largely unchanged. ASU 2016-02 is effective for fiscal periods beginning after December 15, 2018 and must be adopted using a modified retrospective approach. Early adoption is permitted. We are currently evaluating the impact that ASU 2016-02 will have on our consolidated financial statements.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"Simplifying the Test for Goodwill Impairment." This guidance simplifies how an entity is required to test goodwill for impairment by eliminating Step 2 from the goodwill impairment test. Instead, if the carrying amount of a reporting unit exceeds its fair value, an impairment loss will be recognized in an amount equal to that excess, limited to the total amount of goodwill allocated to the reporting unit. ASU 2017-04 is effective for fiscal periods beginning after December 15, 2019. Early adoption is permitted. We do not expect the adoption of ASU 2017-04 will have a material impact on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 and Restricted Cash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10,489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People's Republic of China ("PRC")</w:t>
            </w: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17,120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23,283</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(excluding the PRC)</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11,861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18,071</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9,190</w:t>
            </w:r>
          </w:p>
        </w:tc>
      </w:tr>
      <w:tr>
        <w:trPr>
          <w:trHeight w:val="257"/>
        </w:trPr>
        <w:tc>
          <w:tcPr>
            <w:tcW w:w="766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40,229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62,438</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pending sale of our Guangzhou factory in the PRC (Note 10), the buyer made a cash deposit of RMB 32 million ($5.1 million based on March 31, 2018 exchange rates) into an escrow account on September 29, 2016. Under the terms of the escrow account, these funds were not to be paid to us until the close of the sale. Accordingly, this deposit is presented as restricted cash within our consolidated balance sheet.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 and Revenue Concentrations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gross</w:t>
            </w:r>
          </w:p>
        </w:tc>
        <w:tc>
          <w:tcPr>
            <w:tcW w:w="41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142,299</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returns</w:t>
            </w:r>
          </w:p>
        </w:tc>
        <w:tc>
          <w:tcPr>
            <w:tcW w:w="38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7"/>
        </w:trPr>
        <w:tc>
          <w:tcPr>
            <w:tcW w:w="4020" w:type="dxa"/>
            <w:vAlign w:val="bottom"/>
          </w:tcPr>
          <w:p>
            <w:pPr>
              <w:ind w:left="380"/>
              <w:spacing w:after="0"/>
              <w:rPr>
                <w:sz w:val="20"/>
                <w:szCs w:val="20"/>
                <w:color w:val="auto"/>
              </w:rPr>
            </w:pPr>
            <w:r>
              <w:rPr>
                <w:rFonts w:ascii="Arial" w:cs="Arial" w:eastAsia="Arial" w:hAnsi="Arial"/>
                <w:sz w:val="18"/>
                <w:szCs w:val="18"/>
                <w:color w:val="auto"/>
              </w:rPr>
              <w:t>Net trade receivables</w:t>
            </w:r>
          </w:p>
        </w:tc>
        <w:tc>
          <w:tcPr>
            <w:tcW w:w="38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152,565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140,673</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10,905</w:t>
            </w:r>
          </w:p>
        </w:tc>
        <w:tc>
          <w:tcPr>
            <w:tcW w:w="0" w:type="dxa"/>
            <w:vAlign w:val="bottom"/>
          </w:tcPr>
          <w:p>
            <w:pPr>
              <w:spacing w:after="0"/>
              <w:rPr>
                <w:sz w:val="1"/>
                <w:szCs w:val="1"/>
                <w:color w:val="auto"/>
              </w:rPr>
            </w:pPr>
          </w:p>
        </w:tc>
      </w:tr>
      <w:tr>
        <w:trPr>
          <w:trHeight w:val="237"/>
        </w:trPr>
        <w:tc>
          <w:tcPr>
            <w:tcW w:w="402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38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160,055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151,578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80" w:type="dxa"/>
            <w:vAlign w:val="bottom"/>
            <w:vMerge w:val="restart"/>
          </w:tcPr>
          <w:p>
            <w:pPr>
              <w:jc w:val="right"/>
              <w:ind w:right="201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8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Additions to costs and expenses</w:t>
            </w: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(Write-offs)/Foreign exchange effects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945</w:t>
            </w: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sales returns at March 31, 2018 and December 31, 2017 included reserves for items returned prior to period-end that were not completely processed, and therefore had not yet been removed from the allowance for sales returns balance. If these returns had been fully processed, the allowance for sales returns balance would have been approximately $0.2 million and $0.4 million on March 31, 2018 and December 31, 2017, respectively. The value of these returned goods was included in our inventory balance at March 31, 2018 and December 31,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 March 31,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54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1208"/>
              <w:spacing w:after="0"/>
              <w:rPr>
                <w:sz w:val="20"/>
                <w:szCs w:val="20"/>
                <w:color w:val="auto"/>
              </w:rPr>
            </w:pPr>
            <w:r>
              <w:rPr>
                <w:rFonts w:ascii="Arial" w:cs="Arial" w:eastAsia="Arial" w:hAnsi="Arial"/>
                <w:sz w:val="14"/>
                <w:szCs w:val="14"/>
                <w:b w:val="1"/>
                <w:bCs w:val="1"/>
                <w:color w:val="auto"/>
                <w:w w:val="96"/>
              </w:rPr>
              <w:t>2017</w:t>
            </w:r>
          </w:p>
        </w:tc>
      </w:tr>
      <w:tr>
        <w:trPr>
          <w:trHeight w:val="264"/>
        </w:trPr>
        <w:tc>
          <w:tcPr>
            <w:tcW w:w="54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89"/>
              </w:rPr>
              <w:t>(thousands)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7"/>
              </w:rPr>
              <w:t>% of Net Sales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 (thousands)</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37,975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42,247</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341"/>
        </w:trPr>
        <w:tc>
          <w:tcPr>
            <w:tcW w:w="5440" w:type="dxa"/>
            <w:vAlign w:val="bottom"/>
          </w:tcPr>
          <w:p>
            <w:pPr>
              <w:ind w:left="40"/>
              <w:spacing w:after="0"/>
              <w:rPr>
                <w:sz w:val="20"/>
                <w:szCs w:val="20"/>
                <w:color w:val="auto"/>
              </w:rPr>
            </w:pPr>
            <w:r>
              <w:rPr>
                <w:rFonts w:ascii="Arial" w:cs="Arial" w:eastAsia="Arial" w:hAnsi="Arial"/>
                <w:sz w:val="18"/>
                <w:szCs w:val="18"/>
                <w:color w:val="auto"/>
              </w:rPr>
              <w:t xml:space="preserve">AT&amp;T </w:t>
            </w:r>
            <w:r>
              <w:rPr>
                <w:rFonts w:ascii="Arial" w:cs="Arial" w:eastAsia="Arial" w:hAnsi="Arial"/>
                <w:sz w:val="25"/>
                <w:szCs w:val="25"/>
                <w:color w:val="auto"/>
                <w:vertAlign w:val="superscript"/>
              </w:rPr>
              <w:t>(1)</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19,200</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11.9%</w:t>
            </w:r>
          </w:p>
        </w:tc>
      </w:tr>
    </w:tbl>
    <w:p>
      <w:pPr>
        <w:ind w:left="660" w:hanging="328"/>
        <w:spacing w:after="0" w:line="188"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Sales associated with this customer did not total more than 10% of our net sales as of March 31, 2018.</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31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782"/>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w w:val="95"/>
              </w:rPr>
              <w:t>$ (thousands)</w:t>
            </w:r>
          </w:p>
        </w:tc>
        <w:tc>
          <w:tcPr>
            <w:tcW w:w="100" w:type="dxa"/>
            <w:vAlign w:val="bottom"/>
            <w:vMerge w:val="restart"/>
          </w:tcPr>
          <w:p>
            <w:pPr>
              <w:spacing w:after="0"/>
              <w:rPr>
                <w:sz w:val="13"/>
                <w:szCs w:val="13"/>
                <w:color w:val="auto"/>
              </w:rPr>
            </w:pPr>
          </w:p>
        </w:tc>
        <w:tc>
          <w:tcPr>
            <w:tcW w:w="174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 of Accounts</w:t>
            </w:r>
          </w:p>
        </w:tc>
        <w:tc>
          <w:tcPr>
            <w:tcW w:w="116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w w:val="95"/>
              </w:rPr>
              <w:t>$ (thousands)</w:t>
            </w:r>
          </w:p>
        </w:tc>
        <w:tc>
          <w:tcPr>
            <w:tcW w:w="100" w:type="dxa"/>
            <w:vAlign w:val="bottom"/>
            <w:vMerge w:val="restart"/>
          </w:tcPr>
          <w:p>
            <w:pPr>
              <w:spacing w:after="0"/>
              <w:rPr>
                <w:sz w:val="13"/>
                <w:szCs w:val="13"/>
                <w:color w:val="auto"/>
              </w:rPr>
            </w:pP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 of Accounts</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Receivable, 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Receivable, Net</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27,372</w:t>
            </w:r>
          </w:p>
        </w:tc>
        <w:tc>
          <w:tcPr>
            <w:tcW w:w="100" w:type="dxa"/>
            <w:vAlign w:val="bottom"/>
            <w:shd w:val="clear" w:color="auto" w:fill="CCEEFF"/>
          </w:tcPr>
          <w:p>
            <w:pPr>
              <w:spacing w:after="0"/>
              <w:rPr>
                <w:sz w:val="21"/>
                <w:szCs w:val="21"/>
                <w:color w:val="auto"/>
              </w:rPr>
            </w:pPr>
          </w:p>
        </w:tc>
        <w:tc>
          <w:tcPr>
            <w:tcW w:w="1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17.1%  $</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25,142</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5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Pr>
          <w:p>
            <w:pPr>
              <w:spacing w:after="0"/>
              <w:rPr>
                <w:sz w:val="16"/>
                <w:szCs w:val="16"/>
                <w:color w:val="auto"/>
              </w:rPr>
            </w:pPr>
          </w:p>
        </w:tc>
        <w:tc>
          <w:tcPr>
            <w:tcW w:w="1440" w:type="dxa"/>
            <w:vAlign w:val="bottom"/>
          </w:tcPr>
          <w:p>
            <w:pPr>
              <w:jc w:val="right"/>
              <w:ind w:right="33"/>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43,638</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2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11,972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16,214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84,526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105,178</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139,408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162,589</w:t>
            </w:r>
          </w:p>
        </w:tc>
        <w:tc>
          <w:tcPr>
            <w:tcW w:w="0" w:type="dxa"/>
            <w:vAlign w:val="bottom"/>
          </w:tcPr>
          <w:p>
            <w:pPr>
              <w:spacing w:after="0"/>
              <w:rPr>
                <w:sz w:val="1"/>
                <w:szCs w:val="1"/>
                <w:color w:val="auto"/>
              </w:rPr>
            </w:pPr>
          </w:p>
        </w:tc>
      </w:tr>
      <w:tr>
        <w:trPr>
          <w:trHeight w:val="27"/>
        </w:trPr>
        <w:tc>
          <w:tcPr>
            <w:tcW w:w="7860" w:type="dxa"/>
            <w:vAlign w:val="bottom"/>
            <w:vMerge w:val="restart"/>
          </w:tcPr>
          <w:p>
            <w:pPr>
              <w:spacing w:after="0"/>
              <w:rPr>
                <w:sz w:val="20"/>
                <w:szCs w:val="20"/>
                <w:color w:val="auto"/>
              </w:rPr>
            </w:pPr>
            <w:r>
              <w:rPr>
                <w:rFonts w:ascii="Arial" w:cs="Arial" w:eastAsia="Arial" w:hAnsi="Arial"/>
                <w:sz w:val="18"/>
                <w:szCs w:val="18"/>
                <w:i w:val="1"/>
                <w:iCs w:val="1"/>
                <w:color w:val="auto"/>
              </w:rPr>
              <w:t>Reserve for Excess and Obsolete Inventory</w:t>
            </w: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spacing w:after="0"/>
              <w:rPr>
                <w:sz w:val="20"/>
                <w:szCs w:val="20"/>
                <w:color w:val="auto"/>
              </w:rPr>
            </w:pPr>
            <w:r>
              <w:rPr>
                <w:rFonts w:ascii="Arial" w:cs="Arial" w:eastAsia="Arial" w:hAnsi="Arial"/>
                <w:sz w:val="18"/>
                <w:szCs w:val="18"/>
                <w:color w:val="auto"/>
              </w:rPr>
              <w:t>Changes in the reserve for excess and obsolete inventory were as follows:</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(Write-offs)/Foreign exchange effects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2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$113 thousand and $27 thousand for the three months ended March 31, 2018 and 2017, respectively. These amounts are production waste and are not included in management's reserve for excess and obsolete inventory.</w:t>
      </w:r>
    </w:p>
    <w:p>
      <w:pPr>
        <w:spacing w:after="0" w:line="38"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reduction in reserves associated with inventory items that were sold during the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Purchases from the following supplier totaled more than 10% of our total inventory purchases: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132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 of Total</w:t>
            </w:r>
          </w:p>
        </w:tc>
        <w:tc>
          <w:tcPr>
            <w:tcW w:w="11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8"/>
              </w:rPr>
              <w:t>$ (thousands)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Inventory Purchases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Texas Instruments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6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left="5620" w:right="360" w:hanging="5288"/>
        <w:spacing w:after="0" w:line="466" w:lineRule="auto"/>
        <w:tabs>
          <w:tab w:leader="none" w:pos="652"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Purchases associated with this supplier did not total more than 10% of our total inventory purchases for the three months ended March 31, 2018. 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Supplier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supplier. The supplier is considered a related party for financial reporting purposes because our Senior Vice President of Strategic Operations owns 40% of this vendor. Inventory purchases from this supplier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of Total</w:t>
            </w:r>
          </w:p>
        </w:tc>
        <w:tc>
          <w:tcPr>
            <w:tcW w:w="220" w:type="dxa"/>
            <w:vAlign w:val="bottom"/>
          </w:tcPr>
          <w:p>
            <w:pPr>
              <w:spacing w:after="0"/>
              <w:rPr>
                <w:sz w:val="13"/>
                <w:szCs w:val="13"/>
                <w:color w:val="auto"/>
              </w:rPr>
            </w:pPr>
          </w:p>
        </w:tc>
        <w:tc>
          <w:tcPr>
            <w:tcW w:w="11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78"/>
        </w:trPr>
        <w:tc>
          <w:tcPr>
            <w:tcW w:w="5040" w:type="dxa"/>
            <w:vAlign w:val="bottom"/>
          </w:tcPr>
          <w:p>
            <w:pPr>
              <w:spacing w:after="0"/>
              <w:rPr>
                <w:sz w:val="20"/>
                <w:szCs w:val="20"/>
                <w:color w:val="auto"/>
              </w:rPr>
            </w:pPr>
            <w:r>
              <w:rPr>
                <w:rFonts w:ascii="Arial" w:cs="Arial" w:eastAsia="Arial" w:hAnsi="Arial"/>
                <w:sz w:val="18"/>
                <w:szCs w:val="18"/>
                <w:color w:val="auto"/>
              </w:rPr>
              <w:t>Total accounts payable to this supplier were as follows: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of Accounts Payable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of Accounts Payable</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payable terms and pricing with this supplier are consistent with the terms offered by other suppliers in the ordinary course of business. The accounting policies that we apply to our transactions with our related party supplier are consistent with those applied in transactions with independent third parties. Corporate management routinely monitors purchases from our related party supplier to ensure these purchases remain consistent with our business objectives.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64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48,651</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Foreign exchange effects</w:t>
            </w:r>
          </w:p>
        </w:tc>
        <w:tc>
          <w:tcPr>
            <w:tcW w:w="5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64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48,620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bottom w:val="single" w:sz="8" w:color="CCEEFF"/>
            </w:tcBorders>
            <w:vMerge w:val="restart"/>
          </w:tcPr>
          <w:p>
            <w:pPr>
              <w:jc w:val="right"/>
              <w:ind w:right="3910"/>
              <w:spacing w:after="0"/>
              <w:rPr>
                <w:sz w:val="20"/>
                <w:szCs w:val="20"/>
                <w:color w:val="auto"/>
              </w:rPr>
            </w:pPr>
            <w:r>
              <w:rPr>
                <w:rFonts w:ascii="Arial" w:cs="Arial" w:eastAsia="Arial" w:hAnsi="Arial"/>
                <w:sz w:val="18"/>
                <w:szCs w:val="18"/>
                <w:color w:val="auto"/>
              </w:rPr>
              <w:t>13</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2018</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2017</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13,258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8,170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13,250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Developed and core technology</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12,544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5,979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12,560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Capitalized software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32,425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32,534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13,139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 backlog</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61,648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(33,872)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27,776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61,766</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(32,725)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29,041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$6.5 million and $6.0 million at March 31, 2018 and December 31, 2017, respectively.</w:t>
      </w: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and order backlog, which are recorded in cost of sales. Amortization expense by income statement caption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7"/>
              </w:rPr>
              <w:t>Estimated future annual amortization expense related to our intangible assets at March 31, 2018, is as follows: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 9 months)</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6,984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2,341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4,894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Line of Credit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Second Amended and Restated Credit Agreement ("Second Amended Credit Agreement") with U.S. Bank National Association ("U.S. Bank") and Wells Fargo Bank, National Association provides for a $170.0 million revolving line of credit ("Credit Line") that expires on November 1, 2019. The Credit Line may be used for working capital and other general corporate purposes including acquisitions, share repurchases and capital expenditures. Amounts available for borrowing under the Credit Line are reduced by the balance of any outstanding letters of credit. There were no outstanding letters of credit at March 31, 2018.</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 in effect at March 31, 2018 was 3.34%. There are no commitment fees or unused line fees under the Second Amended Credit Agreement.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March 31, 2018, we were in compliance with the covenants and conditions of the Second Amended Credit Agreement.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2018, we had $141.0 million outstanding under the Credit Line. Our total interest expense on borrowings was $1.1 million and $0.5 million during the three months ended March 31, 2018 and 2017,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rate and multiplying it by the year-to-date pre-tax book income.</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recorded an income tax benefit of $0.2 million and $0.3 million for the three months ended March 31, 2018 and 2017, respectively, and our effective tax rate was 22.0% and 168.0% during the three months ended March 31, 2018 and 2017, respectively. The change in our effective tax rate was primarily due to a favorable tax ruling that resulted in the reversal of a $0.2 million reserve during the three months ended March 31, 2017.</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Tax Cuts and Jobs Act was enacted on December 22, 2017. The Act reduces the U.S. federal corporate income tax rate from 35% to 21%, requires companies to pay a one-time transition tax on earnings of certain foreign subsidiaries that were previously tax deferred and creates new taxes on certain foreign sourced earnings. We are applying the guidance in SAB 118 when accounting for the enactment-date effects of the Act. At March 31, 2018, we have not completed our accounting for all of the tax effects of the Act. Additionally, we have made a reasonable estimate of other effects. During the three month period ended March 31, 2018, we recognized no adjustments to the provisional amounts recorded at December 31, 2017. We are awaiting further guidance from the U.S. federal and state regulatory bodies with regards to the final accounting and reporting of these items in the several jurisdictions where we file tax returns. In all cases, we will continue to refine our calculations as additional analysis is completed. Our estimates may also be affected as we gain a more thorough understanding of tax law. These changes could be material to income tax expense.</w:t>
      </w:r>
    </w:p>
    <w:p>
      <w:pPr>
        <w:spacing w:after="0" w:line="1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we have provided provisional amounts for the legislative provisions that are effective as of January 1, 2018, including, but not limited to, the creation of the base erosion anti-abuse tax (BEAT), a new minimum tax, a new provision designed to tax global intangible low-taxed income (Global Minimum Tax, or GMT), a new limitation on deductible interest expense, and limitations on the use of net operating losses. Our accounting for these elements of the Tax Act is incomplete; however, we were able to make reasonable estimates and therefore recorded provisional adjustments. Similar to the above elements, we are in the process of collecting and preparing necessary data, and interpreting guidance as issued by the U.S. Treasury Department, Internal Revenue Service ("IRS"), FASB, and other federal and state standard-setting regulatory bodies. However, we continue to gather additional information to complete our accounting for these items and expect to complete the accounting within the prescribed measurement period. Given the complexity of the GMT provisions, we are still evaluating the effects of the GMT provisions and have not yet determined our accounting policy. At March 31, 2018, we are still evaluating the GMT provisions and our analysis of future taxable income that is subject to GMT, we have included GMT related to current year operations only in our estimated annual effective tax rate and have not provided additional GMT on deferred items.</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2018, we had gross unrecognized tax benefits of $5.7 million, including interest and penalties, of which approximately $5.3 million, if not for the state Research and Experimentation income tax credit valuation allowance, would affect the annual effective tax rate if these tax benefits are realized. Further, we are unaware of any positions for which it is reasonably possible that the total amount of unrecognized tax benefits will significantly change within the next twelve months. Based on federal, state and foreign statute expirations in various jurisdictions, we do not anticipate any decrease in unrecognized tax benefits within the next twelve months. We have classified uncertain tax positions as non-current income tax liabilities unless expected to be paid within one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$0.6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and $0.5 million at March 31, 2018 and December 31, 2017, respectively, are included in our unrecognized tax benefits.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 2017</w:t>
            </w:r>
          </w:p>
        </w:tc>
      </w:tr>
      <w:tr>
        <w:trPr>
          <w:trHeight w:val="270"/>
        </w:trPr>
        <w:tc>
          <w:tcPr>
            <w:tcW w:w="78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18,279</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17,727</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2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8,240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7,910</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2,769</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2,329</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2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286</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2,389</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33,323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34,499</w:t>
            </w:r>
          </w:p>
        </w:tc>
      </w:tr>
      <w:tr>
        <w:trPr>
          <w:trHeight w:val="27"/>
        </w:trPr>
        <w:tc>
          <w:tcPr>
            <w:tcW w:w="7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5"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industry insurance, unemployment insurance, and a housing assistance fund, and is administered in a manner similar to social security in the United States. This amount represents our estimate of the amounts due to the PRC government for social insurance on March 31, 2018 and December 31, 2017.</w:t>
      </w:r>
    </w:p>
    <w:p>
      <w:pPr>
        <w:spacing w:after="0" w:line="96" w:lineRule="exact"/>
        <w:rPr>
          <w:rFonts w:ascii="Arial" w:cs="Arial" w:eastAsia="Arial" w:hAnsi="Arial"/>
          <w:sz w:val="25"/>
          <w:szCs w:val="25"/>
          <w:color w:val="auto"/>
          <w:vertAlign w:val="superscript"/>
        </w:rPr>
      </w:pPr>
    </w:p>
    <w:p>
      <w:pPr>
        <w:jc w:val="both"/>
        <w:ind w:left="660" w:hanging="328"/>
        <w:spacing w:after="0" w:line="220"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$0.5 million and $0.7 million at March 31, 2018 and December 31, 2017,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215</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 for sale of Guangzhou factory</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Duties</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1,184</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Freight and handling fees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974</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claim costs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1,578</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Sales taxes and VAT</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2,597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2,955</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contingent consideration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Third-party commissions</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599</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1,843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Unrealized loss on foreign currency exchange contracts</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630</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5,919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5,232</w:t>
            </w: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28,719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w:t>
      </w:r>
    </w:p>
    <w:p>
      <w:pPr>
        <w:sectPr>
          <w:pgSz w:w="11900" w:h="16838" w:orient="portrait"/>
          <w:cols w:equalWidth="0" w:num="1">
            <w:col w:w="11420"/>
          </w:cols>
          <w:pgMar w:left="240" w:top="118"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18" w:right="23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liability for product warranty claim costs were as follows:</w:t>
      </w: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beginning of period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Accruals for 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Settlements (in cash or in kind) during the period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end of period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Activities and Sale of Guangzhou Factory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1300" w:type="dxa"/>
            <w:vAlign w:val="bottom"/>
          </w:tcPr>
          <w:p>
            <w:pPr>
              <w:jc w:val="right"/>
              <w:ind w:right="6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612"/>
              <w:spacing w:after="0"/>
              <w:rPr>
                <w:sz w:val="20"/>
                <w:szCs w:val="20"/>
                <w:color w:val="auto"/>
              </w:rPr>
            </w:pPr>
            <w:r>
              <w:rPr>
                <w:rFonts w:ascii="Arial" w:cs="Arial" w:eastAsia="Arial" w:hAnsi="Arial"/>
                <w:sz w:val="16"/>
                <w:szCs w:val="16"/>
                <w:b w:val="1"/>
                <w:bCs w:val="1"/>
                <w:color w:val="auto"/>
              </w:rPr>
              <w:t>2017</w:t>
            </w:r>
          </w:p>
        </w:tc>
      </w:tr>
      <w:tr>
        <w:trPr>
          <w:trHeight w:val="33"/>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134</w:t>
            </w:r>
          </w:p>
        </w:tc>
      </w:tr>
      <w:tr>
        <w:trPr>
          <w:trHeight w:val="270"/>
        </w:trPr>
        <w:tc>
          <w:tcPr>
            <w:tcW w:w="4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132</w:t>
            </w:r>
          </w:p>
        </w:tc>
      </w:tr>
      <w:tr>
        <w:trPr>
          <w:trHeight w:val="27"/>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41" w:lineRule="exact"/>
        <w:rPr>
          <w:sz w:val="20"/>
          <w:szCs w:val="20"/>
          <w:color w:val="auto"/>
        </w:rPr>
      </w:pPr>
    </w:p>
    <w:p>
      <w:pPr>
        <w:sectPr>
          <w:pgSz w:w="11900" w:h="16838" w:orient="portrait"/>
          <w:cols w:equalWidth="0" w:num="2">
            <w:col w:w="7140" w:space="720"/>
            <w:col w:w="3560"/>
          </w:cols>
          <w:pgMar w:left="240" w:top="118" w:right="239" w:bottom="1440" w:gutter="0" w:footer="0" w:header="0"/>
          <w:type w:val="continuous"/>
        </w:sectPr>
      </w:pPr>
    </w:p>
    <w:p>
      <w:pPr>
        <w:jc w:val="both"/>
        <w:spacing w:after="0" w:line="255" w:lineRule="auto"/>
        <w:rPr>
          <w:sz w:val="20"/>
          <w:szCs w:val="20"/>
          <w:color w:val="auto"/>
        </w:rPr>
      </w:pPr>
      <w:r>
        <w:rPr>
          <w:rFonts w:ascii="Arial" w:cs="Arial" w:eastAsia="Arial" w:hAnsi="Arial"/>
          <w:sz w:val="18"/>
          <w:szCs w:val="18"/>
          <w:color w:val="auto"/>
        </w:rPr>
        <w:t>In the first quarter of 2016, we implemented a plan to reduce the impact of rising labor rates in China by transitioning manufacturing activities from our southern-most China factory, located in the city of Guangzhou in the Guangdong province, to our other China factories where labor rates are rising at a slower rate. As a result, we incurred severance costs of $5.3 million during the three months ended March 31, 2017, which are included within operating expenses. All operations ceased in our Guangzhou factory in the third quarter of 2017 and the transition to the other China factories was completed by the end of 2017. Since all operations at our Guangzhou manufacturing facility ceased as of the end of July 2017, the related building and land lease assets are classified as assets held for sale in our consolidated balance sheets.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26, 2016, we entered into an agreement to sell our Guangzhou manufacturing facility for RMB 320 million (approximately $50.8 million based on March 31, 2018 exchange rates). In accordance with the terms of the agreement, the buyer deposited 10% of the purchase price into an escrow account upon the execution of the agreement, which we have presented as restricted cash in our consolidated balance sheet (also refer to Note 2). On April 17, 2018, we and the buyer mutually agreed to terminate the sale. The mutually agreed termination took effect immediately with no incremental penalty or costs to either party. In connection with this termination, the deposit was returned to the buyer.</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23, 2018, we entered into a new agreement to sell our Guangzhou manufacturing facility to a second buyer for RMB 339 million (approximately $53.8 million based on current exchange rates). On April 26, 2018, the second buyer paid to us a deposit of RMB 34 million (approximately $5.4 million based on current exchange rates), which under the terms of the agreement is nonrefundable. Upon receipt by the Governmental Agency of the second buyer’s application of approval of transfer, the second buyer will pay to us RMB 237 million (approximately $37.7 million based on current exchange rates). Additionally, within two days after the second payment has been made to us, the second buyer will deposit the remaining consideration of RMB 68 million (approximately $10.8 million based on current exchange rates) into escrow, which will be released to us upon the closing of the sale. Per the terms of the agreement, the sale is to be completed no later than June 30, 2018.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supplied to Telenet violates two design patents and one utility patent owned by FMH and/or Ruwido. By this summons, FMH and Ruwido sought to enjoin Telenet and UEBV from continued distribution and use of the product at issue. After the September 29, 2015 hearing, the court issued its ruling in our and Telenet’s favor, rejecting FMH and Ruwido’s request entirely. On October 22, 2015, Ruwido filed its notice of appeal in this ruling. The parties have fully briefed and argued before the appellate court and we are awaiting the appellate court’s ruling. In addition, on or about February 9, 2016, Ruwido filed a writ of summons for proceeding on the merits with respect to the asserted patents. UEBV and Telenet have replied, denying all of Ruwido's allegations and in June 2017, a hearing was held before the trial court. During this hearing, Ruwido sought to have a second product which we are currently selling to Telenet included in this case. In September 2017, the Court ruled in our favor that our current product cannot be made part of this case. The Court also refused to rule on whether the original product (which we are no longer selling) infringes the Ruwido patent, instead deciding to wait until the European Patent Office has ruled on our Opposition (see below). Finally, the Court ruled that our original product (which we are no longer selling)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infringes certain of Ruwido’s design rights, but stayed any decision of compensation and/or damages until all aspects of the case have been decided. We have filed an appeal as to the Court’s ruling of infringement, and submission by the parties are due to the Court during the second quarter of 2018 with a hearing expected to take place in late 2018. Subsequent to the Court's ruling that a second product could not be added to the first case on the merits, Ruwido filed a separate case on the merits with respect to this second product, claiming that it too infringes the same patent at issue in the first suit. We have denied these claims. According to the Court’s trial schedule, briefs from both parties will be due during the second half of 2018 and early 2019 with a trial date set for January 2019. In September 2015, UEBV filed an Opposition with the European Patent Office seeking to invalidate the one utility patent asserted against UEBV and Telenet by Ruwido. The hearing on this opposition was held in July 2017. During this hearing the panel requested additional information. We have assembled this additional information and are awaiting a rehearing date. On September 5, 2017, Ruwido and FMH filed a patent infringement case on the merits against UEBV and Telenet in the Netherlands alleging the same claims of infringement as in the Belgium Courts (see above). We have denied these claims and filed a counterclaim seeking to invalidate the Ruwido patent. A hearing date has not yet been set by the Court.</w:t>
      </w:r>
    </w:p>
    <w:p>
      <w:pPr>
        <w:spacing w:after="0" w:line="1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Treasury Stock</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on the open market. As of March 31, 2018, we had no shares available for repurchase on the open market under the Board's authorizations. On May 3, 2018, our Board approved a new repurchase plan authorizing the repurchase of up to 100,000 shares on the open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2017</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185</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11,389</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79,751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3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27,400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24,650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17,424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6,016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164,698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161,406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14,674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101,960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96,984</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3,870</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121,539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115,528</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7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119</w:t>
            </w:r>
          </w:p>
        </w:tc>
      </w:tr>
      <w:tr>
        <w:trPr>
          <w:trHeight w:val="27"/>
        </w:trPr>
        <w:tc>
          <w:tcPr>
            <w:tcW w:w="51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1,744</w:t>
            </w:r>
          </w:p>
        </w:tc>
      </w:tr>
      <w:tr>
        <w:trPr>
          <w:trHeight w:val="27"/>
        </w:trPr>
        <w:tc>
          <w:tcPr>
            <w:tcW w:w="51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4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745</w:t>
            </w: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w w:val="98"/>
              </w:rPr>
              <w:t>Total employee and director stock-based compensation expense</w:t>
            </w:r>
          </w:p>
        </w:tc>
        <w:tc>
          <w:tcPr>
            <w:tcW w:w="346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2,623</w:t>
            </w:r>
          </w:p>
        </w:tc>
      </w:tr>
      <w:tr>
        <w:trPr>
          <w:trHeight w:val="67"/>
        </w:trPr>
        <w:tc>
          <w:tcPr>
            <w:tcW w:w="5120" w:type="dxa"/>
            <w:vAlign w:val="bottom"/>
            <w:tcBorders>
              <w:bottom w:val="single" w:sz="8" w:color="CCEEFF"/>
            </w:tcBorders>
          </w:tcPr>
          <w:p>
            <w:pPr>
              <w:spacing w:after="0"/>
              <w:rPr>
                <w:sz w:val="5"/>
                <w:szCs w:val="5"/>
                <w:color w:val="auto"/>
              </w:rPr>
            </w:pPr>
          </w:p>
        </w:tc>
        <w:tc>
          <w:tcPr>
            <w:tcW w:w="34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78"/>
        </w:trPr>
        <w:tc>
          <w:tcPr>
            <w:tcW w:w="512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7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815</w:t>
            </w:r>
          </w:p>
        </w:tc>
      </w:tr>
      <w:tr>
        <w:trPr>
          <w:trHeight w:val="702"/>
        </w:trPr>
        <w:tc>
          <w:tcPr>
            <w:tcW w:w="5120" w:type="dxa"/>
            <w:vAlign w:val="bottom"/>
          </w:tcPr>
          <w:p>
            <w:pPr>
              <w:spacing w:after="0"/>
              <w:rPr>
                <w:sz w:val="24"/>
                <w:szCs w:val="24"/>
                <w:color w:val="auto"/>
              </w:rPr>
            </w:pPr>
          </w:p>
        </w:tc>
        <w:tc>
          <w:tcPr>
            <w:tcW w:w="3460" w:type="dxa"/>
            <w:vAlign w:val="bottom"/>
          </w:tcPr>
          <w:p>
            <w:pPr>
              <w:jc w:val="right"/>
              <w:ind w:right="269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19.61</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320" w:type="dxa"/>
            <w:vAlign w:val="bottom"/>
          </w:tcPr>
          <w:p>
            <w:pPr>
              <w:spacing w:after="0"/>
              <w:rPr>
                <w:sz w:val="21"/>
                <w:szCs w:val="21"/>
                <w:color w:val="auto"/>
              </w:rPr>
            </w:pPr>
          </w:p>
        </w:tc>
        <w:tc>
          <w:tcPr>
            <w:tcW w:w="1120" w:type="dxa"/>
            <w:vAlign w:val="bottom"/>
          </w:tcPr>
          <w:p>
            <w:pPr>
              <w:jc w:val="right"/>
              <w:ind w:right="96"/>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4.52</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2018, we expect to recognize $3.2 million of total unrecognized pre-tax stock-based compensation expense related to non-vested stock options over a remaining weighted-average life of 2.2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4"/>
                <w:szCs w:val="14"/>
                <w:color w:val="auto"/>
              </w:rPr>
            </w:pPr>
          </w:p>
        </w:tc>
        <w:tc>
          <w:tcPr>
            <w:tcW w:w="136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Number of Options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13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(in 000's)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44.95</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at March 31, 2018 </w:t>
            </w:r>
            <w:r>
              <w:rPr>
                <w:rFonts w:ascii="Arial" w:cs="Arial" w:eastAsia="Arial" w:hAnsi="Arial"/>
                <w:sz w:val="25"/>
                <w:szCs w:val="25"/>
                <w:color w:val="auto"/>
                <w:vertAlign w:val="superscript"/>
              </w:rPr>
              <w:t>(1)</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43.69</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7,151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at March 31, 2018 </w:t>
            </w:r>
            <w:r>
              <w:rPr>
                <w:rFonts w:ascii="Arial" w:cs="Arial" w:eastAsia="Arial" w:hAnsi="Arial"/>
                <w:sz w:val="25"/>
                <w:szCs w:val="25"/>
                <w:color w:val="auto"/>
                <w:vertAlign w:val="superscript"/>
              </w:rPr>
              <w:t>(1)</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619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35.03</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at March 31, 2018 </w:t>
            </w:r>
            <w:r>
              <w:rPr>
                <w:rFonts w:ascii="Arial" w:cs="Arial" w:eastAsia="Arial" w:hAnsi="Arial"/>
                <w:sz w:val="25"/>
                <w:szCs w:val="25"/>
                <w:color w:val="auto"/>
                <w:vertAlign w:val="superscript"/>
              </w:rPr>
              <w:t>(1)</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39.82</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6,282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38"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first quarter of 2018 and the exercise price, multiplied by the number of in-the-money options) that would have been received by the option holders had they all exercised their options on March 31, 2018. This amount will change based on the fair market value of our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00" w:type="dxa"/>
            <w:vAlign w:val="bottom"/>
          </w:tcPr>
          <w:p>
            <w:pPr>
              <w:jc w:val="center"/>
              <w:ind w:left="468"/>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Weighted-Average Grant Date</w:t>
            </w:r>
          </w:p>
        </w:tc>
      </w:tr>
      <w:tr>
        <w:trPr>
          <w:trHeight w:val="192"/>
        </w:trPr>
        <w:tc>
          <w:tcPr>
            <w:tcW w:w="74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6"/>
              </w:rPr>
              <w:t>(in 000's)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61.19</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44.98</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63.34</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59.72</w:t>
            </w:r>
          </w:p>
        </w:tc>
      </w:tr>
      <w:tr>
        <w:trPr>
          <w:trHeight w:val="27"/>
        </w:trPr>
        <w:tc>
          <w:tcPr>
            <w:tcW w:w="7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2018</w:t>
            </w:r>
          </w:p>
        </w:tc>
        <w:tc>
          <w:tcPr>
            <w:tcW w:w="14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51.99</w:t>
            </w:r>
          </w:p>
        </w:tc>
      </w:tr>
      <w:tr>
        <w:trPr>
          <w:trHeight w:val="20"/>
        </w:trPr>
        <w:tc>
          <w:tcPr>
            <w:tcW w:w="7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2018, we expect to recognize $11.7 million of total unrecognized pre-tax stock-based compensation expense related to non-vested restricted stock awards over a weighted-average life of 2.2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Performance-Based Common Stock Warrants</w:t>
      </w:r>
    </w:p>
    <w:p>
      <w:pPr>
        <w:spacing w:after="0" w:line="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9, 2016, we issued common stock purchase warrants to Comcast to purchase up to 725,000 shares of our common stock at a price of $54.55 per share. The right to exercise the warrants is subject to vesting over three successive two-year periods (the first two-year period commenced on January 1, 2016 and ended December 31, 2017) based on the level of purchases of goods and services from us by Comcast and its affiliates, as defined in the warrants. The table below presents the purchase levels and number of warrants that will vest in each period based upon achieving these purchase levels.</w:t>
      </w:r>
    </w:p>
    <w:p>
      <w:pPr>
        <w:spacing w:after="0" w:line="14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820" w:type="dxa"/>
            <w:vAlign w:val="bottom"/>
            <w:tcBorders>
              <w:bottom w:val="single" w:sz="8" w:color="auto"/>
            </w:tcBorders>
            <w:gridSpan w:val="5"/>
          </w:tcPr>
          <w:p>
            <w:pPr>
              <w:jc w:val="center"/>
              <w:ind w:left="1398"/>
              <w:spacing w:after="0"/>
              <w:rPr>
                <w:sz w:val="20"/>
                <w:szCs w:val="20"/>
                <w:color w:val="auto"/>
              </w:rPr>
            </w:pPr>
            <w:r>
              <w:rPr>
                <w:rFonts w:ascii="Arial" w:cs="Arial" w:eastAsia="Arial" w:hAnsi="Arial"/>
                <w:sz w:val="14"/>
                <w:szCs w:val="14"/>
                <w:b w:val="1"/>
                <w:bCs w:val="1"/>
                <w:color w:val="auto"/>
                <w:w w:val="96"/>
              </w:rPr>
              <w:t>Incremental Warrants That Will Vest</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 Level of Purchases by Comcast and Affiliates</w:t>
            </w:r>
          </w:p>
        </w:tc>
        <w:tc>
          <w:tcPr>
            <w:tcW w:w="18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January 1, 2016 -</w:t>
            </w:r>
          </w:p>
        </w:tc>
        <w:tc>
          <w:tcPr>
            <w:tcW w:w="202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January 1, 2018 -</w:t>
            </w:r>
          </w:p>
        </w:tc>
        <w:tc>
          <w:tcPr>
            <w:tcW w:w="14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w w:val="99"/>
              </w:rPr>
              <w:t>January 1, 2020 -</w:t>
            </w:r>
          </w:p>
        </w:tc>
        <w:tc>
          <w:tcPr>
            <w:tcW w:w="0" w:type="dxa"/>
            <w:vAlign w:val="bottom"/>
          </w:tcPr>
          <w:p>
            <w:pPr>
              <w:spacing w:after="0"/>
              <w:rPr>
                <w:sz w:val="1"/>
                <w:szCs w:val="1"/>
                <w:color w:val="auto"/>
              </w:rPr>
            </w:pPr>
          </w:p>
        </w:tc>
      </w:tr>
      <w:tr>
        <w:trPr>
          <w:trHeight w:val="192"/>
        </w:trPr>
        <w:tc>
          <w:tcPr>
            <w:tcW w:w="6000" w:type="dxa"/>
            <w:vAlign w:val="bottom"/>
            <w:vMerge w:val="continue"/>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2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146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50"/>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$260 million</w:t>
            </w:r>
          </w:p>
        </w:tc>
        <w:tc>
          <w:tcPr>
            <w:tcW w:w="17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$300 million</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$340 million</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4"/>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Maximum Potential Warrants Earned by Comcast</w:t>
            </w:r>
          </w:p>
        </w:tc>
        <w:tc>
          <w:tcPr>
            <w:tcW w:w="1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will count toward aggregate purchases in the following two-year period. At March 31, 2018, 175,000 vested warrants were outstanding. To fully vest in the rights to purchase all of the remaining unearned 475,000 underlying shares, Comcast and its affiliates must purchase an aggregate of $680 million in goods and services from us during the remaining four-year vesting period.</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and all warrants that vest will expire on January 1, 2023. The warrants provide for certain adjustments that may be made to the exercise price and the number of shares issuable upon exercise due to customary anti-dilution provisions. Additionally, in connection with the warrants, we have also entered into a registration rights agreement with Comcast under which Comcast may from time to time request that we register the shares of common stock underlying vested warrants with the SEC.</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the warrants contain performance criteria under which Comcast must achieve specified aggregate purchase levels for the warrants to vest, as detailed above, the measurement date for the warrants is the date on which the warrants vest. Through March 31, 2018, no warrants had vested for the two year period beginning January 1, 2018.</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we utilized in the Black Scholes option pricing model and the resulting weighted average fair value of the warrants were the following:</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8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620" w:type="dxa"/>
            <w:vAlign w:val="bottom"/>
            <w:tcBorders>
              <w:bottom w:val="single" w:sz="8" w:color="CCEEFF"/>
            </w:tcBorders>
          </w:tcPr>
          <w:p>
            <w:pPr>
              <w:spacing w:after="0"/>
              <w:rPr>
                <w:sz w:val="22"/>
                <w:szCs w:val="22"/>
                <w:color w:val="auto"/>
              </w:rPr>
            </w:pPr>
          </w:p>
        </w:tc>
        <w:tc>
          <w:tcPr>
            <w:tcW w:w="396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5320" w:type="dxa"/>
            <w:vAlign w:val="bottom"/>
            <w:tcBorders>
              <w:bottom w:val="single" w:sz="8" w:color="CCEEFF"/>
            </w:tcBorders>
            <w:gridSpan w:val="2"/>
            <w:shd w:val="clear" w:color="auto" w:fill="CCEEFF"/>
          </w:tcPr>
          <w:p>
            <w:pPr>
              <w:jc w:val="center"/>
              <w:ind w:left="3870"/>
              <w:spacing w:after="0"/>
              <w:rPr>
                <w:sz w:val="20"/>
                <w:szCs w:val="20"/>
                <w:color w:val="auto"/>
              </w:rPr>
            </w:pPr>
            <w:r>
              <w:rPr>
                <w:rFonts w:ascii="Arial" w:cs="Arial" w:eastAsia="Arial" w:hAnsi="Arial"/>
                <w:sz w:val="18"/>
                <w:szCs w:val="18"/>
                <w:color w:val="auto"/>
                <w:w w:val="87"/>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$32.32</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Price of Universal Electronics Inc. common stock</w:t>
            </w:r>
          </w:p>
        </w:tc>
        <w:tc>
          <w:tcPr>
            <w:tcW w:w="5320" w:type="dxa"/>
            <w:vAlign w:val="bottom"/>
            <w:gridSpan w:val="2"/>
          </w:tcPr>
          <w:p>
            <w:pPr>
              <w:jc w:val="center"/>
              <w:ind w:left="3870"/>
              <w:spacing w:after="0"/>
              <w:rPr>
                <w:sz w:val="20"/>
                <w:szCs w:val="20"/>
                <w:color w:val="auto"/>
              </w:rPr>
            </w:pPr>
            <w:r>
              <w:rPr>
                <w:rFonts w:ascii="Arial" w:cs="Arial" w:eastAsia="Arial" w:hAnsi="Arial"/>
                <w:sz w:val="18"/>
                <w:szCs w:val="18"/>
                <w:color w:val="auto"/>
                <w:w w:val="87"/>
              </w:rPr>
              <w:t>$52.43</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$67.98</w:t>
            </w:r>
          </w:p>
        </w:tc>
      </w:tr>
      <w:tr>
        <w:trPr>
          <w:trHeight w:val="27"/>
        </w:trPr>
        <w:tc>
          <w:tcPr>
            <w:tcW w:w="46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320" w:type="dxa"/>
            <w:vAlign w:val="bottom"/>
            <w:tcBorders>
              <w:bottom w:val="single" w:sz="8" w:color="CCEEFF"/>
            </w:tcBorders>
            <w:gridSpan w:val="2"/>
            <w:shd w:val="clear" w:color="auto" w:fill="CCEEFF"/>
          </w:tcPr>
          <w:p>
            <w:pPr>
              <w:jc w:val="center"/>
              <w:ind w:left="3870"/>
              <w:spacing w:after="0"/>
              <w:rPr>
                <w:sz w:val="20"/>
                <w:szCs w:val="20"/>
                <w:color w:val="auto"/>
              </w:rPr>
            </w:pPr>
            <w:r>
              <w:rPr>
                <w:rFonts w:ascii="Arial" w:cs="Arial" w:eastAsia="Arial" w:hAnsi="Arial"/>
                <w:sz w:val="18"/>
                <w:szCs w:val="18"/>
                <w:color w:val="auto"/>
                <w:w w:val="93"/>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2.04%</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5320" w:type="dxa"/>
            <w:vAlign w:val="bottom"/>
            <w:gridSpan w:val="2"/>
          </w:tcPr>
          <w:p>
            <w:pPr>
              <w:jc w:val="center"/>
              <w:ind w:left="3870"/>
              <w:spacing w:after="0"/>
              <w:rPr>
                <w:sz w:val="20"/>
                <w:szCs w:val="20"/>
                <w:color w:val="auto"/>
              </w:rPr>
            </w:pPr>
            <w:r>
              <w:rPr>
                <w:rFonts w:ascii="Arial" w:cs="Arial" w:eastAsia="Arial" w:hAnsi="Arial"/>
                <w:sz w:val="18"/>
                <w:szCs w:val="18"/>
                <w:color w:val="auto"/>
                <w:w w:val="91"/>
              </w:rPr>
              <w:t>34.53%</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39.86%</w:t>
            </w:r>
          </w:p>
        </w:tc>
      </w:tr>
      <w:tr>
        <w:trPr>
          <w:trHeight w:val="27"/>
        </w:trPr>
        <w:tc>
          <w:tcPr>
            <w:tcW w:w="46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5320" w:type="dxa"/>
            <w:vAlign w:val="bottom"/>
            <w:tcBorders>
              <w:bottom w:val="single" w:sz="8" w:color="CCEEFF"/>
            </w:tcBorders>
            <w:gridSpan w:val="2"/>
            <w:shd w:val="clear" w:color="auto" w:fill="CCEEFF"/>
          </w:tcPr>
          <w:p>
            <w:pPr>
              <w:jc w:val="center"/>
              <w:ind w:left="3870"/>
              <w:spacing w:after="0"/>
              <w:rPr>
                <w:sz w:val="20"/>
                <w:szCs w:val="20"/>
                <w:color w:val="auto"/>
              </w:rPr>
            </w:pPr>
            <w:r>
              <w:rPr>
                <w:rFonts w:ascii="Arial" w:cs="Arial" w:eastAsia="Arial" w:hAnsi="Arial"/>
                <w:sz w:val="18"/>
                <w:szCs w:val="18"/>
                <w:color w:val="auto"/>
                <w:w w:val="91"/>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5.75</w:t>
            </w:r>
          </w:p>
        </w:tc>
      </w:tr>
      <w:tr>
        <w:trPr>
          <w:trHeight w:val="621"/>
        </w:trPr>
        <w:tc>
          <w:tcPr>
            <w:tcW w:w="4620" w:type="dxa"/>
            <w:vAlign w:val="bottom"/>
          </w:tcPr>
          <w:p>
            <w:pPr>
              <w:spacing w:after="0"/>
              <w:rPr>
                <w:sz w:val="24"/>
                <w:szCs w:val="24"/>
                <w:color w:val="auto"/>
              </w:rPr>
            </w:pPr>
          </w:p>
        </w:tc>
        <w:tc>
          <w:tcPr>
            <w:tcW w:w="3960" w:type="dxa"/>
            <w:vAlign w:val="bottom"/>
          </w:tcPr>
          <w:p>
            <w:pPr>
              <w:jc w:val="right"/>
              <w:ind w:right="2690"/>
              <w:spacing w:after="0"/>
              <w:rPr>
                <w:sz w:val="20"/>
                <w:szCs w:val="20"/>
                <w:color w:val="auto"/>
              </w:rPr>
            </w:pPr>
            <w:r>
              <w:rPr>
                <w:rFonts w:ascii="Arial" w:cs="Arial" w:eastAsia="Arial" w:hAnsi="Arial"/>
                <w:sz w:val="18"/>
                <w:szCs w:val="18"/>
                <w:color w:val="auto"/>
              </w:rPr>
              <w:t>21</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impact to net sales recorded in connection with the warrants and the related income tax benefit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760" w:type="dxa"/>
            <w:vAlign w:val="bottom"/>
            <w:gridSpan w:val="3"/>
          </w:tcPr>
          <w:p>
            <w:pPr>
              <w:ind w:left="78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6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to net sales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932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118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348</w:t>
            </w: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2018, we estimated the number of warrants that will vest based on projected future purchases that will be made by Comcast and its affiliates. These estimates may increase or decrease based on actual future purchases. The aggregate unrecognized estimated fair value of unvested warrants at March 31, 2018 was $7.5 million.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2017</w:t>
            </w: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4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330</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583</w:t>
            </w:r>
          </w:p>
        </w:tc>
      </w:tr>
      <w:tr>
        <w:trPr>
          <w:trHeight w:val="27"/>
        </w:trPr>
        <w:tc>
          <w:tcPr>
            <w:tcW w:w="73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(losses) incurred on foreign currency hedging derivatives (see Note 17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28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2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57"/>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8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14,449</w:t>
            </w:r>
          </w:p>
        </w:tc>
        <w:tc>
          <w:tcPr>
            <w:tcW w:w="0" w:type="dxa"/>
            <w:vAlign w:val="bottom"/>
          </w:tcPr>
          <w:p>
            <w:pPr>
              <w:spacing w:after="0"/>
              <w:rPr>
                <w:sz w:val="1"/>
                <w:szCs w:val="1"/>
                <w:color w:val="auto"/>
              </w:rPr>
            </w:pPr>
          </w:p>
        </w:tc>
      </w:tr>
      <w:tr>
        <w:trPr>
          <w:trHeight w:val="297"/>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(loss) per share</w:t>
            </w:r>
          </w:p>
        </w:tc>
        <w:tc>
          <w:tcPr>
            <w:tcW w:w="28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84"/>
        </w:trPr>
        <w:tc>
          <w:tcPr>
            <w:tcW w:w="558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2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for basic</w:t>
            </w:r>
          </w:p>
        </w:tc>
        <w:tc>
          <w:tcPr>
            <w:tcW w:w="2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14,087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14,449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Dilutive effect of stock options, restricted stock and common stock warrants</w:t>
            </w:r>
          </w:p>
        </w:tc>
        <w:tc>
          <w:tcPr>
            <w:tcW w:w="28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28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14,087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14,717</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w:t>
            </w:r>
          </w:p>
        </w:tc>
        <w:tc>
          <w:tcPr>
            <w:tcW w:w="3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2570"/>
              <w:spacing w:after="0"/>
              <w:rPr>
                <w:sz w:val="20"/>
                <w:szCs w:val="20"/>
                <w:color w:val="auto"/>
              </w:rPr>
            </w:pPr>
            <w:r>
              <w:rPr>
                <w:rFonts w:ascii="Arial" w:cs="Arial" w:eastAsia="Arial" w:hAnsi="Arial"/>
                <w:sz w:val="18"/>
                <w:szCs w:val="18"/>
                <w:color w:val="auto"/>
                <w:w w:val="99"/>
              </w:rPr>
              <w:t>22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8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number of stock options, shares of restricted stock and common stock warrants were excluded from the computation of diluted earnings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common share as their inclusion would have been anti-dilutive: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9"/>
          </w:tcPr>
          <w:p>
            <w:pPr>
              <w:ind w:left="3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2"/>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warrants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Note 17 — Derivatives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60" w:type="dxa"/>
            <w:vAlign w:val="bottom"/>
            <w:gridSpan w:val="5"/>
          </w:tcPr>
          <w:p>
            <w:pPr>
              <w:spacing w:after="0"/>
              <w:rPr>
                <w:sz w:val="20"/>
                <w:szCs w:val="20"/>
                <w:color w:val="auto"/>
              </w:rPr>
            </w:pPr>
            <w:r>
              <w:rPr>
                <w:rFonts w:ascii="Arial" w:cs="Arial" w:eastAsia="Arial" w:hAnsi="Arial"/>
                <w:sz w:val="18"/>
                <w:szCs w:val="18"/>
                <w:color w:val="auto"/>
                <w:w w:val="92"/>
              </w:rPr>
              <w:t>The following table sets forth the total net fair value of derivatives: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3"/>
              </w:rPr>
              <w:t>December 31, 2017</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3"/>
              </w:rPr>
              <w:t>Fair Value Measurement Using</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8"/>
          </w:tcPr>
          <w:p>
            <w:pPr>
              <w:jc w:val="center"/>
              <w:ind w:left="82"/>
              <w:spacing w:after="0"/>
              <w:rPr>
                <w:sz w:val="20"/>
                <w:szCs w:val="20"/>
                <w:color w:val="auto"/>
              </w:rPr>
            </w:pPr>
            <w:r>
              <w:rPr>
                <w:rFonts w:ascii="Arial" w:cs="Arial" w:eastAsia="Arial" w:hAnsi="Arial"/>
                <w:sz w:val="14"/>
                <w:szCs w:val="14"/>
                <w:b w:val="1"/>
                <w:bCs w:val="1"/>
                <w:color w:val="auto"/>
                <w:w w:val="94"/>
              </w:rPr>
              <w:t>Fair Value Measurement Using</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6"/>
                <w:szCs w:val="6"/>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6"/>
                <w:szCs w:val="6"/>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Total Balance</w:t>
            </w:r>
          </w:p>
        </w:tc>
        <w:tc>
          <w:tcPr>
            <w:tcW w:w="10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Pr>
          <w:p>
            <w:pPr>
              <w:spacing w:after="0"/>
              <w:rPr>
                <w:sz w:val="6"/>
                <w:szCs w:val="6"/>
                <w:color w:val="auto"/>
              </w:rPr>
            </w:pPr>
          </w:p>
        </w:tc>
        <w:tc>
          <w:tcPr>
            <w:tcW w:w="9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(565)</w:t>
            </w:r>
          </w:p>
        </w:tc>
        <w:tc>
          <w:tcPr>
            <w:tcW w:w="4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rPr>
              <w:t>$   (565)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loss of $1.3 million and a net pretax gain of $0.2 million for the three months ended March 31, 2018 and 2017, respectively (see Note 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Gain/(Loss)</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 at Balance</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19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Type</w:t>
            </w:r>
          </w:p>
        </w:tc>
        <w:tc>
          <w:tcPr>
            <w:tcW w:w="140" w:type="dxa"/>
            <w:vAlign w:val="bottom"/>
            <w:vMerge w:val="restart"/>
          </w:tcPr>
          <w:p>
            <w:pPr>
              <w:spacing w:after="0"/>
              <w:rPr>
                <w:sz w:val="12"/>
                <w:szCs w:val="12"/>
                <w:color w:val="auto"/>
              </w:rPr>
            </w:pPr>
          </w:p>
        </w:tc>
        <w:tc>
          <w:tcPr>
            <w:tcW w:w="14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Position Held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Date</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2018</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3, 2018</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March 31, 2018</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6.3895</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April 3, 2018</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2018</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3, 2018</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January 5, 2018</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2017</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6.6481</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January 5, 2018</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3.2350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24, 2018</w:t>
            </w:r>
          </w:p>
        </w:tc>
        <w:tc>
          <w:tcPr>
            <w:tcW w:w="0" w:type="dxa"/>
            <w:vAlign w:val="bottom"/>
          </w:tcPr>
          <w:p>
            <w:pPr>
              <w:spacing w:after="0"/>
              <w:rPr>
                <w:sz w:val="1"/>
                <w:szCs w:val="1"/>
                <w:color w:val="auto"/>
              </w:rPr>
            </w:pPr>
          </w:p>
        </w:tc>
      </w:tr>
      <w:tr>
        <w:trPr>
          <w:trHeight w:val="27"/>
        </w:trPr>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right="380" w:hanging="328"/>
        <w:spacing w:after="0" w:line="21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Business Combination</w:t>
      </w:r>
    </w:p>
    <w:p>
      <w:pPr>
        <w:spacing w:after="0" w:line="94"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On April 6, 2017, we acquired substantially all of the net assets of Residential Control Systems, Inc. ("RCS"), a U.S.-based designer and manufacturer of energy management and control products for the residential, small commercial and hospitality markets. The purchase price of $12.6 million was comprised of $8.9 million in cash and $3.7 million of contingent consideration. The acquisition of these assets will allow us to expand our product offering of home sensing, monitoring and control solutions to include smart thermostat, sensing and monitoring products previously sold and marketed by RCS.</w:t>
      </w:r>
    </w:p>
    <w:p>
      <w:pPr>
        <w:spacing w:after="0" w:line="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consolidated income statement for the three months ended March 31, 2018 includes net sales of $1.1 million and net losses of $0.3 million attributable to RCS.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required to make additional earnout payments of up to $10.0 million upon the achievement of certain operating income levels attributable to RCS over the period commencing on the acquisition date through June 30, 2022. The amount of contingent consideration is calculated at the end of each calendar year and is based on the agreed upon percentage of operating income as defined in the Asset Purchase Agreement ("APA"). Operating income will be calculated using certain revenues, costs and expenses directly attributable to RCS as specified in the APA. At the acquisition date, the value of earnout contingent consideration was estimated using a valuation methodology based on projections of future operating income calculated in accordance with the APA. Such projections were then discounted using an average discount rate of 24.8% to reflect the risk in achieving the projected operating income levels as well as the time value of money. The fair value measurement of the earnout contingent consideration was based primarily on significant inputs not observable in an active market and thus represents a Level 3 measurement as defined under U.S. GAAP. At March 31, 2018, the fair value of earnout consideration attributed to RCS was $2.3 million. At March 31, 2018, $21 thousand of the earnout contingent consideration liability attributable to RCS is presented within other accrued liabilities, and the remaining $2.2 million is presented within long-term contingent consideration in our consolidated balance sheet.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the acquisition method of accounting, the acquisition date fair value of the consideration transferred was allocated to the net tangible and intangible assets acquired and liabilities assumed based on their estimated fair values on the acquisition date. The excess of the purchase price over the estimated fair value of net assets acquired is recorded as goodwill. The goodwill is expected to be deductible for income tax purposes. Management's purchase price allocation was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Estimated Lives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0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1,508</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00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1-4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tangible assets acquired</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20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8"/>
              </w:rPr>
              <w:t>8 years</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0" w:type="dxa"/>
            <w:vAlign w:val="bottom"/>
            <w:gridSpan w:val="3"/>
          </w:tcPr>
          <w:p>
            <w:pPr>
              <w:jc w:val="center"/>
              <w:ind w:right="400"/>
              <w:spacing w:after="0"/>
              <w:rPr>
                <w:sz w:val="20"/>
                <w:szCs w:val="20"/>
                <w:color w:val="auto"/>
              </w:rPr>
            </w:pPr>
            <w:r>
              <w:rPr>
                <w:rFonts w:ascii="Arial" w:cs="Arial" w:eastAsia="Arial" w:hAnsi="Arial"/>
                <w:sz w:val="18"/>
                <w:szCs w:val="18"/>
                <w:color w:val="auto"/>
                <w:w w:val="86"/>
              </w:rPr>
              <w:t>10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 backlog</w:t>
            </w:r>
          </w:p>
        </w:tc>
        <w:tc>
          <w:tcPr>
            <w:tcW w:w="20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7"/>
              </w:rPr>
              <w:t>1 year</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5,494</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Contingent consideration</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(3,700)</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paid</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8,894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are based primarily on significant inputs not observable in an active market and thus represent Level 3 fair value measurements as defined under U.S. GAAP.</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the RCS trade name intangible asset was determined utilizing a relief from royalty method. The fair value assigned to RCS customer relationships and order backlog intangible assets were determined utilizing a multi-period excess earnings approach. The relief from royalty and multi-period excess earnings methodologies are further described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trade name, customer relationships and order backlog intangible assets are expected to be deductible for income tax purposes.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RCS as if this transaction had occurred on January 1, 2016. This unaudited pro forma financial information is not intended to represent or be indicative of the consolidated results of operations that would have been achieved had the acquisition actually been completed as of January 1, 2016, and should not be taken as a projection of the future consolidated results of our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164,698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161,698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Diluted earnings (loss) per share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(0.01)</w:t>
            </w:r>
          </w:p>
        </w:tc>
      </w:tr>
    </w:tbl>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purposes of determining pro forma net income (loss), adjustments were made to the three months ended March 31, 2017. The pro forma net income (loss) assumes that amortization of acquired intangible assets began at January 1, 2016 rather than on April 6, 2017. The result is a net increase in amortization expense of $0.1 million for the three months ended March 31, 2017. All adjustments have been made net of their related tax effects.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develop and manufacture a broad line of pre-programmed universal remote control products, AV accessories, software and intelligent wireless security, sensing and automation components dedicated to redefining the home entertainment and automation experience. Our customers operate primarily in the consumer electronics market and include subscription broadcasters, OEMs, international retailers, private label brands, pro-security installers and companies in the computing industry. We also sell integrated circuits, on which our software and device control database is embedded, and license our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beginning in 1986, we have compiled an extensive device control code database that covers over one million individual device functions and approximately 8,200 unique consumer electronic brands. QuickSet®, our proprietary software, can automatically detect, identify and enable the appropriate control commands for home entertainment, automation and appliances like air conditioners. Our library is regularly updated with new control functions captured directly from devices, remote controls and manufacturer specifications to ensure the accuracy and integrity of our database and control engine. Our universal remote control library contains device codes that are capable of controlling virtually all set-top boxes, televisions, audio components, DVD players, Blu-Ray players, and CD players, as well as most other remote controlled home entertainment devices and home automation control modules worldwide.</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wider adoption of more advanced control technologies, emerging radio frequency ("RF") technologies, such as RF4CE, Bluetooth, and Bluetooth Smart, have increasingly become a focus in our development efforts. Several new recently released platforms utilize RF to effectively implement popular features like voice search.</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developed a comprehensive patent portfolio of over 400 issued and pending United States patents related to remote control, home security, safety and automation as well as hundreds of foreign counterpart patents and applications in various territories around the world.</w:t>
      </w:r>
    </w:p>
    <w:p>
      <w:pPr>
        <w:spacing w:after="0" w:line="3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as one business segment. We have 24 international subsidiaries located in Argentina, Brazil, British Virgin Islands, Cayman Islands, France, Germany, Hong Kong (3), India, Italy, Japan, Korea, Mexico, the Netherlands, People's Republic of China (6), Singapore, Spain, and the 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March 31, 2018:</w:t>
      </w:r>
    </w:p>
    <w:p>
      <w:pPr>
        <w:spacing w:after="0" w:line="63"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increased 2.0% to $164.7 million for the three months ended March 31, 2018 from $161.4 million for the three months ended March 31, 2017.</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gross margin percentage decreased from 25.4% for the three months ended March 31, 2017 to 22.6% for the three months ended March 31, 2018.</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expenses, as a percent of net sales, decreased from 25.6% for the three months ended March 31, 2017 to 22.0% for the three months ended March 31, 2018.</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income increased from an operating loss of $0.4 million for the three months ended March 31, 2017 to operating income of $0.9 million for the three months ended March 31, 2018, and our operating margin percentage increased from (0.2)% for the three months ended March 31, 2017 to 0.5% for the three months ended March 31, 2018.</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effective tax rate decreased to 22.0% for the three months ended March 31, 2018, compared to 168.0% for the three months ended March 31,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2018 include the following:</w:t>
      </w:r>
    </w:p>
    <w:p>
      <w:pPr>
        <w:spacing w:after="0" w:line="6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that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broaden our home control and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penetrate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As further discussed in "Notes to Consolidated Financial Statements - Note 1," effective January 1, 2018, we adopted Accounting Standards Update ("ASU") 2014-09, "Revenues from Contracts with Customers." The critical accounting policy below updates the items that we disclosed as our critical accounting policies and estimates in Item 7, "Management's Discussion and Analysis of Financial Condition and Results of Operations" contained in our Annual Report on Form 10-K for our fiscal year ended December 31, 2017.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performance obligations primarily arise from manufacturing and delivering universal control, sensing and automation products and AV accessories, which are sold through multiple channels, and intellectual property that is embedded in these products or licensed to others. These performance obligations are satisfied at a point in time or over time, as described below. Payment terms are typically on open credit terms consistent with industry practice and do not have significant financing components. Some contracts contain early payment discounts, which are recognized as a reduction to revenue if the customer typically meets the early payment conditions. Consideration may be variable based on indeterminate volumes.</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1, 2018, revenue is recognized over time when the customer simultaneously receives and consumes the benefits provided by our performance, our performance creates or enhances an asset that the customer controls, or when our performance creates an asset with no alternative use to us (custom products) and we have an enforceable right to payment for performance completed to date, such as a firm order or other contractual commitment from the customer. An asset does not have an alternative use if we are unable to redirect the asset to another customer in the foreseeable future without significant rework. The method for measuring progress towards satisfying a performance obligation for a custom product is based on the costs incurred to date (cost-to-cost method). We believe that the costs associated with production are most closely aligned with the revenue associated with those products.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at a point in time if the criteria for recognizing revenue over time are not met, the title of the goods has transferred, and we have a present right to payment.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typically recognize revenue for the sale of tooling at a point in time, which is generally upon completion of the tooling and, if applicable, acceptance by the customer.</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 in the period in which we make such a determination.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 for discounts and rebates based on historical experience and our expectations regarding future sales to our customers. Accruals for discounts and rebates are recorded as a reduction to sales in the same period as the related revenue. Changes in such accruals may be required if future rebates and incentives differ from our estimates.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license our intellectual property including our patented technologies, trademarks, and database of control codes. When license fees are paid on a per-unit basis we record license revenue when our customers manufacture or ship a product incorporating our intellectual property and we have a present right to payment. When a fixed up-front license fee is received in exchange for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delivery of a particular database of infrared codes or the contract contains a minimum guarantee provision, we record revenue when delivery of the intellectual property has occurred. Tiered royalties are recorded on a straight-line basis according to the forecasted per-unit fees taking into account the pricing tiers.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 assets represent revenue which has been recognized based on our accounting policies but for which the customer has not yet been invoiced and thus an account receivable has not yet been recorded.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prior accounting standards, we recognized revenue on the sale of products when title of the goods had transferred, there was persuasive evidence of an arrangement (such as a purchase order from the customer), the sales price was fixed or determinable and collectability was reasonably assured. Revenue for term license fees were recognized on a straight-line basis over the effective term of the license when we could not reliably predict in which periods, within the term of the license, the licensee would benefit from the use of our patented inventions.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reported results of operations expressed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304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74.6</w:t>
            </w:r>
          </w:p>
        </w:tc>
      </w:tr>
      <w:tr>
        <w:trPr>
          <w:trHeight w:val="27"/>
        </w:trPr>
        <w:tc>
          <w:tcPr>
            <w:tcW w:w="83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25.4</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3.4</w:t>
            </w:r>
          </w:p>
        </w:tc>
      </w:tr>
      <w:tr>
        <w:trPr>
          <w:trHeight w:val="27"/>
        </w:trPr>
        <w:tc>
          <w:tcPr>
            <w:tcW w:w="8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Factory transition restructuring charges</w:t>
            </w:r>
          </w:p>
        </w:tc>
        <w:tc>
          <w:tcPr>
            <w:tcW w:w="1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3.2</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19.0</w:t>
            </w:r>
          </w:p>
        </w:tc>
      </w:tr>
      <w:tr>
        <w:trPr>
          <w:trHeight w:val="27"/>
        </w:trPr>
        <w:tc>
          <w:tcPr>
            <w:tcW w:w="83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(0.2)</w:t>
            </w:r>
          </w:p>
        </w:tc>
      </w:tr>
      <w:tr>
        <w:trPr>
          <w:trHeight w:val="27"/>
        </w:trPr>
        <w:tc>
          <w:tcPr>
            <w:tcW w:w="8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0.3</w:t>
            </w:r>
          </w:p>
        </w:tc>
      </w:tr>
      <w:tr>
        <w:trPr>
          <w:trHeight w:val="237"/>
        </w:trPr>
        <w:tc>
          <w:tcPr>
            <w:tcW w:w="8380" w:type="dxa"/>
            <w:vAlign w:val="bottom"/>
          </w:tcPr>
          <w:p>
            <w:pPr>
              <w:ind w:left="40"/>
              <w:spacing w:after="0"/>
              <w:rPr>
                <w:sz w:val="20"/>
                <w:szCs w:val="20"/>
                <w:color w:val="auto"/>
              </w:rPr>
            </w:pPr>
            <w:r>
              <w:rPr>
                <w:rFonts w:ascii="Arial" w:cs="Arial" w:eastAsia="Arial" w:hAnsi="Arial"/>
                <w:sz w:val="18"/>
                <w:szCs w:val="18"/>
                <w:color w:val="auto"/>
              </w:rPr>
              <w:t>Income (loss) before income tax provision (benefit)</w:t>
            </w:r>
          </w:p>
        </w:tc>
        <w:tc>
          <w:tcPr>
            <w:tcW w:w="14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(0.1)</w:t>
            </w:r>
          </w:p>
        </w:tc>
      </w:tr>
      <w:tr>
        <w:trPr>
          <w:trHeight w:val="27"/>
        </w:trPr>
        <w:tc>
          <w:tcPr>
            <w:tcW w:w="8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w:t>
            </w:r>
          </w:p>
        </w:tc>
      </w:tr>
      <w:tr>
        <w:trPr>
          <w:trHeight w:val="237"/>
        </w:trPr>
        <w:tc>
          <w:tcPr>
            <w:tcW w:w="83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83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8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versus Three Months Ended March 31, 2017</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Adoption of ASU 2014-09. </w:t>
      </w:r>
      <w:r>
        <w:rPr>
          <w:rFonts w:ascii="Arial" w:cs="Arial" w:eastAsia="Arial" w:hAnsi="Arial"/>
          <w:sz w:val="18"/>
          <w:szCs w:val="18"/>
          <w:color w:val="auto"/>
        </w:rPr>
        <w:t>Effective January 1, 2018, we adopted ASU 2014-09 on a modified retrospective basis. Thus the comparability between periods of</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net sales, gross profit and selling, general and administrative expenses is impacted. The discussion below provides insights into underlying business trends that affected our reported results of operations. For further details as to the impact of adopting ASU 2014-09, refer to Note 1 in "Notes to Consolidated Financial Statements."</w:t>
      </w:r>
    </w:p>
    <w:p>
      <w:pPr>
        <w:spacing w:after="0" w:line="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March 31, 2018 were $164.7 million, an increase of 2.0% compared to $161.4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2017.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2017</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93.2%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6.8</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636"/>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in our Business lines (subscription broadcasting, OEM, and computing companies) were 92.4% of net sales for the three months ended March 31, 2018 compared to 93.2% for the three months ended March 31, 2017. Net sales in our Business lines for the three months ended March 31, 2018 increased by 1.2% to $152.2 million from $150.4 million. The increase in Business line net sales was driven primarily by increased sales to consumer electronics companies in Asia, the continued rollout of higher end platforms in Europe, increased sales of home security products and the strengthening of the Euro exchange rate versus the U.S. Dollar. These increases were partially offset by a decrease in sales to subscription broadcasting customers in North America and Latin America.</w:t>
      </w:r>
    </w:p>
    <w:p>
      <w:pPr>
        <w:spacing w:after="0" w:line="13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7.6% of net sales for the three months ended March 31, 2018 compared to 6.8% for the three months ended March 31, 2017. Net sales in our Consumer lines for the three months ended March 31, 2018 increased by 13.6% to $12.5 million from $11.0 million during the three months ended March 31, 2017 driven primarily by growth in Europe and the strengthening of the Euro exchange rate versus the U.S. Dollar.</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three months ended March 31, 2018 was $37.2 million compared to $41.0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Gross profit as a percent of sales decreased to 22.6% for the three months ended March 31, 2018 compared to 25.4% for the three months ended March 31, 2017. The gross margin percentage was unfavorably impacted by the strengthening of the Chinese Yuan relative to the U.S. Dollar, and to a lesser extent by labor rate inflation experienced in our factories in China and price reductions granted to certain large volume customers. These unfavorable impacts were partially offset by production efficiencies achieved in our factories in China.</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10.1% to $6.1 million for the three months ended March 31, 2018 from $5.5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2017 primarily due to our continued investment in the development of new products, in particular higher end remote controls as well as newer home automation products.</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Factory transition restructuring charges. </w:t>
      </w:r>
      <w:r>
        <w:rPr>
          <w:rFonts w:ascii="Arial" w:cs="Arial" w:eastAsia="Arial" w:hAnsi="Arial"/>
          <w:sz w:val="16"/>
          <w:szCs w:val="16"/>
          <w:color w:val="auto"/>
        </w:rPr>
        <w:t>In the first quarter of 2016, we implemented a plan to reduce the impact of rising labor rates in China by</w:t>
      </w:r>
      <w:r>
        <w:rPr>
          <w:rFonts w:ascii="Arial" w:cs="Arial" w:eastAsia="Arial" w:hAnsi="Arial"/>
          <w:sz w:val="16"/>
          <w:szCs w:val="16"/>
          <w:i w:val="1"/>
          <w:iCs w:val="1"/>
          <w:color w:val="auto"/>
        </w:rPr>
        <w:t xml:space="preserve"> </w:t>
      </w:r>
      <w:r>
        <w:rPr>
          <w:rFonts w:ascii="Arial" w:cs="Arial" w:eastAsia="Arial" w:hAnsi="Arial"/>
          <w:sz w:val="16"/>
          <w:szCs w:val="16"/>
          <w:color w:val="auto"/>
        </w:rPr>
        <w:t>transitioning manufacturing activities from our southern-most China factory, located in the city of Guangzhou in the Guangdong province, to our other China factories where labor rates were rising at a slower rate. As a result, we incurred severance costs of $5.3 million for the three months ended March 31, 2017.</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Selling, general and administrative ("SG&amp;A") expenses. </w:t>
      </w:r>
      <w:r>
        <w:rPr>
          <w:rFonts w:ascii="Arial" w:cs="Arial" w:eastAsia="Arial" w:hAnsi="Arial"/>
          <w:sz w:val="17"/>
          <w:szCs w:val="17"/>
          <w:color w:val="auto"/>
        </w:rPr>
        <w:t>SG&amp;A expenses decreased 1.3% to $30.2 million for the three months ended March 31, 2018 from</w:t>
      </w:r>
      <w:r>
        <w:rPr>
          <w:rFonts w:ascii="Arial" w:cs="Arial" w:eastAsia="Arial" w:hAnsi="Arial"/>
          <w:sz w:val="17"/>
          <w:szCs w:val="17"/>
          <w:i w:val="1"/>
          <w:iCs w:val="1"/>
          <w:color w:val="auto"/>
        </w:rPr>
        <w:t xml:space="preserve"> </w:t>
      </w:r>
      <w:r>
        <w:rPr>
          <w:rFonts w:ascii="Arial" w:cs="Arial" w:eastAsia="Arial" w:hAnsi="Arial"/>
          <w:sz w:val="17"/>
          <w:szCs w:val="17"/>
          <w:color w:val="auto"/>
        </w:rPr>
        <w:t>$30.7 million for the three months ended March 31, 2017. The decrease was driven primarily by a decrease in the value of contingent consideration to be paid in connection with our acquisition of the net assets of Ecolink Intelligent Technology, Inc. ("Ecolink") and a decrease in incentive compensation expense. Partially offsetting these decreases was the strengthening of the Chinese Yuan and Euro relative to the U.S. Dollar, and additional operating expenses as a result of the acquisition of the net assets of Residential Control Systems, Inc. ("RCS") in April 2017.</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$1.1 million for the three months ended March 31, 2018 compared to net interest expense of $0.4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2017 as a result of an increased level of borrowings on our line of credit.</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$0.6 million for the three months ended March 31, 2018 compared to net other income of $0.6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2017. This change was driven primarily by foreign currency losses associated with fluctuations in the Chinese Yuan Renminbi and Euro exchange rates versus the U.S. Dollar.</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Provision for income taxes (benefit). </w:t>
      </w:r>
      <w:r>
        <w:rPr>
          <w:rFonts w:ascii="Arial" w:cs="Arial" w:eastAsia="Arial" w:hAnsi="Arial"/>
          <w:sz w:val="18"/>
          <w:szCs w:val="18"/>
          <w:color w:val="auto"/>
        </w:rPr>
        <w:t>Income tax benefit was $0.2 million for the three months ended March 31, 2018 compared to an income tax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$0.3 million for the three months ended March 31, 2017. Our effective tax rate was 22.0% for the three months ended March 31, 2018 compared to 168.0% for the three months ended March 31, 2017. The change in our effective tax rate was primarily due to a favorable tax ruling that resulted in the reversal of a $0.2 million reserve during the three months ended March 31,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3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Three Months Ended March</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jc w:val="right"/>
              <w:ind w:right="574"/>
              <w:spacing w:after="0"/>
              <w:rPr>
                <w:sz w:val="20"/>
                <w:szCs w:val="20"/>
                <w:color w:val="auto"/>
              </w:rPr>
            </w:pPr>
            <w:r>
              <w:rPr>
                <w:rFonts w:ascii="Arial" w:cs="Arial" w:eastAsia="Arial" w:hAnsi="Arial"/>
                <w:sz w:val="14"/>
                <w:szCs w:val="14"/>
                <w:b w:val="1"/>
                <w:bCs w:val="1"/>
                <w:color w:val="auto"/>
              </w:rPr>
              <w:t>31, 2018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Arial" w:cs="Arial" w:eastAsia="Arial" w:hAnsi="Arial"/>
                <w:sz w:val="14"/>
                <w:szCs w:val="14"/>
                <w:b w:val="1"/>
                <w:bCs w:val="1"/>
                <w:color w:val="auto"/>
              </w:rPr>
              <w:t>31, 2017</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operating activities</w:t>
            </w: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26,861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Net increase (decrease) in cash, cash equivalents, and restricted cash</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5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 2018</w:t>
            </w:r>
          </w:p>
        </w:tc>
        <w:tc>
          <w:tcPr>
            <w:tcW w:w="36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24"/>
                <w:szCs w:val="24"/>
                <w:color w:val="auto"/>
              </w:rPr>
            </w:pPr>
          </w:p>
        </w:tc>
        <w:tc>
          <w:tcPr>
            <w:tcW w:w="16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9"/>
              </w:rPr>
              <w:t>December 31, 2017</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62,438</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76,433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2,071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74,362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Net cash used for operating activities </w:t>
      </w:r>
      <w:r>
        <w:rPr>
          <w:rFonts w:ascii="Arial" w:cs="Arial" w:eastAsia="Arial" w:hAnsi="Arial"/>
          <w:sz w:val="17"/>
          <w:szCs w:val="17"/>
          <w:color w:val="auto"/>
        </w:rPr>
        <w:t>was $11.9 million during the three months ended March 31, 2018 compared to $12.6 million of net cash used for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during the three months ended March 31, 2017. Although cash flows from operations were consistent between periods, days sales outstanding have increased from 72 days at March 31, 2017 to 83 days at March 31, 2018 as a result of longer payment terms being extended to certain large customers as well as collection timing. Our days sales outstanding has ranged between 70 to 80 days over the past 18 months. Our inventory turns decreased to 3.5 turns at March 31, 2018 from 3.8 turns at March 31, 2017, largely as a result of holding higher levels of inventory at March 31, 2018 in anticipation of planned factory shutdowns as we transitioned our China operations onto a new ERP system in early April 2018.</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Net cash used for investing activities </w:t>
      </w:r>
      <w:r>
        <w:rPr>
          <w:rFonts w:ascii="Arial" w:cs="Arial" w:eastAsia="Arial" w:hAnsi="Arial"/>
          <w:sz w:val="17"/>
          <w:szCs w:val="17"/>
          <w:color w:val="auto"/>
        </w:rPr>
        <w:t>during the three months ended March 31, 2018 was $9.9 million compared to $6.9 million during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2017. The increase in cash used for investing activities was driven primarily by investments in equipment in our China factories as well as our implementation of a new global ERP system. We expect capital expenditures to approximate $23 million to $25 million in 2018.</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Net cash used in financing activities </w:t>
      </w:r>
      <w:r>
        <w:rPr>
          <w:rFonts w:ascii="Arial" w:cs="Arial" w:eastAsia="Arial" w:hAnsi="Arial"/>
          <w:sz w:val="17"/>
          <w:szCs w:val="17"/>
          <w:color w:val="auto"/>
        </w:rPr>
        <w:t>was $1.0 million during the three months ended March 31, 2018 compared to $26.9 million of net cash provided by</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activities during the three months ended March 31, 2017. The decrease in cash provided by financing activities was driven primarily by a $35.0 million decline in net borrowings on our line of credit. This was partially offset by a decrease of $10.8 million in treasury stock purchases.</w:t>
      </w:r>
    </w:p>
    <w:p>
      <w:pPr>
        <w:spacing w:after="0" w:line="1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three months ended March 31, 2018, we repurchased 13,538 shares of our common stock at a cost of $0.6 million compared to our repurchase of 185,120 shares at a cost of $11.4 million during the three months ended March 31, 2017. We hold these shares as treasury stock and they are available for reissue. Presently, we have no plans to distribute these shares, although we may change these plans if necessary to fulfill our on-going business objectives.</w:t>
      </w:r>
    </w:p>
    <w:p>
      <w:pPr>
        <w:spacing w:after="0" w:line="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to be a good use of our cash and the price to be paid is at or below a threshold approved by our Board from time to time based upon assessment of then current value as compared to then trading ranges and investor analyst reports. Also considered in this decision is the effect any such repurchases may have on our cash balances and needs, cash flow, and short- and long-term borrowing. As of March 31, 2018, no shares were available for repurchase under the Board's authorizations. On May 3, 2018, our Board approved a new repurchase plan authorizing the repurchase of up to 100,000 shares on the open market. Throughout 2018, our Board will continue to assess the efficacy of a corporate stock repurchase program utilizing the same criteria as it has in the past; namely, comparing the then current value as compared to then trading ranges and investor analyst reports, as well as the effect any such repurchase may have on our cash balances and needs, cash flow, and short- and long-term borrowing. Any such approved repurchase program will not obligate us to acquire any specific number of shares and under any such program, shares may be repurchased in privately negotiated and/or open market transactions, including under plans complying with Rule 10b5-1 under the Exchange Act.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12,591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8,490</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30,351</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10,726</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14,474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98" w:lineRule="exact"/>
        <w:rPr>
          <w:rFonts w:ascii="Arial" w:cs="Arial" w:eastAsia="Arial" w:hAnsi="Arial"/>
          <w:sz w:val="25"/>
          <w:szCs w:val="25"/>
          <w:color w:val="auto"/>
          <w:vertAlign w:val="superscript"/>
        </w:rPr>
      </w:pPr>
    </w:p>
    <w:p>
      <w:pPr>
        <w:ind w:left="660" w:hanging="328"/>
        <w:spacing w:after="0" w:line="211"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Contingent consideration consists of contingent payments related to our purchases of the net assets of Ecolink and RCS.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acquisitions of the net assets of Ecolink and RCS. We anticipate that we will continue to utilize both cash flows from operations and our revolving line of credit to support ongoing business operations, capital expenditures and future discretionary share repurchases.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liquidity is subject to various risks including the risks discussed under "Item 3. Quantitative and Qualitative Disclosures about Market Risk."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6"/>
                <w:szCs w:val="16"/>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 2018</w:t>
            </w:r>
          </w:p>
        </w:tc>
        <w:tc>
          <w:tcPr>
            <w:tcW w:w="300" w:type="dxa"/>
            <w:vAlign w:val="bottom"/>
          </w:tcPr>
          <w:p>
            <w:pPr>
              <w:spacing w:after="0"/>
              <w:rPr>
                <w:sz w:val="16"/>
                <w:szCs w:val="16"/>
                <w:color w:val="auto"/>
              </w:rPr>
            </w:pPr>
          </w:p>
        </w:tc>
        <w:tc>
          <w:tcPr>
            <w:tcW w:w="186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62,438</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Available borrowing resources</w:t>
            </w:r>
          </w:p>
        </w:tc>
        <w:tc>
          <w:tcPr>
            <w:tcW w:w="400" w:type="dxa"/>
            <w:vAlign w:val="bottom"/>
          </w:tcPr>
          <w:p>
            <w:pPr>
              <w:spacing w:after="0"/>
              <w:rPr>
                <w:sz w:val="21"/>
                <w:szCs w:val="21"/>
                <w:color w:val="auto"/>
              </w:rPr>
            </w:pPr>
          </w:p>
        </w:tc>
        <w:tc>
          <w:tcPr>
            <w:tcW w:w="1900" w:type="dxa"/>
            <w:vAlign w:val="bottom"/>
          </w:tcPr>
          <w:p>
            <w:pPr>
              <w:jc w:val="right"/>
              <w:ind w:right="36"/>
              <w:spacing w:after="0"/>
              <w:rPr>
                <w:sz w:val="20"/>
                <w:szCs w:val="20"/>
                <w:color w:val="auto"/>
              </w:rPr>
            </w:pPr>
            <w:r>
              <w:rPr>
                <w:rFonts w:ascii="Arial" w:cs="Arial" w:eastAsia="Arial" w:hAnsi="Arial"/>
                <w:sz w:val="18"/>
                <w:szCs w:val="18"/>
                <w:color w:val="auto"/>
              </w:rPr>
              <w:t>29,000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32,000</w:t>
            </w: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taxes and foreign withholding taxes. Additionally, repatriation of some foreign balances is restricted by local laws. We have not provided for the state income tax liability or foreign withholding tax on these amounts for financial statement purposes as this cash is considered indefinitely reinvested outside of the United States. Our intent is to meet our domestic liquidity needs through ongoing cash flows, external borrowings, or both.</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31, 2018, we had $2.5 million, $17.1 million, $1.4 million, $11.9 million and $7.4 million of cash and cash equivalents in the United States, the People's Republic of China ("PRC"), Asia (excluding the PRC), Europe, and South America, respectively. On December 31, 2017, we had $10.5 million, $23.3 million, $1.4 million, $18.1 million, and $9.2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Second Amended and Restated Credit Agreement ("Second Amended Credit Agreement") with U.S. Bank National Association ("U.S. Bank") and Wells Fargo Bank, National Association provides for a $170.0 million revolving line of credit ("Credit Line") that expires on November 1, 2019. The Credit Line may be used for working capital and other general corporate purposes including acquisitions, share repurchases and capital expenditures. Amounts available for borrowing under the Credit Line are reduced by the balance of any outstanding letters of credit. There were no outstanding letters of credit at March 31, 2018.</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that controls our manufacturing factories in the PRC.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 in effect at March 31, 2018 was 3.34%. There are no commitment fees or unused line fees under the Second Amended Credit Agreement.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March 31, 2018, we were in compliance with the covenants and conditions of the Second Amended Credit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we had an outstanding balance of $141.0 million on our Credit Line and $29.0 million of availability.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2017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significant percentage of our revenue attributable to a limited number of customers; the failure of our markets to continue growing and expanding in the manner we anticipated; the loss of market share due to competition; the delay by or failure of our customers to order products from us due to delays by them of their new product rollouts, their failure to grow as we anticipated, their internal inventory control measures, or their loss of market share; the effects of natural or other events beyond our control, including the effects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and digital media and interactive technology; our successful integration of the Ecolink and RCS assets and business lines; our inability to add profitable complementary products which are accepted by the marketplace; our inability to attract and retain a quality workforce at adequate levels in all regions of the world, and particularly Asia; our inability to continue to maintain our operating costs at acceptable levels through our cost containment efforts;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sale of our Guangzhou facility not occurring as or within the time frame anticipated by management; our inability to successfully and profitably restructure our manufacturing facilities and activities;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our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$1.1 million annual impact on net income based on our outstanding line of credit balance at March 31, 2018.</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March 31, 2018, we had wholly-owned subsidiaries in Argentina, Brazil,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and Japanese Yen.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and Japanese Yen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March 31, 2018, we believe that movements in foreign currency rates may have a material effect on our financial position and results of operations. We estimate that if the exchange rates for the Chinese Yuan Renminbi, Euro, British Pound, Argentinian Peso, Mexican Peso, Brazilian Real, Indian Rupee and Japanese Yen relative to the U.S. Dollar fluctuate 10% from March 31, 2018, net income in the second quarter of 2018 would fluctuate by approximately $9.8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During the first quarter of 2018, we implemented the provisions of ASU 2014-09, which impacted certain of our accounting processes and polices around revenue recognition. As a result, we added and/or enhanced certain internal controls around the accumulation of accounting information related to customer contractual arrangements, identification of custom products and costs incurred in the manufacturing and sale of our products.</w:t>
      </w:r>
    </w:p>
    <w:p>
      <w:pPr>
        <w:spacing w:after="0" w:line="1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Except as described above, there have been no other changes in our internal control over financial reporting during the fiscal quarter covered by this Quarterly Report on Form 10-Q that have materially affected, or are reasonably likely to materially affect, our internal control over financial reporting.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10"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1A: Risk Factors" of the Company's 2017 Annual Report on Form 10-K incorporated herein by reference. These factors may cause our actual results to differ materially from those stated in forward-looking statements contained in this document and elsewhere.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three months ended March 31, 2018, we repurchased 13,538 shares of our issued and outstanding common stock in connection with the vesting of restricted shares. From time to time, we make stock repurchases to manage the dilution created by shares issued under our stock incentive plans or when we deem a repurchase is a good use of our cash and the price to be paid is at or below a threshold approved by our Board based upon an assessment of then current value as compared to then trading ranges and investor analyst reports. Also considered in this decision is the effect any such repurchase may have on our cash balances and needs, cash flow, and short- and long-term borrowing. On March 31, 2018, we had no shares available for repurchase under the Board's authorizations. On May 3, 2018, our Board approved a new repurchase plan authorizing the repurchase of up to 100,000 shares on the open market. Throughout 2018, our Board will continue to assess the efficacy of a corporate stock repurchase program utilizing the same criteria as it had in the past; namely, comparing the then current value as compared to then trading ranges and investor analyst reports, as well as the effect any such repurchase may have on our cash balances and needs, cash flow, and short- and long-term borrowing. Any such approved repurchase program will not obligate us to acquire any specific number of shares and under any such program, shares may be repurchased in privately negotiated and/or open market transactions, including under plans complying with Rule 10b5-1 under the Securities Exchange Act of 1934, as amended (the “Exchange Act”). Shares may also be tendered by employees to satisfy tax withholding obligations in connection with the vesting of restricted stock.</w:t>
      </w:r>
    </w:p>
    <w:p>
      <w:pPr>
        <w:spacing w:after="0" w:line="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three months ended March 31, 2018, our total stock repurchases, average price paid per share and the maximum number of shares that may yet be purchased on the open market under our plans or programs: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xml:space="preserve">Shares Purchased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2018 - January 31, 2018</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47.11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February 1, 2017 - February 28, 2018</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11,182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44.71</w:t>
            </w:r>
          </w:p>
        </w:tc>
        <w:tc>
          <w:tcPr>
            <w:tcW w:w="100" w:type="dxa"/>
            <w:vAlign w:val="bottom"/>
          </w:tcPr>
          <w:p>
            <w:pPr>
              <w:spacing w:after="0"/>
              <w:rPr>
                <w:sz w:val="21"/>
                <w:szCs w:val="21"/>
                <w:color w:val="auto"/>
              </w:rPr>
            </w:pP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2018 - March 31, 2018</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52.77</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13,538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All repurchases in January, February and March were of common shares of the company that were owned and tendered by employees to satisfy tax withholding obligations in connection with the vesting of restricted shares.</w:t>
      </w:r>
    </w:p>
    <w:p>
      <w:pPr>
        <w:spacing w:after="0" w:line="95" w:lineRule="exact"/>
        <w:rPr>
          <w:rFonts w:ascii="Arial" w:cs="Arial" w:eastAsia="Arial" w:hAnsi="Arial"/>
          <w:sz w:val="25"/>
          <w:szCs w:val="25"/>
          <w:color w:val="auto"/>
          <w:vertAlign w:val="superscript"/>
        </w:rPr>
      </w:pPr>
    </w:p>
    <w:p>
      <w:pPr>
        <w:jc w:val="both"/>
        <w:ind w:left="660" w:hanging="328"/>
        <w:spacing w:after="0" w:line="252" w:lineRule="auto"/>
        <w:tabs>
          <w:tab w:leader="none" w:pos="66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 Company may purchase shares from time to time in open market purchases. The Company may make all or part of the purchases pursuant to accelerated share repurchases or Rule 10b5-1 plans. On March 31, 2018, we had no shares available for repurchase under the Board's authorizations.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120" w:type="dxa"/>
            <w:vAlign w:val="bottom"/>
            <w:gridSpan w:val="3"/>
          </w:tcPr>
          <w:p>
            <w:pPr>
              <w:ind w:left="2960"/>
              <w:spacing w:after="0"/>
              <w:rPr>
                <w:sz w:val="20"/>
                <w:szCs w:val="20"/>
                <w:color w:val="auto"/>
              </w:rPr>
            </w:pPr>
            <w:r>
              <w:rPr>
                <w:rFonts w:ascii="Arial" w:cs="Arial" w:eastAsia="Arial" w:hAnsi="Arial"/>
                <w:sz w:val="18"/>
                <w:szCs w:val="18"/>
                <w:b w:val="1"/>
                <w:bCs w:val="1"/>
                <w:color w:val="auto"/>
              </w:rPr>
              <w:t>EXHIBIT INDEX</w:t>
            </w:r>
          </w:p>
        </w:tc>
      </w:tr>
      <w:tr>
        <w:trPr>
          <w:trHeight w:val="535"/>
        </w:trPr>
        <w:tc>
          <w:tcPr>
            <w:tcW w:w="1420" w:type="dxa"/>
            <w:vAlign w:val="bottom"/>
            <w:gridSpan w:val="2"/>
          </w:tcPr>
          <w:p>
            <w:pPr>
              <w:jc w:val="right"/>
              <w:ind w:right="1100"/>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9380" w:type="dxa"/>
            <w:vAlign w:val="bottom"/>
            <w:gridSpan w:val="4"/>
          </w:tcPr>
          <w:p>
            <w:pPr>
              <w:spacing w:after="0"/>
              <w:rPr>
                <w:rFonts w:ascii="Arial" w:cs="Arial" w:eastAsia="Arial" w:hAnsi="Arial"/>
                <w:sz w:val="18"/>
                <w:szCs w:val="18"/>
                <w:color w:val="0000FF"/>
                <w:w w:val="96"/>
              </w:rPr>
            </w:pPr>
            <w:hyperlink w:anchor="page38">
              <w:r>
                <w:rPr>
                  <w:rFonts w:ascii="Arial" w:cs="Arial" w:eastAsia="Arial" w:hAnsi="Arial"/>
                  <w:sz w:val="18"/>
                  <w:szCs w:val="18"/>
                  <w:color w:val="0000FF"/>
                  <w:w w:val="96"/>
                </w:rPr>
                <w:t>Rule 13a-14(a) Certifications of Paul D. Arling, Chief Executive Officer (principal executive officer) of Universal Electronics</w:t>
              </w:r>
            </w:hyperlink>
          </w:p>
        </w:tc>
      </w:tr>
      <w:tr>
        <w:trPr>
          <w:trHeight w:val="196"/>
        </w:trPr>
        <w:tc>
          <w:tcPr>
            <w:tcW w:w="320" w:type="dxa"/>
            <w:vAlign w:val="bottom"/>
            <w:tcBorders>
              <w:top w:val="single" w:sz="8" w:color="0000FF"/>
            </w:tcBorders>
          </w:tcPr>
          <w:p>
            <w:pPr>
              <w:spacing w:after="0"/>
              <w:rPr>
                <w:sz w:val="17"/>
                <w:szCs w:val="17"/>
                <w:color w:val="auto"/>
              </w:rPr>
            </w:pPr>
          </w:p>
        </w:tc>
        <w:tc>
          <w:tcPr>
            <w:tcW w:w="1100" w:type="dxa"/>
            <w:vAlign w:val="bottom"/>
          </w:tcPr>
          <w:p>
            <w:pPr>
              <w:spacing w:after="0"/>
              <w:rPr>
                <w:sz w:val="17"/>
                <w:szCs w:val="17"/>
                <w:color w:val="auto"/>
              </w:rPr>
            </w:pPr>
          </w:p>
        </w:tc>
        <w:tc>
          <w:tcPr>
            <w:tcW w:w="938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38">
              <w:r>
                <w:rPr>
                  <w:rFonts w:ascii="Arial" w:cs="Arial" w:eastAsia="Arial" w:hAnsi="Arial"/>
                  <w:sz w:val="18"/>
                  <w:szCs w:val="18"/>
                  <w:color w:val="0000FF"/>
                </w:rPr>
                <w:t>Inc.</w:t>
              </w:r>
            </w:hyperlink>
          </w:p>
        </w:tc>
      </w:tr>
      <w:tr>
        <w:trPr>
          <w:trHeight w:val="20"/>
        </w:trPr>
        <w:tc>
          <w:tcPr>
            <w:tcW w:w="142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20" w:type="dxa"/>
            <w:vAlign w:val="bottom"/>
            <w:gridSpan w:val="2"/>
          </w:tcPr>
          <w:p>
            <w:pPr>
              <w:jc w:val="right"/>
              <w:ind w:right="1100"/>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9380" w:type="dxa"/>
            <w:vAlign w:val="bottom"/>
            <w:gridSpan w:val="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Rule 13a-14(a) Certifications of Bryan M. Hackworth, Chief Financial Officer (principal financial officer and principal</w:t>
              </w:r>
            </w:hyperlink>
          </w:p>
        </w:tc>
      </w:tr>
      <w:tr>
        <w:trPr>
          <w:trHeight w:val="196"/>
        </w:trPr>
        <w:tc>
          <w:tcPr>
            <w:tcW w:w="320" w:type="dxa"/>
            <w:vAlign w:val="bottom"/>
            <w:tcBorders>
              <w:top w:val="single" w:sz="8" w:color="0000FF"/>
            </w:tcBorders>
          </w:tcPr>
          <w:p>
            <w:pPr>
              <w:spacing w:after="0"/>
              <w:rPr>
                <w:sz w:val="17"/>
                <w:szCs w:val="17"/>
                <w:color w:val="auto"/>
              </w:rPr>
            </w:pPr>
          </w:p>
        </w:tc>
        <w:tc>
          <w:tcPr>
            <w:tcW w:w="1100" w:type="dxa"/>
            <w:vAlign w:val="bottom"/>
          </w:tcPr>
          <w:p>
            <w:pPr>
              <w:spacing w:after="0"/>
              <w:rPr>
                <w:sz w:val="17"/>
                <w:szCs w:val="17"/>
                <w:color w:val="auto"/>
              </w:rPr>
            </w:pPr>
          </w:p>
        </w:tc>
        <w:tc>
          <w:tcPr>
            <w:tcW w:w="34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w:anchor="page39">
              <w:r>
                <w:rPr>
                  <w:rFonts w:ascii="Arial" w:cs="Arial" w:eastAsia="Arial" w:hAnsi="Arial"/>
                  <w:sz w:val="18"/>
                  <w:szCs w:val="18"/>
                  <w:color w:val="0000FF"/>
                  <w:w w:val="92"/>
                </w:rPr>
                <w:t>accounting officer) of Universal Electronics Inc.</w:t>
              </w:r>
            </w:hyperlink>
          </w:p>
        </w:tc>
        <w:tc>
          <w:tcPr>
            <w:tcW w:w="58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188" w:lineRule="exact"/>
        <w:rPr>
          <w:sz w:val="20"/>
          <w:szCs w:val="20"/>
          <w:color w:val="auto"/>
        </w:rPr>
      </w:pPr>
    </w:p>
    <w:p>
      <w:pPr>
        <w:jc w:val="both"/>
        <w:ind w:left="1800" w:hanging="1414"/>
        <w:spacing w:after="0" w:line="264" w:lineRule="auto"/>
        <w:tabs>
          <w:tab w:leader="none" w:pos="1800" w:val="left"/>
        </w:tabs>
        <w:numPr>
          <w:ilvl w:val="0"/>
          <w:numId w:val="16"/>
        </w:numPr>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Section 1350 Certifications of Paul D. Arling, Chief Executive Officer (principal executive officer) of Universal Electronics Inc.,</w:t>
        </w:r>
      </w:hyperlink>
      <w:r>
        <w:rPr>
          <w:rFonts w:ascii="Arial" w:cs="Arial" w:eastAsia="Arial" w:hAnsi="Arial"/>
          <w:sz w:val="18"/>
          <w:szCs w:val="18"/>
          <w:u w:val="single" w:color="auto"/>
          <w:color w:val="0000FF"/>
        </w:rPr>
        <w:t xml:space="preserve"> </w:t>
      </w:r>
      <w:hyperlink w:anchor="page40">
        <w:r>
          <w:rPr>
            <w:rFonts w:ascii="Arial" w:cs="Arial" w:eastAsia="Arial" w:hAnsi="Arial"/>
            <w:sz w:val="18"/>
            <w:szCs w:val="18"/>
            <w:u w:val="single" w:color="auto"/>
            <w:color w:val="0000FF"/>
          </w:rPr>
          <w:t>and Bryan M. Hackworth, Chief Financial Officer (principal financial officer and principal accounting officer) of Universal</w:t>
        </w:r>
      </w:hyperlink>
      <w:r>
        <w:rPr>
          <w:rFonts w:ascii="Arial" w:cs="Arial" w:eastAsia="Arial" w:hAnsi="Arial"/>
          <w:sz w:val="18"/>
          <w:szCs w:val="18"/>
          <w:u w:val="single" w:color="auto"/>
          <w:color w:val="0000FF"/>
        </w:rPr>
        <w:t xml:space="preserve"> </w:t>
      </w:r>
      <w:hyperlink w:anchor="page40">
        <w:r>
          <w:rPr>
            <w:rFonts w:ascii="Arial" w:cs="Arial" w:eastAsia="Arial" w:hAnsi="Arial"/>
            <w:sz w:val="18"/>
            <w:szCs w:val="18"/>
            <w:u w:val="single" w:color="auto"/>
            <w:color w:val="0000FF"/>
          </w:rPr>
          <w:t>Electronics Inc. pursuant to 18 U.S.C. Section 1350</w:t>
        </w:r>
      </w:hyperlink>
    </w:p>
    <w:p>
      <w:pPr>
        <w:spacing w:after="0" w:line="141" w:lineRule="exact"/>
        <w:rPr>
          <w:rFonts w:ascii="Arial" w:cs="Arial" w:eastAsia="Arial" w:hAnsi="Arial"/>
          <w:sz w:val="18"/>
          <w:szCs w:val="18"/>
          <w:u w:val="single" w:color="auto"/>
          <w:color w:val="0000FF"/>
        </w:rPr>
      </w:pPr>
    </w:p>
    <w:tbl>
      <w:tblPr>
        <w:tblLayout w:type="fixed"/>
        <w:tblInd w:w="38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3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3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38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20" w:lineRule="exact"/>
        <w:rPr>
          <w:rFonts w:ascii="Arial" w:cs="Arial" w:eastAsia="Arial" w:hAnsi="Arial"/>
          <w:sz w:val="18"/>
          <w:szCs w:val="18"/>
          <w:u w:val="single" w:color="auto"/>
          <w:color w:val="0000FF"/>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118" w:right="4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color w:val="auto"/>
                <w:w w:val="92"/>
              </w:rPr>
              <w:t>Dated:May 9, 2018</w:t>
            </w:r>
          </w:p>
        </w:tc>
        <w:tc>
          <w:tcPr>
            <w:tcW w:w="7720" w:type="dxa"/>
            <w:vAlign w:val="bottom"/>
            <w:gridSpan w:val="2"/>
          </w:tcPr>
          <w:p>
            <w:pPr>
              <w:ind w:left="196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660" w:type="dxa"/>
            <w:vAlign w:val="bottom"/>
          </w:tcPr>
          <w:p>
            <w:pPr>
              <w:spacing w:after="0"/>
              <w:rPr>
                <w:sz w:val="24"/>
                <w:szCs w:val="24"/>
                <w:color w:val="auto"/>
              </w:rPr>
            </w:pP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r>
        <w:trPr>
          <w:trHeight w:val="270"/>
        </w:trPr>
        <w:tc>
          <w:tcPr>
            <w:tcW w:w="36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36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and principal accounting officer)</w:t>
            </w:r>
          </w:p>
        </w:tc>
      </w:tr>
      <w:tr>
        <w:trPr>
          <w:trHeight w:val="864"/>
        </w:trPr>
        <w:tc>
          <w:tcPr>
            <w:tcW w:w="3660" w:type="dxa"/>
            <w:vAlign w:val="bottom"/>
          </w:tcPr>
          <w:p>
            <w:pPr>
              <w:spacing w:after="0"/>
              <w:rPr>
                <w:sz w:val="24"/>
                <w:szCs w:val="24"/>
                <w:color w:val="auto"/>
              </w:rPr>
            </w:pPr>
          </w:p>
        </w:tc>
        <w:tc>
          <w:tcPr>
            <w:tcW w:w="2580" w:type="dxa"/>
            <w:vAlign w:val="bottom"/>
          </w:tcPr>
          <w:p>
            <w:pPr>
              <w:ind w:left="1920"/>
              <w:spacing w:after="0"/>
              <w:rPr>
                <w:sz w:val="20"/>
                <w:szCs w:val="20"/>
                <w:color w:val="auto"/>
              </w:rPr>
            </w:pPr>
            <w:r>
              <w:rPr>
                <w:rFonts w:ascii="Arial" w:cs="Arial" w:eastAsia="Arial" w:hAnsi="Arial"/>
                <w:sz w:val="18"/>
                <w:szCs w:val="18"/>
                <w:color w:val="auto"/>
              </w:rPr>
              <w:t>37</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March 31, 2018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80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32"/>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2019-12-28T22:17:39Z</dcterms:created>
  <dcterms:modified xsi:type="dcterms:W3CDTF">2019-12-28T22:17:39Z</dcterms:modified>
</cp:coreProperties>
</file>